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0E6" w:rsidRPr="00573255" w:rsidRDefault="00C450E6" w:rsidP="00C450E6">
      <w:pPr>
        <w:spacing w:before="120" w:after="120" w:line="360" w:lineRule="auto"/>
        <w:jc w:val="both"/>
        <w:rPr>
          <w:b/>
        </w:rPr>
      </w:pPr>
      <w:r>
        <w:rPr>
          <w:b/>
          <w:bCs/>
        </w:rPr>
        <w:t xml:space="preserve">Figure 2 – source data. </w:t>
      </w:r>
      <w:r>
        <w:t xml:space="preserve"> </w:t>
      </w:r>
    </w:p>
    <w:p w:rsidR="00C450E6" w:rsidRPr="002A0747" w:rsidRDefault="00C450E6" w:rsidP="00C450E6">
      <w:pPr>
        <w:rPr>
          <w:b/>
        </w:rPr>
      </w:pPr>
      <w:r w:rsidRPr="0044422D">
        <w:rPr>
          <w:b/>
        </w:rPr>
        <w:t>Data collection and refinement statistics of Rh5 and Rh5_KI</w:t>
      </w:r>
      <w:r>
        <w:rPr>
          <w:b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69"/>
        <w:gridCol w:w="2369"/>
        <w:gridCol w:w="2237"/>
      </w:tblGrid>
      <w:tr w:rsidR="00C450E6" w:rsidRPr="0044422D" w:rsidTr="00E35602">
        <w:tc>
          <w:tcPr>
            <w:tcW w:w="2969" w:type="dxa"/>
            <w:tcBorders>
              <w:top w:val="single" w:sz="8" w:space="0" w:color="008000"/>
              <w:bottom w:val="single" w:sz="4" w:space="0" w:color="008000"/>
            </w:tcBorders>
            <w:shd w:val="clear" w:color="auto" w:fill="auto"/>
          </w:tcPr>
          <w:p w:rsidR="00C450E6" w:rsidRPr="0044422D" w:rsidRDefault="00C450E6" w:rsidP="00E35602">
            <w:pPr>
              <w:snapToGrid w:val="0"/>
            </w:pPr>
          </w:p>
        </w:tc>
        <w:tc>
          <w:tcPr>
            <w:tcW w:w="2369" w:type="dxa"/>
            <w:tcBorders>
              <w:top w:val="single" w:sz="8" w:space="0" w:color="008000"/>
              <w:bottom w:val="single" w:sz="4" w:space="0" w:color="008000"/>
            </w:tcBorders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Native</w:t>
            </w:r>
          </w:p>
        </w:tc>
        <w:tc>
          <w:tcPr>
            <w:tcW w:w="2237" w:type="dxa"/>
            <w:tcBorders>
              <w:top w:val="single" w:sz="8" w:space="0" w:color="008000"/>
              <w:bottom w:val="single" w:sz="4" w:space="0" w:color="008000"/>
            </w:tcBorders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KI Derivative</w:t>
            </w:r>
          </w:p>
        </w:tc>
      </w:tr>
      <w:tr w:rsidR="00C450E6" w:rsidRPr="0044422D" w:rsidTr="00E35602">
        <w:tc>
          <w:tcPr>
            <w:tcW w:w="2969" w:type="dxa"/>
            <w:tcBorders>
              <w:top w:val="single" w:sz="4" w:space="0" w:color="008000"/>
            </w:tcBorders>
            <w:shd w:val="clear" w:color="auto" w:fill="auto"/>
          </w:tcPr>
          <w:p w:rsidR="00C450E6" w:rsidRPr="0044422D" w:rsidRDefault="00C450E6" w:rsidP="00E35602">
            <w:pPr>
              <w:snapToGrid w:val="0"/>
              <w:rPr>
                <w:b/>
                <w:bCs/>
              </w:rPr>
            </w:pPr>
            <w:r w:rsidRPr="0044422D">
              <w:rPr>
                <w:b/>
                <w:bCs/>
              </w:rPr>
              <w:t>Data collection</w:t>
            </w:r>
          </w:p>
        </w:tc>
        <w:tc>
          <w:tcPr>
            <w:tcW w:w="2369" w:type="dxa"/>
            <w:tcBorders>
              <w:top w:val="single" w:sz="4" w:space="0" w:color="008000"/>
            </w:tcBorders>
            <w:shd w:val="clear" w:color="auto" w:fill="auto"/>
          </w:tcPr>
          <w:p w:rsidR="00C450E6" w:rsidRPr="0044422D" w:rsidRDefault="00C450E6" w:rsidP="00E35602">
            <w:pPr>
              <w:snapToGrid w:val="0"/>
            </w:pPr>
          </w:p>
        </w:tc>
        <w:tc>
          <w:tcPr>
            <w:tcW w:w="2237" w:type="dxa"/>
            <w:tcBorders>
              <w:top w:val="single" w:sz="4" w:space="0" w:color="008000"/>
            </w:tcBorders>
            <w:shd w:val="clear" w:color="auto" w:fill="auto"/>
          </w:tcPr>
          <w:p w:rsidR="00C450E6" w:rsidRPr="0044422D" w:rsidRDefault="00C450E6" w:rsidP="00E35602">
            <w:pPr>
              <w:snapToGrid w:val="0"/>
            </w:pPr>
          </w:p>
        </w:tc>
      </w:tr>
      <w:tr w:rsidR="00C450E6" w:rsidRPr="0044422D" w:rsidTr="00E35602">
        <w:tc>
          <w:tcPr>
            <w:tcW w:w="29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Space group</w:t>
            </w:r>
          </w:p>
        </w:tc>
        <w:tc>
          <w:tcPr>
            <w:tcW w:w="23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P2</w:t>
            </w:r>
            <w:r w:rsidRPr="0044422D">
              <w:rPr>
                <w:vertAlign w:val="subscript"/>
              </w:rPr>
              <w:t>1</w:t>
            </w:r>
            <w:r w:rsidRPr="0044422D">
              <w:t>2</w:t>
            </w:r>
            <w:r w:rsidRPr="0044422D">
              <w:rPr>
                <w:vertAlign w:val="subscript"/>
              </w:rPr>
              <w:t>1</w:t>
            </w:r>
            <w:r w:rsidRPr="0044422D">
              <w:t>2</w:t>
            </w:r>
            <w:r w:rsidRPr="0044422D">
              <w:rPr>
                <w:vertAlign w:val="subscript"/>
              </w:rPr>
              <w:t>1</w:t>
            </w:r>
          </w:p>
        </w:tc>
        <w:tc>
          <w:tcPr>
            <w:tcW w:w="2237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P2</w:t>
            </w:r>
            <w:r w:rsidRPr="0044422D">
              <w:rPr>
                <w:vertAlign w:val="subscript"/>
              </w:rPr>
              <w:t>1</w:t>
            </w:r>
            <w:r w:rsidRPr="0044422D">
              <w:t>2</w:t>
            </w:r>
            <w:r w:rsidRPr="0044422D">
              <w:rPr>
                <w:vertAlign w:val="subscript"/>
              </w:rPr>
              <w:t>1</w:t>
            </w:r>
            <w:r w:rsidRPr="0044422D">
              <w:t>2</w:t>
            </w:r>
            <w:r w:rsidRPr="0044422D">
              <w:rPr>
                <w:vertAlign w:val="subscript"/>
              </w:rPr>
              <w:t>1</w:t>
            </w:r>
          </w:p>
        </w:tc>
      </w:tr>
      <w:tr w:rsidR="00C450E6" w:rsidRPr="0044422D" w:rsidTr="00E35602">
        <w:tc>
          <w:tcPr>
            <w:tcW w:w="2969" w:type="dxa"/>
            <w:shd w:val="clear" w:color="auto" w:fill="auto"/>
          </w:tcPr>
          <w:p w:rsidR="00C450E6" w:rsidRPr="0044422D" w:rsidRDefault="00C450E6" w:rsidP="00E35602">
            <w:pPr>
              <w:snapToGrid w:val="0"/>
              <w:rPr>
                <w:rFonts w:eastAsia="Symbol"/>
              </w:rPr>
            </w:pPr>
            <w:r w:rsidRPr="0044422D">
              <w:t>Cell dimensions</w:t>
            </w:r>
            <w:r w:rsidRPr="0044422D">
              <w:rPr>
                <w:rFonts w:eastAsia="Symbol"/>
              </w:rPr>
              <w:t></w:t>
            </w:r>
            <w:r w:rsidRPr="0044422D">
              <w:rPr>
                <w:rFonts w:eastAsia="Symbol"/>
              </w:rPr>
              <w:t></w:t>
            </w:r>
          </w:p>
        </w:tc>
        <w:tc>
          <w:tcPr>
            <w:tcW w:w="23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</w:p>
        </w:tc>
        <w:tc>
          <w:tcPr>
            <w:tcW w:w="2237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</w:p>
        </w:tc>
      </w:tr>
      <w:tr w:rsidR="00C450E6" w:rsidRPr="0044422D" w:rsidTr="00E35602">
        <w:tc>
          <w:tcPr>
            <w:tcW w:w="29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 xml:space="preserve">    </w:t>
            </w:r>
            <w:r w:rsidRPr="0044422D">
              <w:rPr>
                <w:i/>
              </w:rPr>
              <w:t>a</w:t>
            </w:r>
            <w:r w:rsidRPr="0044422D">
              <w:t xml:space="preserve">, </w:t>
            </w:r>
            <w:r w:rsidRPr="0044422D">
              <w:rPr>
                <w:i/>
              </w:rPr>
              <w:t>b</w:t>
            </w:r>
            <w:r w:rsidRPr="0044422D">
              <w:t xml:space="preserve">, </w:t>
            </w:r>
            <w:r w:rsidRPr="0044422D">
              <w:rPr>
                <w:i/>
              </w:rPr>
              <w:t>c</w:t>
            </w:r>
            <w:r w:rsidRPr="0044422D">
              <w:t xml:space="preserve"> (Å)</w:t>
            </w:r>
          </w:p>
        </w:tc>
        <w:tc>
          <w:tcPr>
            <w:tcW w:w="23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53.98, 86.26, 114.83</w:t>
            </w:r>
          </w:p>
        </w:tc>
        <w:tc>
          <w:tcPr>
            <w:tcW w:w="2237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</w:p>
        </w:tc>
      </w:tr>
      <w:tr w:rsidR="00C450E6" w:rsidRPr="0044422D" w:rsidTr="00E35602">
        <w:tc>
          <w:tcPr>
            <w:tcW w:w="29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Resolution (Å)</w:t>
            </w:r>
          </w:p>
        </w:tc>
        <w:tc>
          <w:tcPr>
            <w:tcW w:w="23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50-2.18 (2.21-2.18)</w:t>
            </w:r>
          </w:p>
        </w:tc>
        <w:tc>
          <w:tcPr>
            <w:tcW w:w="2237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50-3.46(3.74-3.46)</w:t>
            </w:r>
          </w:p>
        </w:tc>
      </w:tr>
      <w:tr w:rsidR="00C450E6" w:rsidRPr="0044422D" w:rsidTr="00E35602">
        <w:tc>
          <w:tcPr>
            <w:tcW w:w="2969" w:type="dxa"/>
            <w:shd w:val="clear" w:color="auto" w:fill="auto"/>
          </w:tcPr>
          <w:p w:rsidR="00C450E6" w:rsidRPr="0044422D" w:rsidRDefault="00C450E6" w:rsidP="00E35602">
            <w:pPr>
              <w:snapToGrid w:val="0"/>
              <w:rPr>
                <w:vertAlign w:val="subscript"/>
              </w:rPr>
            </w:pPr>
            <w:r w:rsidRPr="0044422D">
              <w:rPr>
                <w:i/>
                <w:iCs/>
              </w:rPr>
              <w:t>R</w:t>
            </w:r>
            <w:r w:rsidRPr="0044422D">
              <w:rPr>
                <w:vertAlign w:val="subscript"/>
              </w:rPr>
              <w:t xml:space="preserve">merge </w:t>
            </w:r>
            <w:r w:rsidRPr="0044422D">
              <w:t>(%)</w:t>
            </w:r>
          </w:p>
        </w:tc>
        <w:tc>
          <w:tcPr>
            <w:tcW w:w="23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35.2 (530.8)</w:t>
            </w:r>
            <w:r w:rsidRPr="0044422D">
              <w:tab/>
            </w:r>
          </w:p>
        </w:tc>
        <w:tc>
          <w:tcPr>
            <w:tcW w:w="2237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32 (100.9)</w:t>
            </w:r>
          </w:p>
        </w:tc>
      </w:tr>
      <w:tr w:rsidR="00C450E6" w:rsidRPr="0044422D" w:rsidTr="00E35602">
        <w:tc>
          <w:tcPr>
            <w:tcW w:w="2969" w:type="dxa"/>
            <w:shd w:val="clear" w:color="auto" w:fill="auto"/>
          </w:tcPr>
          <w:p w:rsidR="00C450E6" w:rsidRPr="0044422D" w:rsidRDefault="00C450E6" w:rsidP="00E35602">
            <w:pPr>
              <w:snapToGrid w:val="0"/>
              <w:rPr>
                <w:i/>
                <w:iCs/>
              </w:rPr>
            </w:pPr>
            <w:r w:rsidRPr="0044422D">
              <w:rPr>
                <w:i/>
                <w:iCs/>
              </w:rPr>
              <w:t xml:space="preserve">&lt;I </w:t>
            </w:r>
            <w:r w:rsidRPr="0044422D">
              <w:t xml:space="preserve">/ </w:t>
            </w:r>
            <w:r w:rsidRPr="0044422D">
              <w:rPr>
                <w:rFonts w:ascii="Symbol" w:eastAsia="Symbol" w:hAnsi="Symbol"/>
              </w:rPr>
              <w:t></w:t>
            </w:r>
            <w:r w:rsidRPr="0044422D">
              <w:rPr>
                <w:i/>
                <w:iCs/>
              </w:rPr>
              <w:t>I&gt;</w:t>
            </w:r>
          </w:p>
        </w:tc>
        <w:tc>
          <w:tcPr>
            <w:tcW w:w="2369" w:type="dxa"/>
            <w:shd w:val="clear" w:color="auto" w:fill="auto"/>
          </w:tcPr>
          <w:p w:rsidR="00C450E6" w:rsidRPr="0044422D" w:rsidRDefault="00C450E6" w:rsidP="00E35602">
            <w:pPr>
              <w:snapToGrid w:val="0"/>
              <w:rPr>
                <w:b/>
              </w:rPr>
            </w:pPr>
            <w:r w:rsidRPr="0044422D">
              <w:t>5.44 (0.52</w:t>
            </w:r>
            <w:r w:rsidRPr="0044422D">
              <w:rPr>
                <w:b/>
              </w:rPr>
              <w:t>)</w:t>
            </w:r>
          </w:p>
        </w:tc>
        <w:tc>
          <w:tcPr>
            <w:tcW w:w="2237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7.87 (3.47)</w:t>
            </w:r>
          </w:p>
        </w:tc>
      </w:tr>
      <w:tr w:rsidR="00C450E6" w:rsidRPr="0044422D" w:rsidTr="00E35602">
        <w:tc>
          <w:tcPr>
            <w:tcW w:w="29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Completeness (%)</w:t>
            </w:r>
          </w:p>
        </w:tc>
        <w:tc>
          <w:tcPr>
            <w:tcW w:w="23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99.9 (99.9)</w:t>
            </w:r>
          </w:p>
        </w:tc>
        <w:tc>
          <w:tcPr>
            <w:tcW w:w="2237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100 (100)</w:t>
            </w:r>
          </w:p>
        </w:tc>
      </w:tr>
      <w:tr w:rsidR="00C450E6" w:rsidRPr="0044422D" w:rsidTr="00E35602">
        <w:tc>
          <w:tcPr>
            <w:tcW w:w="29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Redundancy</w:t>
            </w:r>
          </w:p>
        </w:tc>
        <w:tc>
          <w:tcPr>
            <w:tcW w:w="23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7.2 (7.3)</w:t>
            </w:r>
          </w:p>
        </w:tc>
        <w:tc>
          <w:tcPr>
            <w:tcW w:w="2237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4.8 (4.3)</w:t>
            </w:r>
          </w:p>
        </w:tc>
      </w:tr>
      <w:tr w:rsidR="00C450E6" w:rsidRPr="0044422D" w:rsidTr="00E35602">
        <w:tc>
          <w:tcPr>
            <w:tcW w:w="2969" w:type="dxa"/>
            <w:shd w:val="clear" w:color="auto" w:fill="auto"/>
          </w:tcPr>
          <w:p w:rsidR="00C450E6" w:rsidRPr="0044422D" w:rsidRDefault="00C450E6" w:rsidP="00E35602">
            <w:pPr>
              <w:snapToGrid w:val="0"/>
              <w:rPr>
                <w:i/>
                <w:iCs/>
              </w:rPr>
            </w:pPr>
            <w:r w:rsidRPr="0044422D">
              <w:rPr>
                <w:i/>
                <w:iCs/>
              </w:rPr>
              <w:t>CC</w:t>
            </w:r>
            <w:r w:rsidRPr="00502251">
              <w:rPr>
                <w:iCs/>
                <w:vertAlign w:val="subscript"/>
              </w:rPr>
              <w:t>1/2</w:t>
            </w:r>
            <w:r w:rsidRPr="003522E1">
              <w:rPr>
                <w:vertAlign w:val="superscript"/>
              </w:rPr>
              <w:t>*</w:t>
            </w:r>
          </w:p>
        </w:tc>
        <w:tc>
          <w:tcPr>
            <w:tcW w:w="23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99.3 (16.4)</w:t>
            </w:r>
          </w:p>
        </w:tc>
        <w:tc>
          <w:tcPr>
            <w:tcW w:w="2237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97.6 (76.5)</w:t>
            </w:r>
          </w:p>
        </w:tc>
      </w:tr>
      <w:tr w:rsidR="00C450E6" w:rsidRPr="0044422D" w:rsidTr="00E35602">
        <w:tc>
          <w:tcPr>
            <w:tcW w:w="2969" w:type="dxa"/>
            <w:shd w:val="clear" w:color="auto" w:fill="auto"/>
          </w:tcPr>
          <w:p w:rsidR="00C450E6" w:rsidRPr="0044422D" w:rsidRDefault="00C450E6" w:rsidP="00E35602">
            <w:pPr>
              <w:snapToGrid w:val="0"/>
              <w:rPr>
                <w:b/>
                <w:bCs/>
              </w:rPr>
            </w:pPr>
            <w:r w:rsidRPr="0044422D">
              <w:rPr>
                <w:rFonts w:ascii="Symbol" w:eastAsia="Symbol" w:hAnsi="Symbol"/>
              </w:rPr>
              <w:t></w:t>
            </w:r>
            <w:r w:rsidRPr="0044422D">
              <w:rPr>
                <w:b/>
                <w:bCs/>
                <w:vertAlign w:val="subscript"/>
              </w:rPr>
              <w:t>Ano</w:t>
            </w:r>
          </w:p>
          <w:p w:rsidR="00C450E6" w:rsidRPr="0044422D" w:rsidRDefault="00C450E6" w:rsidP="00E35602">
            <w:pPr>
              <w:snapToGrid w:val="0"/>
              <w:rPr>
                <w:bCs/>
              </w:rPr>
            </w:pPr>
            <w:r w:rsidRPr="0044422D">
              <w:rPr>
                <w:bCs/>
              </w:rPr>
              <w:t>Centric phasing power</w:t>
            </w:r>
            <w:r w:rsidRPr="00502251">
              <w:rPr>
                <w:bCs/>
                <w:vertAlign w:val="superscript"/>
              </w:rPr>
              <w:t>#</w:t>
            </w:r>
          </w:p>
          <w:p w:rsidR="00C450E6" w:rsidRPr="0044422D" w:rsidRDefault="00C450E6" w:rsidP="00E35602">
            <w:pPr>
              <w:snapToGrid w:val="0"/>
            </w:pPr>
            <w:r w:rsidRPr="0044422D">
              <w:rPr>
                <w:bCs/>
              </w:rPr>
              <w:t>Acentric phasing power</w:t>
            </w:r>
          </w:p>
          <w:p w:rsidR="00C450E6" w:rsidRPr="0044422D" w:rsidRDefault="00C450E6" w:rsidP="00E35602">
            <w:pPr>
              <w:snapToGrid w:val="0"/>
            </w:pPr>
            <w:r w:rsidRPr="0044422D">
              <w:t>Number of sites</w:t>
            </w:r>
          </w:p>
          <w:p w:rsidR="00C450E6" w:rsidRPr="0044422D" w:rsidRDefault="00C450E6" w:rsidP="00E35602">
            <w:pPr>
              <w:snapToGrid w:val="0"/>
              <w:rPr>
                <w:b/>
                <w:bCs/>
              </w:rPr>
            </w:pPr>
          </w:p>
          <w:p w:rsidR="00C450E6" w:rsidRPr="0044422D" w:rsidRDefault="00C450E6" w:rsidP="00E35602">
            <w:pPr>
              <w:snapToGrid w:val="0"/>
              <w:rPr>
                <w:b/>
                <w:bCs/>
              </w:rPr>
            </w:pPr>
            <w:r w:rsidRPr="0044422D">
              <w:rPr>
                <w:b/>
                <w:bCs/>
              </w:rPr>
              <w:t>Refinement</w:t>
            </w:r>
          </w:p>
        </w:tc>
        <w:tc>
          <w:tcPr>
            <w:tcW w:w="2369" w:type="dxa"/>
            <w:shd w:val="clear" w:color="auto" w:fill="auto"/>
          </w:tcPr>
          <w:p w:rsidR="00C450E6" w:rsidRPr="0044422D" w:rsidRDefault="00C450E6" w:rsidP="00E35602">
            <w:pPr>
              <w:snapToGrid w:val="0"/>
              <w:rPr>
                <w:b/>
              </w:rPr>
            </w:pPr>
            <w:r w:rsidRPr="0044422D">
              <w:rPr>
                <w:b/>
              </w:rPr>
              <w:t>-</w:t>
            </w:r>
          </w:p>
        </w:tc>
        <w:tc>
          <w:tcPr>
            <w:tcW w:w="2237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0.956 (1.020)</w:t>
            </w:r>
          </w:p>
          <w:p w:rsidR="00C450E6" w:rsidRPr="0044422D" w:rsidRDefault="00C450E6" w:rsidP="00E35602">
            <w:pPr>
              <w:snapToGrid w:val="0"/>
            </w:pPr>
            <w:r w:rsidRPr="0044422D">
              <w:t>0.57</w:t>
            </w:r>
          </w:p>
          <w:p w:rsidR="00C450E6" w:rsidRPr="0044422D" w:rsidRDefault="00C450E6" w:rsidP="00E35602">
            <w:pPr>
              <w:snapToGrid w:val="0"/>
            </w:pPr>
            <w:r w:rsidRPr="0044422D">
              <w:t>0.73</w:t>
            </w:r>
          </w:p>
          <w:p w:rsidR="00C450E6" w:rsidRPr="0044422D" w:rsidRDefault="00C450E6" w:rsidP="00E35602">
            <w:pPr>
              <w:snapToGrid w:val="0"/>
            </w:pPr>
            <w:r w:rsidRPr="0044422D">
              <w:t>3</w:t>
            </w:r>
          </w:p>
        </w:tc>
      </w:tr>
      <w:tr w:rsidR="00C450E6" w:rsidRPr="0044422D" w:rsidTr="00E35602">
        <w:trPr>
          <w:gridAfter w:val="1"/>
          <w:wAfter w:w="2237" w:type="dxa"/>
        </w:trPr>
        <w:tc>
          <w:tcPr>
            <w:tcW w:w="29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Resolution (Å)</w:t>
            </w:r>
          </w:p>
        </w:tc>
        <w:tc>
          <w:tcPr>
            <w:tcW w:w="2369" w:type="dxa"/>
            <w:shd w:val="clear" w:color="auto" w:fill="auto"/>
          </w:tcPr>
          <w:p w:rsidR="00C450E6" w:rsidRPr="0044422D" w:rsidRDefault="00C450E6" w:rsidP="00E35602">
            <w:pPr>
              <w:snapToGrid w:val="0"/>
              <w:ind w:left="8" w:right="-265" w:hanging="8"/>
            </w:pPr>
            <w:r w:rsidRPr="0044422D">
              <w:t>45.76-2.18 (2.26-2.18)</w:t>
            </w:r>
          </w:p>
        </w:tc>
      </w:tr>
      <w:tr w:rsidR="00C450E6" w:rsidRPr="002D6707" w:rsidTr="00E35602">
        <w:trPr>
          <w:gridAfter w:val="1"/>
          <w:wAfter w:w="2237" w:type="dxa"/>
        </w:trPr>
        <w:tc>
          <w:tcPr>
            <w:tcW w:w="29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No. reflections</w:t>
            </w:r>
          </w:p>
        </w:tc>
        <w:tc>
          <w:tcPr>
            <w:tcW w:w="23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28698/1454</w:t>
            </w:r>
          </w:p>
        </w:tc>
      </w:tr>
      <w:tr w:rsidR="00C450E6" w:rsidRPr="0044422D" w:rsidTr="00E35602">
        <w:trPr>
          <w:gridAfter w:val="1"/>
          <w:wAfter w:w="2237" w:type="dxa"/>
        </w:trPr>
        <w:tc>
          <w:tcPr>
            <w:tcW w:w="2969" w:type="dxa"/>
            <w:shd w:val="clear" w:color="auto" w:fill="auto"/>
          </w:tcPr>
          <w:p w:rsidR="00C450E6" w:rsidRPr="0044422D" w:rsidRDefault="00C450E6" w:rsidP="00E35602">
            <w:pPr>
              <w:snapToGrid w:val="0"/>
              <w:rPr>
                <w:vertAlign w:val="subscript"/>
              </w:rPr>
            </w:pPr>
            <w:r w:rsidRPr="0044422D">
              <w:rPr>
                <w:i/>
                <w:iCs/>
              </w:rPr>
              <w:t>R</w:t>
            </w:r>
            <w:r w:rsidRPr="0044422D">
              <w:rPr>
                <w:vertAlign w:val="subscript"/>
              </w:rPr>
              <w:t>work</w:t>
            </w:r>
            <w:r w:rsidRPr="0044422D">
              <w:t xml:space="preserve"> / </w:t>
            </w:r>
            <w:r w:rsidRPr="0044422D">
              <w:rPr>
                <w:i/>
                <w:iCs/>
              </w:rPr>
              <w:t>R</w:t>
            </w:r>
            <w:r w:rsidRPr="0044422D">
              <w:rPr>
                <w:vertAlign w:val="subscript"/>
              </w:rPr>
              <w:t>free</w:t>
            </w:r>
          </w:p>
        </w:tc>
        <w:tc>
          <w:tcPr>
            <w:tcW w:w="23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20.0/24.5 (27.1/29.0)</w:t>
            </w:r>
          </w:p>
        </w:tc>
      </w:tr>
      <w:tr w:rsidR="00C450E6" w:rsidRPr="0044422D" w:rsidTr="00E35602">
        <w:trPr>
          <w:gridAfter w:val="1"/>
          <w:wAfter w:w="2237" w:type="dxa"/>
        </w:trPr>
        <w:tc>
          <w:tcPr>
            <w:tcW w:w="29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No. atoms</w:t>
            </w:r>
          </w:p>
        </w:tc>
        <w:tc>
          <w:tcPr>
            <w:tcW w:w="2369" w:type="dxa"/>
            <w:shd w:val="clear" w:color="auto" w:fill="auto"/>
          </w:tcPr>
          <w:p w:rsidR="00C450E6" w:rsidRPr="0044422D" w:rsidRDefault="00C450E6" w:rsidP="00E35602">
            <w:pPr>
              <w:snapToGrid w:val="0"/>
              <w:rPr>
                <w:b/>
              </w:rPr>
            </w:pPr>
          </w:p>
        </w:tc>
      </w:tr>
      <w:tr w:rsidR="00C450E6" w:rsidRPr="0044422D" w:rsidTr="00E35602">
        <w:trPr>
          <w:gridAfter w:val="1"/>
          <w:wAfter w:w="2237" w:type="dxa"/>
        </w:trPr>
        <w:tc>
          <w:tcPr>
            <w:tcW w:w="29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 xml:space="preserve">    Protein</w:t>
            </w:r>
          </w:p>
          <w:p w:rsidR="00C450E6" w:rsidRPr="0044422D" w:rsidRDefault="00C450E6" w:rsidP="00E35602">
            <w:pPr>
              <w:snapToGrid w:val="0"/>
            </w:pPr>
            <w:r w:rsidRPr="0044422D">
              <w:t xml:space="preserve">    </w:t>
            </w:r>
            <w:r>
              <w:t>Carbohydrate</w:t>
            </w:r>
          </w:p>
        </w:tc>
        <w:tc>
          <w:tcPr>
            <w:tcW w:w="23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2822</w:t>
            </w:r>
          </w:p>
          <w:p w:rsidR="00C450E6" w:rsidRPr="0044422D" w:rsidRDefault="00C450E6" w:rsidP="00E35602">
            <w:pPr>
              <w:snapToGrid w:val="0"/>
            </w:pPr>
            <w:r w:rsidRPr="0044422D">
              <w:t>14</w:t>
            </w:r>
          </w:p>
        </w:tc>
      </w:tr>
      <w:tr w:rsidR="00C450E6" w:rsidRPr="0044422D" w:rsidTr="00E35602">
        <w:trPr>
          <w:gridAfter w:val="1"/>
          <w:wAfter w:w="2237" w:type="dxa"/>
        </w:trPr>
        <w:tc>
          <w:tcPr>
            <w:tcW w:w="29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 xml:space="preserve">    Ligand/ion</w:t>
            </w:r>
          </w:p>
        </w:tc>
        <w:tc>
          <w:tcPr>
            <w:tcW w:w="23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5</w:t>
            </w:r>
          </w:p>
        </w:tc>
      </w:tr>
      <w:tr w:rsidR="00C450E6" w:rsidRPr="0044422D" w:rsidTr="00E35602">
        <w:trPr>
          <w:gridAfter w:val="1"/>
          <w:wAfter w:w="2237" w:type="dxa"/>
        </w:trPr>
        <w:tc>
          <w:tcPr>
            <w:tcW w:w="29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 xml:space="preserve">    Water</w:t>
            </w:r>
          </w:p>
        </w:tc>
        <w:tc>
          <w:tcPr>
            <w:tcW w:w="23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82</w:t>
            </w:r>
          </w:p>
        </w:tc>
      </w:tr>
      <w:tr w:rsidR="00C450E6" w:rsidRPr="0044422D" w:rsidTr="00E35602">
        <w:trPr>
          <w:gridAfter w:val="1"/>
          <w:wAfter w:w="2237" w:type="dxa"/>
        </w:trPr>
        <w:tc>
          <w:tcPr>
            <w:tcW w:w="29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rPr>
                <w:i/>
              </w:rPr>
              <w:t>B</w:t>
            </w:r>
            <w:r w:rsidRPr="0044422D">
              <w:t>-factors (Å)</w:t>
            </w:r>
            <w:r w:rsidRPr="0044422D">
              <w:rPr>
                <w:vertAlign w:val="superscript"/>
              </w:rPr>
              <w:t>2</w:t>
            </w:r>
          </w:p>
        </w:tc>
        <w:tc>
          <w:tcPr>
            <w:tcW w:w="2369" w:type="dxa"/>
            <w:shd w:val="clear" w:color="auto" w:fill="auto"/>
          </w:tcPr>
          <w:p w:rsidR="00C450E6" w:rsidRPr="0044422D" w:rsidRDefault="00C450E6" w:rsidP="00E35602">
            <w:pPr>
              <w:snapToGrid w:val="0"/>
              <w:rPr>
                <w:b/>
              </w:rPr>
            </w:pPr>
          </w:p>
        </w:tc>
      </w:tr>
      <w:tr w:rsidR="00C450E6" w:rsidRPr="0044422D" w:rsidTr="00E35602">
        <w:trPr>
          <w:gridAfter w:val="1"/>
          <w:wAfter w:w="2237" w:type="dxa"/>
        </w:trPr>
        <w:tc>
          <w:tcPr>
            <w:tcW w:w="29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 xml:space="preserve">    Protein</w:t>
            </w:r>
          </w:p>
          <w:p w:rsidR="00C450E6" w:rsidRPr="0044422D" w:rsidRDefault="00C450E6" w:rsidP="00E35602">
            <w:pPr>
              <w:snapToGrid w:val="0"/>
            </w:pPr>
            <w:r w:rsidRPr="0044422D">
              <w:t xml:space="preserve">    </w:t>
            </w:r>
            <w:r>
              <w:t>Carbohydrate</w:t>
            </w:r>
          </w:p>
        </w:tc>
        <w:tc>
          <w:tcPr>
            <w:tcW w:w="23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>
              <w:t>58.9</w:t>
            </w:r>
          </w:p>
          <w:p w:rsidR="00C450E6" w:rsidRPr="0044422D" w:rsidRDefault="00C450E6" w:rsidP="00E35602">
            <w:pPr>
              <w:snapToGrid w:val="0"/>
            </w:pPr>
            <w:r w:rsidRPr="0044422D">
              <w:t>67.9</w:t>
            </w:r>
          </w:p>
        </w:tc>
      </w:tr>
      <w:tr w:rsidR="00C450E6" w:rsidRPr="0044422D" w:rsidTr="00E35602">
        <w:trPr>
          <w:gridAfter w:val="1"/>
          <w:wAfter w:w="2237" w:type="dxa"/>
        </w:trPr>
        <w:tc>
          <w:tcPr>
            <w:tcW w:w="29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 xml:space="preserve">    Ligand/ion</w:t>
            </w:r>
          </w:p>
        </w:tc>
        <w:tc>
          <w:tcPr>
            <w:tcW w:w="23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67.9</w:t>
            </w:r>
          </w:p>
        </w:tc>
      </w:tr>
      <w:tr w:rsidR="00C450E6" w:rsidRPr="0044422D" w:rsidTr="00E35602">
        <w:trPr>
          <w:gridAfter w:val="1"/>
          <w:wAfter w:w="2237" w:type="dxa"/>
          <w:trHeight w:val="269"/>
        </w:trPr>
        <w:tc>
          <w:tcPr>
            <w:tcW w:w="29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 xml:space="preserve">    Water</w:t>
            </w:r>
          </w:p>
        </w:tc>
        <w:tc>
          <w:tcPr>
            <w:tcW w:w="23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>
              <w:t>43.7</w:t>
            </w:r>
          </w:p>
        </w:tc>
      </w:tr>
      <w:tr w:rsidR="00C450E6" w:rsidRPr="0044422D" w:rsidTr="00E35602">
        <w:tc>
          <w:tcPr>
            <w:tcW w:w="29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R.m.s. deviations</w:t>
            </w:r>
          </w:p>
        </w:tc>
        <w:tc>
          <w:tcPr>
            <w:tcW w:w="2369" w:type="dxa"/>
            <w:shd w:val="clear" w:color="auto" w:fill="auto"/>
          </w:tcPr>
          <w:p w:rsidR="00C450E6" w:rsidRPr="0044422D" w:rsidRDefault="00C450E6" w:rsidP="00E35602">
            <w:pPr>
              <w:snapToGrid w:val="0"/>
              <w:rPr>
                <w:b/>
                <w:color w:val="0000FF"/>
              </w:rPr>
            </w:pPr>
          </w:p>
        </w:tc>
        <w:tc>
          <w:tcPr>
            <w:tcW w:w="2237" w:type="dxa"/>
            <w:shd w:val="clear" w:color="auto" w:fill="auto"/>
          </w:tcPr>
          <w:p w:rsidR="00C450E6" w:rsidRPr="0044422D" w:rsidRDefault="00C450E6" w:rsidP="00E35602">
            <w:pPr>
              <w:snapToGrid w:val="0"/>
              <w:rPr>
                <w:b/>
              </w:rPr>
            </w:pPr>
          </w:p>
        </w:tc>
      </w:tr>
      <w:tr w:rsidR="00C450E6" w:rsidRPr="0044422D" w:rsidTr="00E35602">
        <w:trPr>
          <w:gridAfter w:val="1"/>
          <w:wAfter w:w="2237" w:type="dxa"/>
        </w:trPr>
        <w:tc>
          <w:tcPr>
            <w:tcW w:w="29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 xml:space="preserve">    Bond lengths (Å)</w:t>
            </w:r>
          </w:p>
        </w:tc>
        <w:tc>
          <w:tcPr>
            <w:tcW w:w="2369" w:type="dxa"/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0.009</w:t>
            </w:r>
          </w:p>
        </w:tc>
      </w:tr>
      <w:tr w:rsidR="00C450E6" w:rsidRPr="0044422D" w:rsidTr="00E35602">
        <w:trPr>
          <w:trHeight w:val="307"/>
        </w:trPr>
        <w:tc>
          <w:tcPr>
            <w:tcW w:w="2969" w:type="dxa"/>
            <w:tcBorders>
              <w:bottom w:val="single" w:sz="8" w:space="0" w:color="008000"/>
            </w:tcBorders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 xml:space="preserve">    Bond angles (</w:t>
            </w:r>
            <w:r w:rsidRPr="0044422D">
              <w:rPr>
                <w:rFonts w:eastAsia="Symbol"/>
              </w:rPr>
              <w:t></w:t>
            </w:r>
            <w:r w:rsidRPr="0044422D">
              <w:t>)</w:t>
            </w:r>
          </w:p>
          <w:p w:rsidR="00C450E6" w:rsidRPr="0044422D" w:rsidRDefault="00C450E6" w:rsidP="00E35602">
            <w:pPr>
              <w:snapToGrid w:val="0"/>
            </w:pPr>
          </w:p>
          <w:p w:rsidR="00C450E6" w:rsidRPr="0044422D" w:rsidRDefault="00C450E6" w:rsidP="00E3560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4422D">
              <w:rPr>
                <w:rFonts w:ascii="Times New Roman" w:hAnsi="Times New Roman" w:cs="Times New Roman"/>
                <w:color w:val="auto"/>
              </w:rPr>
              <w:t>Ramachandran plot ( % )</w:t>
            </w:r>
          </w:p>
          <w:p w:rsidR="00C450E6" w:rsidRPr="0044422D" w:rsidRDefault="00C450E6" w:rsidP="00E3560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4422D">
              <w:rPr>
                <w:rFonts w:ascii="Times New Roman" w:hAnsi="Times New Roman" w:cs="Times New Roman"/>
                <w:color w:val="auto"/>
              </w:rPr>
              <w:t xml:space="preserve">    Most favoured </w:t>
            </w:r>
          </w:p>
          <w:p w:rsidR="00C450E6" w:rsidRPr="0044422D" w:rsidRDefault="00C450E6" w:rsidP="00E3560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4422D">
              <w:rPr>
                <w:rFonts w:ascii="Times New Roman" w:hAnsi="Times New Roman" w:cs="Times New Roman"/>
                <w:color w:val="auto"/>
              </w:rPr>
              <w:t xml:space="preserve">    Allowed </w:t>
            </w:r>
          </w:p>
          <w:p w:rsidR="00C450E6" w:rsidRPr="002D6707" w:rsidRDefault="00C450E6" w:rsidP="00E3560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4422D">
              <w:rPr>
                <w:rFonts w:ascii="Times New Roman" w:hAnsi="Times New Roman" w:cs="Times New Roman"/>
                <w:color w:val="auto"/>
              </w:rPr>
              <w:t xml:space="preserve">    Outlier</w:t>
            </w:r>
          </w:p>
        </w:tc>
        <w:tc>
          <w:tcPr>
            <w:tcW w:w="2369" w:type="dxa"/>
            <w:tcBorders>
              <w:bottom w:val="single" w:sz="8" w:space="0" w:color="008000"/>
            </w:tcBorders>
            <w:shd w:val="clear" w:color="auto" w:fill="auto"/>
          </w:tcPr>
          <w:p w:rsidR="00C450E6" w:rsidRPr="0044422D" w:rsidRDefault="00C450E6" w:rsidP="00E35602">
            <w:pPr>
              <w:snapToGrid w:val="0"/>
            </w:pPr>
            <w:r w:rsidRPr="0044422D">
              <w:t>1.06</w:t>
            </w:r>
          </w:p>
          <w:p w:rsidR="00C450E6" w:rsidRPr="0044422D" w:rsidRDefault="00C450E6" w:rsidP="00E35602">
            <w:pPr>
              <w:snapToGrid w:val="0"/>
            </w:pPr>
          </w:p>
          <w:p w:rsidR="00C450E6" w:rsidRPr="0044422D" w:rsidRDefault="00C450E6" w:rsidP="00E35602">
            <w:pPr>
              <w:snapToGrid w:val="0"/>
              <w:rPr>
                <w:color w:val="0000FF"/>
              </w:rPr>
            </w:pPr>
          </w:p>
          <w:p w:rsidR="00C450E6" w:rsidRPr="0044422D" w:rsidRDefault="00C450E6" w:rsidP="00E35602">
            <w:pPr>
              <w:snapToGrid w:val="0"/>
            </w:pPr>
            <w:r w:rsidRPr="0044422D">
              <w:t>97.0</w:t>
            </w:r>
          </w:p>
          <w:p w:rsidR="00C450E6" w:rsidRPr="0044422D" w:rsidRDefault="00C450E6" w:rsidP="00E35602">
            <w:pPr>
              <w:snapToGrid w:val="0"/>
            </w:pPr>
            <w:r w:rsidRPr="0044422D">
              <w:t>2.7</w:t>
            </w:r>
          </w:p>
          <w:p w:rsidR="00C450E6" w:rsidRPr="002D6707" w:rsidRDefault="00C450E6" w:rsidP="00E35602">
            <w:pPr>
              <w:snapToGrid w:val="0"/>
            </w:pPr>
            <w:r w:rsidRPr="0044422D">
              <w:t>0.3</w:t>
            </w:r>
          </w:p>
        </w:tc>
        <w:tc>
          <w:tcPr>
            <w:tcW w:w="2237" w:type="dxa"/>
            <w:tcBorders>
              <w:bottom w:val="single" w:sz="8" w:space="0" w:color="008000"/>
            </w:tcBorders>
            <w:shd w:val="clear" w:color="auto" w:fill="auto"/>
          </w:tcPr>
          <w:p w:rsidR="00C450E6" w:rsidRPr="0044422D" w:rsidRDefault="00C450E6" w:rsidP="00E35602">
            <w:pPr>
              <w:snapToGrid w:val="0"/>
              <w:rPr>
                <w:b/>
              </w:rPr>
            </w:pPr>
          </w:p>
          <w:p w:rsidR="00C450E6" w:rsidRPr="0044422D" w:rsidRDefault="00C450E6" w:rsidP="00E35602">
            <w:pPr>
              <w:snapToGrid w:val="0"/>
              <w:rPr>
                <w:b/>
              </w:rPr>
            </w:pPr>
          </w:p>
        </w:tc>
      </w:tr>
    </w:tbl>
    <w:p w:rsidR="00C450E6" w:rsidRPr="00502251" w:rsidRDefault="00C450E6" w:rsidP="00C450E6">
      <w:r>
        <w:rPr>
          <w:vertAlign w:val="superscript"/>
        </w:rPr>
        <w:t xml:space="preserve">* </w:t>
      </w:r>
      <w:r w:rsidRPr="00E02A7F">
        <w:rPr>
          <w:i/>
        </w:rPr>
        <w:t>CC</w:t>
      </w:r>
      <w:r w:rsidRPr="00E02A7F">
        <w:rPr>
          <w:vertAlign w:val="superscript"/>
        </w:rPr>
        <w:t xml:space="preserve">(1/2) </w:t>
      </w:r>
      <w:r w:rsidRPr="00E02A7F">
        <w:t>= Pearson correlation coefficient between independently merged halves of the data set</w:t>
      </w:r>
      <w:r>
        <w:t xml:space="preserve"> </w:t>
      </w:r>
      <w:r>
        <w:fldChar w:fldCharType="begin"/>
      </w:r>
      <w:r>
        <w:instrText xml:space="preserve"> ADDIN EN.CITE &lt;EndNote&gt;&lt;Cite&gt;&lt;Author&gt;Karplus&lt;/Author&gt;&lt;Year&gt;2012&lt;/Year&gt;&lt;RecNum&gt;27036&lt;/RecNum&gt;&lt;DisplayText&gt;(1)&lt;/DisplayText&gt;&lt;record&gt;&lt;rec-number&gt;27036&lt;/rec-number&gt;&lt;foreign-keys&gt;&lt;key app="EN" db-id="9z5v9f5ecvpt5ae0rvkxp05w90255strs050"&gt;27036&lt;/key&gt;&lt;/foreign-keys&gt;&lt;ref-type name="Journal Article"&gt;17&lt;/ref-type&gt;&lt;contributors&gt;&lt;authors&gt;&lt;author&gt;Karplus, P. A.&lt;/author&gt;&lt;author&gt;Diederichs, K.&lt;/author&gt;&lt;/authors&gt;&lt;/contributors&gt;&lt;auth-address&gt;Department of Biochemistry and Biophysics, Oregon State University, Corvallis, OR 97331, USA.&lt;/auth-address&gt;&lt;titles&gt;&lt;title&gt;Linking crystallographic model and data quality.&lt;/title&gt;&lt;secondary-title&gt;Science&lt;/secondary-title&gt;&lt;alt-title&gt;Science&lt;/alt-title&gt;&lt;/titles&gt;&lt;periodical&gt;&lt;full-title&gt;Science&lt;/full-title&gt;&lt;/periodical&gt;&lt;alt-periodical&gt;&lt;full-title&gt;Science&lt;/full-title&gt;&lt;/alt-periodical&gt;&lt;pages&gt;1030-1033&lt;/pages&gt;&lt;volume&gt;336&lt;/volume&gt;&lt;number&gt;6084&lt;/number&gt;&lt;keywords&gt;&lt;keyword&gt;*Crystallography, X-Ray&lt;/keyword&gt;&lt;keyword&gt;Cysteine Dioxygenase/*chemistry&lt;/keyword&gt;&lt;keyword&gt;Data Interpretation, Statistical&lt;/keyword&gt;&lt;keyword&gt;*Models, Molecular&lt;/keyword&gt;&lt;keyword&gt;*Protein Conformation&lt;/keyword&gt;&lt;keyword&gt;Proteins/*chemistry&lt;/keyword&gt;&lt;keyword&gt;Research Design&lt;/keyword&gt;&lt;/keywords&gt;&lt;dates&gt;&lt;year&gt;2012&lt;/year&gt;&lt;pub-dates&gt;&lt;date&gt;May 25&lt;/date&gt;&lt;/pub-dates&gt;&lt;/dates&gt;&lt;isbn&gt;1095-9203 (Electronic)&amp;#xD;0036-8075 (Linking)&lt;/isbn&gt;&lt;accession-num&gt;22628654&lt;/accession-num&gt;&lt;urls&gt;&lt;related-urls&gt;&lt;url&gt;http://www.ncbi.nlm.nih.gov/pubmed/22628654&lt;/url&gt;&lt;/related-urls&gt;&lt;/urls&gt;&lt;custom2&gt;3457925&lt;/custom2&gt;&lt;electronic-resource-num&gt;10.1126/science.1218231&lt;/electronic-resource-num&gt;&lt;/record&gt;&lt;/Cite&gt;&lt;/EndNote&gt;</w:instrText>
      </w:r>
      <w:r>
        <w:fldChar w:fldCharType="separate"/>
      </w:r>
      <w:r>
        <w:rPr>
          <w:noProof/>
        </w:rPr>
        <w:t>(</w:t>
      </w:r>
      <w:hyperlink w:anchor="_ENREF_1" w:tooltip="Karplus, 2012 #27036" w:history="1">
        <w:r>
          <w:rPr>
            <w:noProof/>
          </w:rPr>
          <w:t>1</w:t>
        </w:r>
      </w:hyperlink>
      <w:r>
        <w:rPr>
          <w:noProof/>
        </w:rPr>
        <w:t>)</w:t>
      </w:r>
      <w:r>
        <w:fldChar w:fldCharType="end"/>
      </w:r>
      <w:r>
        <w:t xml:space="preserve">. </w:t>
      </w:r>
      <w:r w:rsidRPr="00E02A7F">
        <w:t xml:space="preserve">Highest resolution shell </w:t>
      </w:r>
      <w:r w:rsidRPr="00E02A7F">
        <w:rPr>
          <w:i/>
        </w:rPr>
        <w:t>CC</w:t>
      </w:r>
      <w:r w:rsidRPr="00E02A7F">
        <w:rPr>
          <w:vertAlign w:val="superscript"/>
        </w:rPr>
        <w:t>(1/2)</w:t>
      </w:r>
      <w:r>
        <w:rPr>
          <w:vertAlign w:val="superscript"/>
        </w:rPr>
        <w:t xml:space="preserve"> </w:t>
      </w:r>
      <w:r w:rsidRPr="00E02A7F">
        <w:t>value</w:t>
      </w:r>
      <w:r>
        <w:t>s are</w:t>
      </w:r>
      <w:r w:rsidRPr="00E02A7F">
        <w:t xml:space="preserve"> significant at </w:t>
      </w:r>
      <w:r>
        <w:t xml:space="preserve">the </w:t>
      </w:r>
      <w:r w:rsidRPr="00E02A7F">
        <w:rPr>
          <w:i/>
        </w:rPr>
        <w:t>p</w:t>
      </w:r>
      <w:r w:rsidRPr="00E02A7F">
        <w:t> = 0.001</w:t>
      </w:r>
      <w:r>
        <w:t xml:space="preserve"> level</w:t>
      </w:r>
      <w:r w:rsidRPr="00E02A7F">
        <w:t>.</w:t>
      </w:r>
    </w:p>
    <w:p w:rsidR="00C450E6" w:rsidRDefault="00C450E6" w:rsidP="00C450E6">
      <w:r>
        <w:rPr>
          <w:vertAlign w:val="superscript"/>
        </w:rPr>
        <w:t>#</w:t>
      </w:r>
      <w:r>
        <w:t xml:space="preserve">SIR resolution range </w:t>
      </w:r>
      <w:r w:rsidRPr="0044422D">
        <w:t>(Å)</w:t>
      </w:r>
      <w:r>
        <w:t>: 3.61 – 11.16</w:t>
      </w:r>
    </w:p>
    <w:p w:rsidR="00C450E6" w:rsidRDefault="00C450E6" w:rsidP="00C450E6">
      <w:pPr>
        <w:ind w:left="720" w:hanging="720"/>
        <w:rPr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7A7459">
        <w:rPr>
          <w:rFonts w:cs="Times New Roman"/>
          <w:noProof/>
        </w:rPr>
        <w:t>1.</w:t>
      </w:r>
      <w:r w:rsidRPr="007A7459">
        <w:rPr>
          <w:rFonts w:cs="Times New Roman"/>
          <w:noProof/>
        </w:rPr>
        <w:tab/>
        <w:t xml:space="preserve">Karplus PA &amp; Diederichs K (2012) Linking crystallographic model and data quality. </w:t>
      </w:r>
      <w:r w:rsidRPr="007A7459">
        <w:rPr>
          <w:rFonts w:cs="Times New Roman"/>
          <w:i/>
          <w:noProof/>
        </w:rPr>
        <w:t>Science</w:t>
      </w:r>
      <w:r w:rsidRPr="007A7459">
        <w:rPr>
          <w:rFonts w:cs="Times New Roman"/>
          <w:noProof/>
        </w:rPr>
        <w:t xml:space="preserve"> 336(6084):1030-1033.</w:t>
      </w:r>
      <w:r>
        <w:rPr>
          <w:noProof/>
        </w:rPr>
        <w:t xml:space="preserve"> </w:t>
      </w:r>
    </w:p>
    <w:p w:rsidR="00C450E6" w:rsidRPr="00732381" w:rsidRDefault="00C450E6" w:rsidP="00C450E6">
      <w:pPr>
        <w:spacing w:line="480" w:lineRule="auto"/>
        <w:jc w:val="both"/>
        <w:rPr>
          <w:rFonts w:cs="Times New Roman"/>
          <w:lang w:val="en-US"/>
        </w:rPr>
      </w:pPr>
      <w:r>
        <w:fldChar w:fldCharType="end"/>
      </w:r>
    </w:p>
    <w:p w:rsidR="009D31A6" w:rsidRDefault="009D31A6">
      <w:bookmarkStart w:id="0" w:name="_GoBack"/>
      <w:bookmarkEnd w:id="0"/>
    </w:p>
    <w:sectPr w:rsidR="009D31A6" w:rsidSect="000154F6">
      <w:headerReference w:type="even" r:id="rId5"/>
      <w:headerReference w:type="default" r:id="rId6"/>
      <w:pgSz w:w="11900" w:h="16840"/>
      <w:pgMar w:top="1247" w:right="1134" w:bottom="1247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FJJNC+TimesNewRomanPSMT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EA3" w:rsidRDefault="00C450E6" w:rsidP="00FE300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37EA3" w:rsidRDefault="00C450E6" w:rsidP="00E66513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EA3" w:rsidRDefault="00C450E6" w:rsidP="00FE300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337EA3" w:rsidRPr="00E66513" w:rsidRDefault="00C450E6" w:rsidP="00E66513">
    <w:pPr>
      <w:pStyle w:val="Header"/>
      <w:ind w:right="360"/>
      <w:rPr>
        <w:i/>
      </w:rPr>
    </w:pPr>
    <w:r w:rsidRPr="00E66513">
      <w:rPr>
        <w:i/>
      </w:rPr>
      <w:t>Chen et al.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0E6"/>
    <w:rsid w:val="001C4584"/>
    <w:rsid w:val="009D31A6"/>
    <w:rsid w:val="00C450E6"/>
    <w:rsid w:val="00D81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1082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0E6"/>
    <w:rPr>
      <w:rFonts w:ascii="Times New Roman" w:hAnsi="Times New Roman"/>
      <w:lang w:val="en-AU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50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50E6"/>
    <w:rPr>
      <w:rFonts w:ascii="Times New Roman" w:hAnsi="Times New Roman"/>
      <w:lang w:val="en-AU" w:eastAsia="ja-JP"/>
    </w:rPr>
  </w:style>
  <w:style w:type="character" w:styleId="PageNumber">
    <w:name w:val="page number"/>
    <w:basedOn w:val="DefaultParagraphFont"/>
    <w:unhideWhenUsed/>
    <w:rsid w:val="00C450E6"/>
  </w:style>
  <w:style w:type="paragraph" w:customStyle="1" w:styleId="Default">
    <w:name w:val="Default"/>
    <w:rsid w:val="00C450E6"/>
    <w:pPr>
      <w:widowControl w:val="0"/>
      <w:autoSpaceDE w:val="0"/>
      <w:autoSpaceDN w:val="0"/>
      <w:adjustRightInd w:val="0"/>
    </w:pPr>
    <w:rPr>
      <w:rFonts w:ascii="DFJJNC+TimesNewRomanPSMT" w:eastAsia="Times New Roman" w:hAnsi="DFJJNC+TimesNewRomanPSMT" w:cs="DFJJNC+TimesNewRomanPSMT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0E6"/>
    <w:rPr>
      <w:rFonts w:ascii="Times New Roman" w:hAnsi="Times New Roman"/>
      <w:lang w:val="en-AU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50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50E6"/>
    <w:rPr>
      <w:rFonts w:ascii="Times New Roman" w:hAnsi="Times New Roman"/>
      <w:lang w:val="en-AU" w:eastAsia="ja-JP"/>
    </w:rPr>
  </w:style>
  <w:style w:type="character" w:styleId="PageNumber">
    <w:name w:val="page number"/>
    <w:basedOn w:val="DefaultParagraphFont"/>
    <w:unhideWhenUsed/>
    <w:rsid w:val="00C450E6"/>
  </w:style>
  <w:style w:type="paragraph" w:customStyle="1" w:styleId="Default">
    <w:name w:val="Default"/>
    <w:rsid w:val="00C450E6"/>
    <w:pPr>
      <w:widowControl w:val="0"/>
      <w:autoSpaceDE w:val="0"/>
      <w:autoSpaceDN w:val="0"/>
      <w:adjustRightInd w:val="0"/>
    </w:pPr>
    <w:rPr>
      <w:rFonts w:ascii="DFJJNC+TimesNewRomanPSMT" w:eastAsia="Times New Roman" w:hAnsi="DFJJNC+TimesNewRomanPSMT" w:cs="DFJJNC+TimesNewRomanPSM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447</Words>
  <Characters>2551</Characters>
  <Application>Microsoft Macintosh Word</Application>
  <DocSecurity>0</DocSecurity>
  <Lines>21</Lines>
  <Paragraphs>5</Paragraphs>
  <ScaleCrop>false</ScaleCrop>
  <Company>eLife Sciences Publications, Ltd.</Company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Salter</dc:creator>
  <cp:keywords/>
  <dc:description/>
  <cp:lastModifiedBy>Joe Salter</cp:lastModifiedBy>
  <cp:revision>1</cp:revision>
  <dcterms:created xsi:type="dcterms:W3CDTF">2014-09-08T15:34:00Z</dcterms:created>
  <dcterms:modified xsi:type="dcterms:W3CDTF">2014-09-08T15:35:00Z</dcterms:modified>
</cp:coreProperties>
</file>