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73" w:rsidRPr="006B49C5" w:rsidRDefault="003F2E73" w:rsidP="003F2E73">
      <w:pPr>
        <w:spacing w:line="360" w:lineRule="auto"/>
        <w:rPr>
          <w:rFonts w:ascii="Times New Roman" w:hAnsi="Times New Roman"/>
          <w:szCs w:val="22"/>
        </w:rPr>
      </w:pPr>
      <w:r w:rsidRPr="006B49C5">
        <w:rPr>
          <w:rFonts w:ascii="Times New Roman" w:hAnsi="Times New Roman"/>
          <w:b/>
          <w:szCs w:val="22"/>
        </w:rPr>
        <w:t>Table 1</w:t>
      </w:r>
      <w:r>
        <w:rPr>
          <w:rFonts w:ascii="Times New Roman" w:hAnsi="Times New Roman"/>
          <w:b/>
        </w:rPr>
        <w:t>-source data 1</w:t>
      </w:r>
      <w:r w:rsidRPr="006B49C5">
        <w:rPr>
          <w:rFonts w:ascii="Times New Roman" w:hAnsi="Times New Roman"/>
          <w:b/>
          <w:szCs w:val="22"/>
        </w:rPr>
        <w:t>. En</w:t>
      </w:r>
      <w:bookmarkStart w:id="0" w:name="_GoBack"/>
      <w:bookmarkEnd w:id="0"/>
      <w:r w:rsidRPr="006B49C5">
        <w:rPr>
          <w:rFonts w:ascii="Times New Roman" w:hAnsi="Times New Roman"/>
          <w:b/>
          <w:szCs w:val="22"/>
        </w:rPr>
        <w:t>vironmental induction of the Eu morph in dimorphic species.</w:t>
      </w:r>
      <w:r w:rsidRPr="006B49C5">
        <w:rPr>
          <w:rFonts w:ascii="Times New Roman" w:hAnsi="Times New Roman"/>
          <w:szCs w:val="22"/>
        </w:rPr>
        <w:t xml:space="preserve"> Results for individual replicates (plates) are shown.</w:t>
      </w:r>
    </w:p>
    <w:p w:rsidR="003F2E73" w:rsidRPr="006B49C5" w:rsidRDefault="003F2E73" w:rsidP="003F2E73">
      <w:pPr>
        <w:spacing w:line="360" w:lineRule="auto"/>
        <w:jc w:val="both"/>
        <w:rPr>
          <w:rFonts w:ascii="Times New Roman" w:hAnsi="Times New Roman"/>
          <w:b/>
          <w:szCs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99"/>
        <w:gridCol w:w="654"/>
        <w:gridCol w:w="588"/>
        <w:gridCol w:w="964"/>
        <w:gridCol w:w="656"/>
        <w:gridCol w:w="588"/>
        <w:gridCol w:w="967"/>
      </w:tblGrid>
      <w:tr w:rsidR="003F2E73" w:rsidRPr="006B49C5">
        <w:trPr>
          <w:trHeight w:val="320"/>
        </w:trPr>
        <w:tc>
          <w:tcPr>
            <w:tcW w:w="2407" w:type="pct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Dimorphic nematode species</w:t>
            </w:r>
          </w:p>
        </w:tc>
        <w:tc>
          <w:tcPr>
            <w:tcW w:w="1295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Treatment</w:t>
            </w:r>
          </w:p>
        </w:tc>
        <w:tc>
          <w:tcPr>
            <w:tcW w:w="1298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Control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rPr>
                <w:rFonts w:ascii="Times New Roman" w:eastAsiaTheme="majorEastAsia" w:hAnsi="Times New Roman" w:cstheme="majorBidi"/>
                <w:b/>
                <w:bCs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Eu, n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rPr>
                <w:rFonts w:ascii="Times New Roman" w:eastAsiaTheme="majorEastAsia" w:hAnsi="Times New Roman" w:cstheme="majorBidi"/>
                <w:b/>
                <w:bCs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St, n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rPr>
                <w:rFonts w:ascii="Times New Roman" w:eastAsiaTheme="majorEastAsia" w:hAnsi="Times New Roman" w:cstheme="majorBidi"/>
                <w:b/>
                <w:bCs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Eu, %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rPr>
                <w:rFonts w:ascii="Times New Roman" w:eastAsiaTheme="majorEastAsia" w:hAnsi="Times New Roman" w:cstheme="majorBidi"/>
                <w:b/>
                <w:bCs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Eu, n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rPr>
                <w:rFonts w:ascii="Times New Roman" w:eastAsiaTheme="majorEastAsia" w:hAnsi="Times New Roman" w:cstheme="majorBidi"/>
                <w:b/>
                <w:bCs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St, n</w:t>
            </w: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rPr>
                <w:rFonts w:ascii="Times New Roman" w:eastAsiaTheme="majorEastAsia" w:hAnsi="Times New Roman" w:cstheme="majorBidi"/>
                <w:b/>
                <w:bCs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Eu, %</w:t>
            </w:r>
          </w:p>
        </w:tc>
      </w:tr>
      <w:tr w:rsidR="003F2E73" w:rsidRPr="006B49C5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 xml:space="preserve">Deprivation of microbial food and presence of </w:t>
            </w:r>
            <w:r w:rsidRPr="006B49C5">
              <w:rPr>
                <w:rFonts w:ascii="Times New Roman" w:hAnsi="Times New Roman"/>
                <w:i/>
                <w:sz w:val="18"/>
                <w:szCs w:val="18"/>
              </w:rPr>
              <w:t>C. elegans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 xml:space="preserve"> larvae (“prey” treatment)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i/>
                <w:sz w:val="18"/>
                <w:szCs w:val="18"/>
              </w:rPr>
              <w:t>Allodiplogaster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 xml:space="preserve"> sp. 1 (RS1982)</w:t>
            </w:r>
          </w:p>
        </w:tc>
        <w:tc>
          <w:tcPr>
            <w:tcW w:w="384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568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2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i/>
                <w:sz w:val="18"/>
                <w:szCs w:val="18"/>
              </w:rPr>
              <w:t>Allodiplogaster sudhausi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 xml:space="preserve"> (SB413B)</w:t>
            </w: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i/>
                <w:sz w:val="18"/>
                <w:szCs w:val="18"/>
              </w:rPr>
              <w:t>Fictor stercorarius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 xml:space="preserve"> (RS9003)</w:t>
            </w: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2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i/>
                <w:sz w:val="18"/>
                <w:szCs w:val="18"/>
              </w:rPr>
              <w:t>Micoletzkya inedia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 xml:space="preserve"> (RS5605)</w:t>
            </w: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i/>
                <w:sz w:val="18"/>
                <w:szCs w:val="18"/>
              </w:rPr>
              <w:t>Micoletzkya japonica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 xml:space="preserve"> (RS5524B)</w:t>
            </w: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2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i/>
                <w:sz w:val="18"/>
                <w:szCs w:val="18"/>
              </w:rPr>
              <w:t xml:space="preserve">Mononchoides 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>sp. 1 (RS5441)</w:t>
            </w: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</w:tr>
      <w:tr w:rsidR="003F2E73" w:rsidRPr="006B49C5">
        <w:trPr>
          <w:trHeight w:val="32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i/>
                <w:sz w:val="18"/>
                <w:szCs w:val="18"/>
              </w:rPr>
              <w:t>Mononchoides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 xml:space="preserve"> sp. 3 (RS9008)</w:t>
            </w: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i/>
                <w:sz w:val="18"/>
                <w:szCs w:val="18"/>
              </w:rPr>
              <w:t>Neodiplogaster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 xml:space="preserve"> sp. (RS9009)</w:t>
            </w: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107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20"/>
        </w:trPr>
        <w:tc>
          <w:tcPr>
            <w:tcW w:w="2407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3F2E73" w:rsidRPr="006B49C5" w:rsidRDefault="003F2E73" w:rsidP="009D6893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Crowding and deprivation of food (“starved” treatment)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Diplogasteriana 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>n. sp.</w:t>
            </w:r>
            <w:r w:rsidRPr="006B49C5">
              <w:rPr>
                <w:rFonts w:ascii="Times New Roman" w:hAnsi="Times New Roman"/>
                <w:sz w:val="18"/>
                <w:szCs w:val="18"/>
              </w:rPr>
              <w:t xml:space="preserve"> (RS9000)</w:t>
            </w:r>
          </w:p>
        </w:tc>
        <w:tc>
          <w:tcPr>
            <w:tcW w:w="384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66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68" w:type="pct"/>
            <w:tcBorders>
              <w:top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Koerneria luziae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(RS5613)</w:t>
            </w: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194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184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188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Parapristionchus giblindavisi</w:t>
            </w:r>
            <w:r w:rsidRPr="006B4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(RS5555B)</w:t>
            </w: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566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8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45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568" w:type="pct"/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F2E73" w:rsidRPr="006B49C5">
        <w:trPr>
          <w:trHeight w:val="300"/>
        </w:trPr>
        <w:tc>
          <w:tcPr>
            <w:tcW w:w="2407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noWrap/>
          </w:tcPr>
          <w:p w:rsidR="003F2E73" w:rsidRPr="006B49C5" w:rsidRDefault="003F2E73" w:rsidP="009D689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49C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</w:tbl>
    <w:p w:rsidR="009E2B8F" w:rsidRDefault="009E2B8F"/>
    <w:sectPr w:rsidR="009E2B8F" w:rsidSect="009E2B8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TrackMoves/>
  <w:defaultTabStop w:val="720"/>
  <w:characterSpacingControl w:val="doNotCompress"/>
  <w:savePreviewPicture/>
  <w:compat>
    <w:useFELayout/>
  </w:compat>
  <w:rsids>
    <w:rsidRoot w:val="003F2E73"/>
    <w:rsid w:val="003F2E73"/>
    <w:rsid w:val="00821666"/>
    <w:rsid w:val="009E2B8F"/>
    <w:rsid w:val="00B07B42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E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F2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2E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7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2E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7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Macintosh Word</Application>
  <DocSecurity>0</DocSecurity>
  <Lines>8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Susoy</dc:creator>
  <cp:keywords/>
  <dc:description/>
  <cp:lastModifiedBy>Ralf Sommer</cp:lastModifiedBy>
  <cp:revision>2</cp:revision>
  <dcterms:created xsi:type="dcterms:W3CDTF">2015-01-30T11:23:00Z</dcterms:created>
  <dcterms:modified xsi:type="dcterms:W3CDTF">2015-01-30T11:23:00Z</dcterms:modified>
</cp:coreProperties>
</file>