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48B60" w14:textId="037369DC" w:rsidR="00626565" w:rsidRDefault="002C2F63" w:rsidP="00325B4B">
      <w:pPr>
        <w:spacing w:after="0" w:line="240" w:lineRule="auto"/>
        <w:jc w:val="both"/>
        <w:rPr>
          <w:sz w:val="24"/>
          <w:szCs w:val="24"/>
          <w:lang w:val="en-GB"/>
        </w:rPr>
      </w:pPr>
      <w:r>
        <w:rPr>
          <w:b/>
          <w:sz w:val="24"/>
          <w:szCs w:val="24"/>
          <w:lang w:val="en-GB"/>
        </w:rPr>
        <w:t xml:space="preserve">Supplementary </w:t>
      </w:r>
      <w:r w:rsidR="00A00311">
        <w:rPr>
          <w:b/>
          <w:sz w:val="24"/>
          <w:szCs w:val="24"/>
          <w:lang w:val="en-GB"/>
        </w:rPr>
        <w:t>File</w:t>
      </w:r>
      <w:bookmarkStart w:id="0" w:name="_GoBack"/>
      <w:bookmarkEnd w:id="0"/>
      <w:r>
        <w:rPr>
          <w:b/>
          <w:sz w:val="24"/>
          <w:szCs w:val="24"/>
          <w:lang w:val="en-GB"/>
        </w:rPr>
        <w:t xml:space="preserve"> 1</w:t>
      </w:r>
      <w:r w:rsidR="00626565" w:rsidRPr="00626565">
        <w:rPr>
          <w:sz w:val="24"/>
          <w:szCs w:val="24"/>
          <w:lang w:val="en-GB"/>
        </w:rPr>
        <w:t xml:space="preserve">: Genotypes of </w:t>
      </w:r>
      <w:r w:rsidR="00626565" w:rsidRPr="005C157A">
        <w:rPr>
          <w:i/>
          <w:sz w:val="24"/>
          <w:szCs w:val="24"/>
          <w:lang w:val="en-GB"/>
        </w:rPr>
        <w:t>Bacillus subtilis</w:t>
      </w:r>
      <w:r w:rsidR="005C157A">
        <w:rPr>
          <w:sz w:val="24"/>
          <w:szCs w:val="24"/>
          <w:lang w:val="en-GB"/>
        </w:rPr>
        <w:t xml:space="preserve"> strains. All s</w:t>
      </w:r>
      <w:r w:rsidR="00626565" w:rsidRPr="00626565">
        <w:rPr>
          <w:sz w:val="24"/>
          <w:szCs w:val="24"/>
          <w:lang w:val="en-GB"/>
        </w:rPr>
        <w:t xml:space="preserve">trains are derived from </w:t>
      </w:r>
      <w:r w:rsidR="00626565" w:rsidRPr="00626565">
        <w:rPr>
          <w:i/>
          <w:sz w:val="24"/>
          <w:szCs w:val="24"/>
          <w:lang w:val="en-GB"/>
        </w:rPr>
        <w:t>Bacillus subtilis</w:t>
      </w:r>
      <w:r w:rsidR="00626565" w:rsidRPr="00626565">
        <w:rPr>
          <w:sz w:val="24"/>
          <w:szCs w:val="24"/>
          <w:lang w:val="en-GB"/>
        </w:rPr>
        <w:t xml:space="preserve"> 1A700 (Bacillus Genetic Stock Centre) or from </w:t>
      </w:r>
      <w:r w:rsidR="00626565" w:rsidRPr="00626565">
        <w:rPr>
          <w:i/>
          <w:sz w:val="24"/>
          <w:szCs w:val="24"/>
          <w:lang w:val="en-GB"/>
        </w:rPr>
        <w:t>Bacillus subtilis</w:t>
      </w:r>
      <w:r w:rsidR="00626565" w:rsidRPr="00626565">
        <w:rPr>
          <w:sz w:val="24"/>
          <w:szCs w:val="24"/>
          <w:lang w:val="en-GB"/>
        </w:rPr>
        <w:t xml:space="preserve"> 168 ED </w:t>
      </w:r>
      <w:r w:rsidR="00626565" w:rsidRPr="00626565">
        <w:rPr>
          <w:sz w:val="24"/>
          <w:szCs w:val="24"/>
          <w:lang w:val="en-GB"/>
        </w:rPr>
        <w:fldChar w:fldCharType="begin" w:fldLock="1"/>
      </w:r>
      <w:r w:rsidR="0002486D">
        <w:rPr>
          <w:sz w:val="24"/>
          <w:szCs w:val="24"/>
          <w:lang w:val="en-GB"/>
        </w:rPr>
        <w:instrText>ADDIN CSL_CITATION { "citationItems" : [ { "id" : "ITEM-1", "itemData" : { "DOI" : "10.1111/j.1365-2958.2011.07920.x", "ISSN" : "0950382X", "PMID" : "22122227", "abstract" : "L-forms are variants of common bacteria that can grow and proliferate without a cell wall. Little is known about their molecular cell biology but they undergo a remarkable mode of proliferation that is independent of the normally essential FtsZ-dependent division machinery. We have isolated a strain of Bacillus subtilis that can quickly and quantitatively convert from the walled to the L-form state. Analysis of the transition process identified an unexpected 'escape' step needed for L-form emergence from the rod. Mutations in two different genes, walR and sepF, contribute to the high frequency of escape: walR, a transcriptional regulator involved in cell wall homeostasis; and sepF, required for accurate and efficient cell division. Time-lapse imaging shows that the mutations act by facilitating the release of the L-form from its walled parent cell but that they act in different ways. The walR mutation renders the activity of the protein partially constitutive, inappropriately upregulating the activity of autolytic enzymes that weaken the cell wall. The sepF mutation probably works by perturbing the formation of a properly constructed division septum, generating a mechanical breach in the wall. The new strain provides a powerful experimental system for studying the genetics and cell biology of L-forms.", "author" : [ { "dropping-particle" : "", "family" : "Dom\u00ednguez-Cuevas", "given" : "Patricia", "non-dropping-particle" : "", "parse-names" : false, "suffix" : "" }, { "dropping-particle" : "", "family" : "Mercier", "given" : "Romain", "non-dropping-particle" : "", "parse-names" : false, "suffix" : "" }, { "dropping-particle" : "", "family" : "Leaver", "given" : "Mark", "non-dropping-particle" : "", "parse-names" : false, "suffix" : "" }, { "dropping-particle" : "", "family" : "Kawai", "given" : "Yoshikazu", "non-dropping-particle" : "", "parse-names" : false, "suffix" : "" }, { "dropping-particle" : "", "family" : "Errington", "given" : "Jeff", "non-dropping-particle" : "", "parse-names" : false, "suffix" : "" } ], "container-title" : "Molecular Microbiology", "id" : "ITEM-1", "issue" : "1", "issued" : { "date-parts" : [ [ "2012" ] ] }, "page" : "52-66", "title" : "The rod to L-form transition of Bacillus subtilis is limited by a requirement for the protoplast to escape from the cell wall sacculus", "type" : "article-journal", "volume" : "83" }, "uris" : [ "http://www.mendeley.com/documents/?uuid=0867a3bd-e209-4f63-b750-7f5ec5a094a9" ] } ], "mendeley" : { "formattedCitation" : "(Dom\u00ednguez-Cuevas et al., 2012)", "plainTextFormattedCitation" : "(Dom\u00ednguez-Cuevas et al., 2012)", "previouslyFormattedCitation" : "(Dom\u00ednguez-Cuevas et al., 2012)" }, "properties" : { "noteIndex" : 0 }, "schema" : "https://github.com/citation-style-language/schema/raw/master/csl-citation.json" }</w:instrText>
      </w:r>
      <w:r w:rsidR="00626565" w:rsidRPr="00626565">
        <w:rPr>
          <w:sz w:val="24"/>
          <w:szCs w:val="24"/>
          <w:lang w:val="en-GB"/>
        </w:rPr>
        <w:fldChar w:fldCharType="separate"/>
      </w:r>
      <w:r w:rsidR="00626565" w:rsidRPr="00626565">
        <w:rPr>
          <w:noProof/>
          <w:sz w:val="24"/>
          <w:szCs w:val="24"/>
          <w:lang w:val="en-GB"/>
        </w:rPr>
        <w:t>(Domínguez-Cuevas et al., 2012)</w:t>
      </w:r>
      <w:r w:rsidR="00626565" w:rsidRPr="00626565">
        <w:rPr>
          <w:sz w:val="24"/>
          <w:szCs w:val="24"/>
          <w:lang w:val="en-GB"/>
        </w:rPr>
        <w:fldChar w:fldCharType="end"/>
      </w:r>
      <w:r w:rsidR="00626565" w:rsidRPr="00626565">
        <w:rPr>
          <w:sz w:val="24"/>
          <w:szCs w:val="24"/>
          <w:lang w:val="en-GB"/>
        </w:rPr>
        <w:t>.</w:t>
      </w:r>
    </w:p>
    <w:p w14:paraId="60FE30CA" w14:textId="77777777" w:rsidR="00325B4B" w:rsidRPr="00626565" w:rsidRDefault="00325B4B" w:rsidP="00325B4B">
      <w:pPr>
        <w:spacing w:after="0" w:line="240" w:lineRule="auto"/>
        <w:jc w:val="both"/>
        <w:rPr>
          <w:sz w:val="24"/>
          <w:szCs w:val="24"/>
          <w:lang w:val="en-GB"/>
        </w:rPr>
      </w:pPr>
    </w:p>
    <w:tbl>
      <w:tblPr>
        <w:tblW w:w="8520" w:type="dxa"/>
        <w:tblInd w:w="93" w:type="dxa"/>
        <w:tblBorders>
          <w:top w:val="single" w:sz="4" w:space="0" w:color="auto"/>
          <w:bottom w:val="single" w:sz="4" w:space="0" w:color="auto"/>
        </w:tblBorders>
        <w:tblLook w:val="04A0" w:firstRow="1" w:lastRow="0" w:firstColumn="1" w:lastColumn="0" w:noHBand="0" w:noVBand="1"/>
      </w:tblPr>
      <w:tblGrid>
        <w:gridCol w:w="1171"/>
        <w:gridCol w:w="7349"/>
      </w:tblGrid>
      <w:tr w:rsidR="00626565" w:rsidRPr="00626565" w14:paraId="6EB781A7" w14:textId="77777777" w:rsidTr="001A2FEA">
        <w:trPr>
          <w:trHeight w:val="300"/>
        </w:trPr>
        <w:tc>
          <w:tcPr>
            <w:tcW w:w="1171" w:type="dxa"/>
            <w:tcBorders>
              <w:top w:val="single" w:sz="4" w:space="0" w:color="auto"/>
              <w:bottom w:val="single" w:sz="4" w:space="0" w:color="auto"/>
            </w:tcBorders>
            <w:shd w:val="clear" w:color="auto" w:fill="auto"/>
            <w:hideMark/>
          </w:tcPr>
          <w:p w14:paraId="0713C9F4" w14:textId="77777777" w:rsidR="00626565" w:rsidRPr="00626565" w:rsidRDefault="00626565" w:rsidP="001A2FEA">
            <w:pPr>
              <w:spacing w:after="0" w:line="240" w:lineRule="auto"/>
              <w:rPr>
                <w:rFonts w:eastAsia="Times New Roman" w:cs="Times New Roman"/>
                <w:color w:val="000000"/>
                <w:sz w:val="20"/>
                <w:szCs w:val="20"/>
                <w:lang w:val="en-GB"/>
              </w:rPr>
            </w:pPr>
            <w:r w:rsidRPr="00626565">
              <w:rPr>
                <w:rFonts w:eastAsia="Times New Roman" w:cs="Times New Roman"/>
                <w:color w:val="000000"/>
                <w:sz w:val="20"/>
                <w:szCs w:val="20"/>
                <w:lang w:val="en-GB"/>
              </w:rPr>
              <w:t>Name</w:t>
            </w:r>
          </w:p>
        </w:tc>
        <w:tc>
          <w:tcPr>
            <w:tcW w:w="7349" w:type="dxa"/>
            <w:tcBorders>
              <w:top w:val="single" w:sz="4" w:space="0" w:color="auto"/>
              <w:bottom w:val="single" w:sz="4" w:space="0" w:color="auto"/>
            </w:tcBorders>
            <w:shd w:val="clear" w:color="auto" w:fill="auto"/>
            <w:hideMark/>
          </w:tcPr>
          <w:p w14:paraId="1D3754A8" w14:textId="77777777" w:rsidR="00626565" w:rsidRPr="00626565" w:rsidRDefault="00626565" w:rsidP="001A2FEA">
            <w:pPr>
              <w:spacing w:after="0" w:line="240" w:lineRule="auto"/>
              <w:rPr>
                <w:rFonts w:eastAsia="Times New Roman" w:cs="Times New Roman"/>
                <w:color w:val="000000"/>
                <w:sz w:val="20"/>
                <w:szCs w:val="20"/>
                <w:lang w:val="en-GB"/>
              </w:rPr>
            </w:pPr>
            <w:r w:rsidRPr="00626565">
              <w:rPr>
                <w:rFonts w:eastAsia="Times New Roman" w:cs="Times New Roman"/>
                <w:color w:val="000000"/>
                <w:sz w:val="20"/>
                <w:szCs w:val="20"/>
                <w:lang w:val="en-GB"/>
              </w:rPr>
              <w:t>Genotype</w:t>
            </w:r>
          </w:p>
        </w:tc>
      </w:tr>
      <w:tr w:rsidR="00BC58E4" w:rsidRPr="00626565" w14:paraId="386680E3" w14:textId="77777777" w:rsidTr="001A2FEA">
        <w:trPr>
          <w:trHeight w:val="300"/>
        </w:trPr>
        <w:tc>
          <w:tcPr>
            <w:tcW w:w="1171" w:type="dxa"/>
            <w:shd w:val="clear" w:color="auto" w:fill="auto"/>
          </w:tcPr>
          <w:p w14:paraId="10F5CE98" w14:textId="77777777" w:rsidR="00BC58E4" w:rsidRPr="00626565" w:rsidRDefault="00BC58E4" w:rsidP="001A2FEA">
            <w:pPr>
              <w:spacing w:after="0" w:line="240" w:lineRule="auto"/>
              <w:rPr>
                <w:rFonts w:eastAsia="Times New Roman" w:cs="Times New Roman"/>
                <w:color w:val="000000" w:themeColor="text1"/>
                <w:sz w:val="20"/>
                <w:szCs w:val="20"/>
                <w:lang w:val="en-GB"/>
              </w:rPr>
            </w:pPr>
            <w:r>
              <w:rPr>
                <w:rFonts w:eastAsia="Times New Roman" w:cs="Times New Roman"/>
                <w:color w:val="000000" w:themeColor="text1"/>
                <w:sz w:val="20"/>
                <w:szCs w:val="20"/>
                <w:lang w:val="en-GB"/>
              </w:rPr>
              <w:t>BSG1001</w:t>
            </w:r>
          </w:p>
        </w:tc>
        <w:tc>
          <w:tcPr>
            <w:tcW w:w="7349" w:type="dxa"/>
            <w:shd w:val="clear" w:color="auto" w:fill="auto"/>
          </w:tcPr>
          <w:p w14:paraId="4103587D" w14:textId="77777777" w:rsidR="00BC58E4" w:rsidRPr="00626565" w:rsidRDefault="00BC58E4" w:rsidP="001A2FEA">
            <w:pPr>
              <w:spacing w:after="0" w:line="240" w:lineRule="auto"/>
              <w:rPr>
                <w:rFonts w:eastAsia="Times New Roman" w:cs="Times New Roman"/>
                <w:i/>
                <w:color w:val="000000" w:themeColor="text1"/>
                <w:sz w:val="20"/>
                <w:szCs w:val="20"/>
                <w:lang w:val="en-GB"/>
              </w:rPr>
            </w:pPr>
            <w:r>
              <w:rPr>
                <w:rFonts w:eastAsia="Times New Roman" w:cs="Times New Roman"/>
                <w:i/>
                <w:color w:val="000000" w:themeColor="text1"/>
                <w:sz w:val="20"/>
                <w:szCs w:val="20"/>
                <w:lang w:val="en-GB"/>
              </w:rPr>
              <w:t>1</w:t>
            </w:r>
            <w:r w:rsidR="00513137">
              <w:rPr>
                <w:rFonts w:eastAsia="Times New Roman" w:cs="Times New Roman"/>
                <w:i/>
                <w:color w:val="000000" w:themeColor="text1"/>
                <w:sz w:val="20"/>
                <w:szCs w:val="20"/>
                <w:lang w:val="en-GB"/>
              </w:rPr>
              <w:t>A700, trpC2</w:t>
            </w:r>
          </w:p>
        </w:tc>
      </w:tr>
      <w:tr w:rsidR="00626565" w:rsidRPr="00626565" w14:paraId="5A184C64" w14:textId="77777777" w:rsidTr="001A2FEA">
        <w:trPr>
          <w:trHeight w:val="300"/>
        </w:trPr>
        <w:tc>
          <w:tcPr>
            <w:tcW w:w="1171" w:type="dxa"/>
            <w:shd w:val="clear" w:color="auto" w:fill="auto"/>
            <w:hideMark/>
          </w:tcPr>
          <w:p w14:paraId="4F6B5743"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BSG1002</w:t>
            </w:r>
          </w:p>
        </w:tc>
        <w:tc>
          <w:tcPr>
            <w:tcW w:w="7349" w:type="dxa"/>
            <w:shd w:val="clear" w:color="auto" w:fill="auto"/>
            <w:hideMark/>
          </w:tcPr>
          <w:p w14:paraId="63FF742A"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 ftsY::ermB, trpC2</w:t>
            </w:r>
          </w:p>
        </w:tc>
      </w:tr>
      <w:tr w:rsidR="00626565" w:rsidRPr="00626565" w14:paraId="0E7AFA17" w14:textId="77777777" w:rsidTr="001A2FEA">
        <w:trPr>
          <w:trHeight w:val="300"/>
        </w:trPr>
        <w:tc>
          <w:tcPr>
            <w:tcW w:w="1171" w:type="dxa"/>
            <w:shd w:val="clear" w:color="auto" w:fill="auto"/>
            <w:hideMark/>
          </w:tcPr>
          <w:p w14:paraId="71379010"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BSG1007</w:t>
            </w:r>
          </w:p>
        </w:tc>
        <w:tc>
          <w:tcPr>
            <w:tcW w:w="7349" w:type="dxa"/>
            <w:shd w:val="clear" w:color="auto" w:fill="auto"/>
            <w:hideMark/>
          </w:tcPr>
          <w:p w14:paraId="7B9E99B0"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Δsmc ftsY::ermB, trpC2</w:t>
            </w:r>
          </w:p>
        </w:tc>
      </w:tr>
      <w:tr w:rsidR="00626565" w:rsidRPr="00626565" w14:paraId="32B73C94" w14:textId="77777777" w:rsidTr="001A2FEA">
        <w:trPr>
          <w:trHeight w:val="300"/>
        </w:trPr>
        <w:tc>
          <w:tcPr>
            <w:tcW w:w="1171" w:type="dxa"/>
            <w:shd w:val="clear" w:color="auto" w:fill="auto"/>
          </w:tcPr>
          <w:p w14:paraId="1ED8EF4B"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BSG1008</w:t>
            </w:r>
          </w:p>
        </w:tc>
        <w:tc>
          <w:tcPr>
            <w:tcW w:w="7349" w:type="dxa"/>
            <w:shd w:val="clear" w:color="auto" w:fill="auto"/>
          </w:tcPr>
          <w:p w14:paraId="0360C6CC"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smc(E1118Q) ftsY::ermB, trpC2</w:t>
            </w:r>
          </w:p>
        </w:tc>
      </w:tr>
      <w:tr w:rsidR="00626565" w:rsidRPr="00626565" w14:paraId="0C7605DE" w14:textId="77777777" w:rsidTr="001A2FEA">
        <w:trPr>
          <w:trHeight w:val="300"/>
        </w:trPr>
        <w:tc>
          <w:tcPr>
            <w:tcW w:w="1171" w:type="dxa"/>
            <w:shd w:val="clear" w:color="auto" w:fill="auto"/>
          </w:tcPr>
          <w:p w14:paraId="3A9BC3A5"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sz w:val="20"/>
                <w:szCs w:val="20"/>
              </w:rPr>
              <w:t>BSG1045</w:t>
            </w:r>
          </w:p>
        </w:tc>
        <w:tc>
          <w:tcPr>
            <w:tcW w:w="7349" w:type="dxa"/>
            <w:shd w:val="clear" w:color="auto" w:fill="auto"/>
          </w:tcPr>
          <w:p w14:paraId="04AD6E88"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sz w:val="20"/>
                <w:szCs w:val="20"/>
              </w:rPr>
              <w:t>1A700, smc(K37I) ftsY::ermB, trpC2</w:t>
            </w:r>
          </w:p>
        </w:tc>
      </w:tr>
      <w:tr w:rsidR="00626565" w:rsidRPr="00626565" w14:paraId="0049046F" w14:textId="77777777" w:rsidTr="001A2FEA">
        <w:trPr>
          <w:trHeight w:val="300"/>
        </w:trPr>
        <w:tc>
          <w:tcPr>
            <w:tcW w:w="1171" w:type="dxa"/>
            <w:shd w:val="clear" w:color="auto" w:fill="auto"/>
          </w:tcPr>
          <w:p w14:paraId="26CBBA71"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sz w:val="20"/>
                <w:szCs w:val="20"/>
              </w:rPr>
              <w:t>BSG1046</w:t>
            </w:r>
          </w:p>
        </w:tc>
        <w:tc>
          <w:tcPr>
            <w:tcW w:w="7349" w:type="dxa"/>
            <w:shd w:val="clear" w:color="auto" w:fill="auto"/>
          </w:tcPr>
          <w:p w14:paraId="70BC3BA4"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sz w:val="20"/>
                <w:szCs w:val="20"/>
              </w:rPr>
              <w:t>1A700, smc(S1090R) ftsY::ermB, trpC2</w:t>
            </w:r>
          </w:p>
        </w:tc>
      </w:tr>
      <w:tr w:rsidR="00626565" w:rsidRPr="00626565" w14:paraId="4373E63C" w14:textId="77777777" w:rsidTr="001A2FEA">
        <w:trPr>
          <w:trHeight w:val="300"/>
        </w:trPr>
        <w:tc>
          <w:tcPr>
            <w:tcW w:w="1171" w:type="dxa"/>
            <w:shd w:val="clear" w:color="auto" w:fill="auto"/>
          </w:tcPr>
          <w:p w14:paraId="0C3BC190"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sz w:val="20"/>
                <w:szCs w:val="20"/>
              </w:rPr>
              <w:t>BSG1047</w:t>
            </w:r>
          </w:p>
        </w:tc>
        <w:tc>
          <w:tcPr>
            <w:tcW w:w="7349" w:type="dxa"/>
            <w:shd w:val="clear" w:color="auto" w:fill="auto"/>
          </w:tcPr>
          <w:p w14:paraId="6B7D5D5F"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sz w:val="20"/>
                <w:szCs w:val="20"/>
              </w:rPr>
              <w:t>1A700, smc(D1117A) ftsY::ermB, trpC2</w:t>
            </w:r>
          </w:p>
        </w:tc>
      </w:tr>
      <w:tr w:rsidR="00626565" w:rsidRPr="00626565" w14:paraId="210C332C" w14:textId="77777777" w:rsidTr="001A2FEA">
        <w:trPr>
          <w:trHeight w:val="300"/>
        </w:trPr>
        <w:tc>
          <w:tcPr>
            <w:tcW w:w="1171" w:type="dxa"/>
            <w:shd w:val="clear" w:color="auto" w:fill="auto"/>
            <w:hideMark/>
          </w:tcPr>
          <w:p w14:paraId="50546988"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BSG1104</w:t>
            </w:r>
          </w:p>
        </w:tc>
        <w:tc>
          <w:tcPr>
            <w:tcW w:w="7349" w:type="dxa"/>
            <w:shd w:val="clear" w:color="auto" w:fill="auto"/>
            <w:hideMark/>
          </w:tcPr>
          <w:p w14:paraId="51616929"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smc-TEV-AviTag ftsY::(ermB birA), cat::scpA scpB, trpC2</w:t>
            </w:r>
          </w:p>
        </w:tc>
      </w:tr>
      <w:tr w:rsidR="00626565" w:rsidRPr="00626565" w14:paraId="62B1581D" w14:textId="77777777" w:rsidTr="001A2FEA">
        <w:trPr>
          <w:trHeight w:val="300"/>
        </w:trPr>
        <w:tc>
          <w:tcPr>
            <w:tcW w:w="1171" w:type="dxa"/>
            <w:shd w:val="clear" w:color="auto" w:fill="auto"/>
            <w:hideMark/>
          </w:tcPr>
          <w:p w14:paraId="6C13DA53"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BSG1105</w:t>
            </w:r>
          </w:p>
        </w:tc>
        <w:tc>
          <w:tcPr>
            <w:tcW w:w="7349" w:type="dxa"/>
            <w:shd w:val="clear" w:color="auto" w:fill="auto"/>
            <w:hideMark/>
          </w:tcPr>
          <w:p w14:paraId="50AB9CF6"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R1032C)-TEV-AviTag ftsY::(ermB, birA), cat::scpA(E52C, H235C), trpC2</w:t>
            </w:r>
          </w:p>
        </w:tc>
      </w:tr>
      <w:tr w:rsidR="00626565" w:rsidRPr="00626565" w14:paraId="31B635A1" w14:textId="77777777" w:rsidTr="001A2FEA">
        <w:trPr>
          <w:trHeight w:val="300"/>
        </w:trPr>
        <w:tc>
          <w:tcPr>
            <w:tcW w:w="1171" w:type="dxa"/>
            <w:shd w:val="clear" w:color="auto" w:fill="auto"/>
            <w:hideMark/>
          </w:tcPr>
          <w:p w14:paraId="488E4D11"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BSG1107</w:t>
            </w:r>
          </w:p>
        </w:tc>
        <w:tc>
          <w:tcPr>
            <w:tcW w:w="7349" w:type="dxa"/>
            <w:shd w:val="clear" w:color="auto" w:fill="auto"/>
            <w:hideMark/>
          </w:tcPr>
          <w:p w14:paraId="162F5AAC"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smc-TEV-AviTag ftsY::tetL, cat::scpA scpB, trpC2</w:t>
            </w:r>
          </w:p>
        </w:tc>
      </w:tr>
      <w:tr w:rsidR="00626565" w:rsidRPr="00626565" w14:paraId="0E4AB191" w14:textId="77777777" w:rsidTr="001A2FEA">
        <w:trPr>
          <w:trHeight w:val="300"/>
        </w:trPr>
        <w:tc>
          <w:tcPr>
            <w:tcW w:w="1171" w:type="dxa"/>
            <w:shd w:val="clear" w:color="auto" w:fill="auto"/>
            <w:hideMark/>
          </w:tcPr>
          <w:p w14:paraId="36341D5B"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BSG1108</w:t>
            </w:r>
          </w:p>
        </w:tc>
        <w:tc>
          <w:tcPr>
            <w:tcW w:w="7349" w:type="dxa"/>
            <w:shd w:val="clear" w:color="auto" w:fill="auto"/>
            <w:hideMark/>
          </w:tcPr>
          <w:p w14:paraId="08570AEC"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R1032C)-TEV-AviTag ftsY::tetL, cat::scpA(E52C, H235C), trpC2</w:t>
            </w:r>
          </w:p>
        </w:tc>
      </w:tr>
      <w:tr w:rsidR="00626565" w:rsidRPr="00626565" w14:paraId="6E980731" w14:textId="77777777" w:rsidTr="001A2FEA">
        <w:trPr>
          <w:trHeight w:val="300"/>
        </w:trPr>
        <w:tc>
          <w:tcPr>
            <w:tcW w:w="1171" w:type="dxa"/>
            <w:shd w:val="clear" w:color="auto" w:fill="auto"/>
            <w:hideMark/>
          </w:tcPr>
          <w:p w14:paraId="628AB322"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BSG1449</w:t>
            </w:r>
          </w:p>
        </w:tc>
        <w:tc>
          <w:tcPr>
            <w:tcW w:w="7349" w:type="dxa"/>
            <w:shd w:val="clear" w:color="auto" w:fill="auto"/>
            <w:hideMark/>
          </w:tcPr>
          <w:p w14:paraId="7E0706AD"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dnaN-HISx12-HaloTag::specR, trpC2</w:t>
            </w:r>
          </w:p>
        </w:tc>
      </w:tr>
      <w:tr w:rsidR="00626565" w:rsidRPr="00626565" w14:paraId="2E8F98C6" w14:textId="77777777" w:rsidTr="001A2FEA">
        <w:trPr>
          <w:trHeight w:val="300"/>
        </w:trPr>
        <w:tc>
          <w:tcPr>
            <w:tcW w:w="1171" w:type="dxa"/>
            <w:shd w:val="clear" w:color="auto" w:fill="auto"/>
            <w:hideMark/>
          </w:tcPr>
          <w:p w14:paraId="5958D5D1"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BSG1459</w:t>
            </w:r>
          </w:p>
        </w:tc>
        <w:tc>
          <w:tcPr>
            <w:tcW w:w="7349" w:type="dxa"/>
            <w:shd w:val="clear" w:color="auto" w:fill="auto"/>
            <w:hideMark/>
          </w:tcPr>
          <w:p w14:paraId="400F85DF"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dnaN(N114C, V313C)-HISx12-HaloTag::specR, trpC</w:t>
            </w:r>
          </w:p>
        </w:tc>
      </w:tr>
      <w:tr w:rsidR="00626565" w:rsidRPr="00626565" w14:paraId="275BB0C5" w14:textId="77777777" w:rsidTr="001A2FEA">
        <w:trPr>
          <w:trHeight w:val="560"/>
        </w:trPr>
        <w:tc>
          <w:tcPr>
            <w:tcW w:w="1171" w:type="dxa"/>
            <w:shd w:val="clear" w:color="auto" w:fill="auto"/>
          </w:tcPr>
          <w:p w14:paraId="55E4B8D3" w14:textId="77777777" w:rsidR="00626565" w:rsidRPr="00626565" w:rsidRDefault="00626565" w:rsidP="001A2FEA">
            <w:pPr>
              <w:spacing w:after="0" w:line="240" w:lineRule="auto"/>
              <w:rPr>
                <w:rFonts w:eastAsia="Times New Roman" w:cs="Arial"/>
                <w:color w:val="000000"/>
                <w:sz w:val="20"/>
                <w:szCs w:val="20"/>
              </w:rPr>
            </w:pPr>
            <w:r w:rsidRPr="00626565">
              <w:rPr>
                <w:rFonts w:eastAsia="Times New Roman" w:cs="Arial"/>
                <w:color w:val="000000"/>
                <w:sz w:val="20"/>
                <w:szCs w:val="20"/>
              </w:rPr>
              <w:t>BSG1494</w:t>
            </w:r>
          </w:p>
        </w:tc>
        <w:tc>
          <w:tcPr>
            <w:tcW w:w="7349" w:type="dxa"/>
            <w:shd w:val="clear" w:color="auto" w:fill="auto"/>
          </w:tcPr>
          <w:p w14:paraId="429348C6" w14:textId="77777777" w:rsidR="00626565" w:rsidRPr="00626565" w:rsidRDefault="00626565" w:rsidP="001A2FEA">
            <w:pPr>
              <w:spacing w:after="0" w:line="240" w:lineRule="auto"/>
              <w:rPr>
                <w:rFonts w:eastAsia="Times New Roman" w:cs="Arial"/>
                <w:i/>
                <w:color w:val="000000"/>
                <w:sz w:val="20"/>
                <w:szCs w:val="20"/>
              </w:rPr>
            </w:pPr>
            <w:r w:rsidRPr="00626565">
              <w:rPr>
                <w:rFonts w:eastAsia="Times New Roman" w:cs="Arial"/>
                <w:i/>
                <w:color w:val="000000"/>
                <w:sz w:val="20"/>
                <w:szCs w:val="20"/>
              </w:rPr>
              <w:t>1A700, smc(S19C, R558C, N634C, R1032C)-TEV-HaloTag ftsY::ermB, cat::scpA(E52C, H235C), trpC2</w:t>
            </w:r>
          </w:p>
        </w:tc>
      </w:tr>
      <w:tr w:rsidR="00626565" w:rsidRPr="00626565" w14:paraId="3405108F" w14:textId="77777777" w:rsidTr="001A2FEA">
        <w:trPr>
          <w:trHeight w:val="560"/>
        </w:trPr>
        <w:tc>
          <w:tcPr>
            <w:tcW w:w="1171" w:type="dxa"/>
            <w:shd w:val="clear" w:color="auto" w:fill="auto"/>
          </w:tcPr>
          <w:p w14:paraId="03992B12"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Arial"/>
                <w:color w:val="000000"/>
                <w:sz w:val="20"/>
                <w:szCs w:val="20"/>
              </w:rPr>
              <w:t>BSG1743</w:t>
            </w:r>
          </w:p>
        </w:tc>
        <w:tc>
          <w:tcPr>
            <w:tcW w:w="7349" w:type="dxa"/>
            <w:shd w:val="clear" w:color="auto" w:fill="auto"/>
          </w:tcPr>
          <w:p w14:paraId="2615F92E"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Arial"/>
                <w:i/>
                <w:color w:val="000000"/>
                <w:sz w:val="20"/>
                <w:szCs w:val="20"/>
              </w:rPr>
              <w:t>1A700, smc(S19C, R643C, R1032C)-TEV-HaloTag ftsY::ermB, cat::scpA(E52C, H235C), trpC2</w:t>
            </w:r>
          </w:p>
        </w:tc>
      </w:tr>
      <w:tr w:rsidR="00626565" w:rsidRPr="00626565" w14:paraId="7F8E16A9" w14:textId="77777777" w:rsidTr="001A2FEA">
        <w:trPr>
          <w:trHeight w:val="560"/>
        </w:trPr>
        <w:tc>
          <w:tcPr>
            <w:tcW w:w="1171" w:type="dxa"/>
            <w:shd w:val="clear" w:color="auto" w:fill="auto"/>
            <w:hideMark/>
          </w:tcPr>
          <w:p w14:paraId="4159164A"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BSG1782</w:t>
            </w:r>
          </w:p>
        </w:tc>
        <w:tc>
          <w:tcPr>
            <w:tcW w:w="7349" w:type="dxa"/>
            <w:shd w:val="clear" w:color="auto" w:fill="auto"/>
            <w:hideMark/>
          </w:tcPr>
          <w:p w14:paraId="11B8F4A5"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cat::scpA(E52C, H235C), dnaN(N114C, V313C)::specR, trpC2</w:t>
            </w:r>
          </w:p>
        </w:tc>
      </w:tr>
      <w:tr w:rsidR="00626565" w:rsidRPr="00626565" w14:paraId="179E18E3" w14:textId="77777777" w:rsidTr="001A2FEA">
        <w:trPr>
          <w:trHeight w:val="560"/>
        </w:trPr>
        <w:tc>
          <w:tcPr>
            <w:tcW w:w="1171" w:type="dxa"/>
            <w:shd w:val="clear" w:color="auto" w:fill="auto"/>
            <w:hideMark/>
          </w:tcPr>
          <w:p w14:paraId="09083E7E"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BSG1783</w:t>
            </w:r>
          </w:p>
        </w:tc>
        <w:tc>
          <w:tcPr>
            <w:tcW w:w="7349" w:type="dxa"/>
            <w:shd w:val="clear" w:color="auto" w:fill="auto"/>
            <w:hideMark/>
          </w:tcPr>
          <w:p w14:paraId="1C522D3C"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cat::scpA(E52C, H235C), ΔparB::kanR, dnaN(N114C, V313C)::specR, trpC2</w:t>
            </w:r>
          </w:p>
        </w:tc>
      </w:tr>
      <w:tr w:rsidR="00626565" w:rsidRPr="00626565" w14:paraId="071D3683" w14:textId="77777777" w:rsidTr="001A2FEA">
        <w:trPr>
          <w:trHeight w:val="560"/>
        </w:trPr>
        <w:tc>
          <w:tcPr>
            <w:tcW w:w="1171" w:type="dxa"/>
            <w:shd w:val="clear" w:color="auto" w:fill="auto"/>
            <w:hideMark/>
          </w:tcPr>
          <w:p w14:paraId="272D77E3"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BSG1784</w:t>
            </w:r>
          </w:p>
        </w:tc>
        <w:tc>
          <w:tcPr>
            <w:tcW w:w="7349" w:type="dxa"/>
            <w:shd w:val="clear" w:color="auto" w:fill="auto"/>
            <w:hideMark/>
          </w:tcPr>
          <w:p w14:paraId="165CF484"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K37I, R558C, N634C, R1032C)-TEV-HaloTag ftsY::ermB, cat::scpA(E52C, H235C), dnaN(N114C, V313C)::specR, trpC2</w:t>
            </w:r>
          </w:p>
        </w:tc>
      </w:tr>
      <w:tr w:rsidR="00626565" w:rsidRPr="00626565" w14:paraId="41C74733" w14:textId="77777777" w:rsidTr="001A2FEA">
        <w:trPr>
          <w:trHeight w:val="560"/>
        </w:trPr>
        <w:tc>
          <w:tcPr>
            <w:tcW w:w="1171" w:type="dxa"/>
            <w:shd w:val="clear" w:color="auto" w:fill="auto"/>
            <w:hideMark/>
          </w:tcPr>
          <w:p w14:paraId="06C0E8CE"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BSG1785</w:t>
            </w:r>
          </w:p>
        </w:tc>
        <w:tc>
          <w:tcPr>
            <w:tcW w:w="7349" w:type="dxa"/>
            <w:shd w:val="clear" w:color="auto" w:fill="auto"/>
            <w:hideMark/>
          </w:tcPr>
          <w:p w14:paraId="31AFD691"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S1090R, R1032C)-TEV-HaloTag ftsY::ermB, cat::scpA(E52C, H235C), dnaN(N114C, V313C)::specR, trpC2</w:t>
            </w:r>
          </w:p>
        </w:tc>
      </w:tr>
      <w:tr w:rsidR="00626565" w:rsidRPr="00626565" w14:paraId="1851A990" w14:textId="77777777" w:rsidTr="001A2FEA">
        <w:trPr>
          <w:trHeight w:val="560"/>
        </w:trPr>
        <w:tc>
          <w:tcPr>
            <w:tcW w:w="1171" w:type="dxa"/>
            <w:shd w:val="clear" w:color="auto" w:fill="auto"/>
            <w:hideMark/>
          </w:tcPr>
          <w:p w14:paraId="15035728"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BSG1786</w:t>
            </w:r>
          </w:p>
        </w:tc>
        <w:tc>
          <w:tcPr>
            <w:tcW w:w="7349" w:type="dxa"/>
            <w:shd w:val="clear" w:color="auto" w:fill="auto"/>
            <w:hideMark/>
          </w:tcPr>
          <w:p w14:paraId="3C335506"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 E1118Q)-TEV-HaloTag ftsY::ermB, cat::scpA(E52C, H235C), dnaN(N114C, V313C)::specR, trpC2</w:t>
            </w:r>
          </w:p>
        </w:tc>
      </w:tr>
      <w:tr w:rsidR="00626565" w:rsidRPr="00626565" w14:paraId="00ABFFD1" w14:textId="77777777" w:rsidTr="001A2FEA">
        <w:trPr>
          <w:trHeight w:val="560"/>
        </w:trPr>
        <w:tc>
          <w:tcPr>
            <w:tcW w:w="1171" w:type="dxa"/>
            <w:shd w:val="clear" w:color="auto" w:fill="auto"/>
            <w:hideMark/>
          </w:tcPr>
          <w:p w14:paraId="0FE2BFC0"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BSG1807</w:t>
            </w:r>
          </w:p>
        </w:tc>
        <w:tc>
          <w:tcPr>
            <w:tcW w:w="7349" w:type="dxa"/>
            <w:shd w:val="clear" w:color="auto" w:fill="auto"/>
            <w:hideMark/>
          </w:tcPr>
          <w:p w14:paraId="08E2D257"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cat::scpA(E52C, H235C), dnaN(N114C, V313C)::specR, trpC2</w:t>
            </w:r>
          </w:p>
        </w:tc>
      </w:tr>
      <w:tr w:rsidR="00626565" w:rsidRPr="00626565" w14:paraId="51766ECE" w14:textId="77777777" w:rsidTr="001A2FEA">
        <w:trPr>
          <w:trHeight w:val="560"/>
        </w:trPr>
        <w:tc>
          <w:tcPr>
            <w:tcW w:w="1171" w:type="dxa"/>
            <w:shd w:val="clear" w:color="auto" w:fill="auto"/>
            <w:hideMark/>
          </w:tcPr>
          <w:p w14:paraId="6181AED8"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BSG1809</w:t>
            </w:r>
          </w:p>
        </w:tc>
        <w:tc>
          <w:tcPr>
            <w:tcW w:w="7349" w:type="dxa"/>
            <w:shd w:val="clear" w:color="auto" w:fill="auto"/>
            <w:hideMark/>
          </w:tcPr>
          <w:p w14:paraId="471D7DF8"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N634C)-TEV-HaloTag ftsY::ermB, cat::scpA(E52C, H235C), dnaN(N114C, V313C)::specR, trpC2</w:t>
            </w:r>
          </w:p>
        </w:tc>
      </w:tr>
      <w:tr w:rsidR="00626565" w:rsidRPr="00626565" w14:paraId="4208E956" w14:textId="77777777" w:rsidTr="001A2FEA">
        <w:trPr>
          <w:trHeight w:val="560"/>
        </w:trPr>
        <w:tc>
          <w:tcPr>
            <w:tcW w:w="1171" w:type="dxa"/>
            <w:shd w:val="clear" w:color="auto" w:fill="auto"/>
            <w:hideMark/>
          </w:tcPr>
          <w:p w14:paraId="4785BB43"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BSG1810</w:t>
            </w:r>
          </w:p>
        </w:tc>
        <w:tc>
          <w:tcPr>
            <w:tcW w:w="7349" w:type="dxa"/>
            <w:shd w:val="clear" w:color="auto" w:fill="auto"/>
            <w:hideMark/>
          </w:tcPr>
          <w:p w14:paraId="706DDECA"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N634C, R1032C)-TEV-HaloTag ftsY::ermB, cat::scpA(E52C, H235C), dnaN(N114C, V313C)::specR, trpC2</w:t>
            </w:r>
          </w:p>
        </w:tc>
      </w:tr>
      <w:tr w:rsidR="00626565" w:rsidRPr="00626565" w14:paraId="585E0956" w14:textId="77777777" w:rsidTr="001A2FEA">
        <w:trPr>
          <w:trHeight w:val="560"/>
        </w:trPr>
        <w:tc>
          <w:tcPr>
            <w:tcW w:w="1171" w:type="dxa"/>
            <w:shd w:val="clear" w:color="auto" w:fill="auto"/>
            <w:hideMark/>
          </w:tcPr>
          <w:p w14:paraId="6AEC6F1E"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BSG1811</w:t>
            </w:r>
          </w:p>
        </w:tc>
        <w:tc>
          <w:tcPr>
            <w:tcW w:w="7349" w:type="dxa"/>
            <w:shd w:val="clear" w:color="auto" w:fill="auto"/>
            <w:hideMark/>
          </w:tcPr>
          <w:p w14:paraId="0B6FBACD"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cat::scpA(E52C), dnaN(N114C, V313C)::specR, trpC2</w:t>
            </w:r>
          </w:p>
        </w:tc>
      </w:tr>
      <w:tr w:rsidR="00626565" w:rsidRPr="00626565" w14:paraId="2701A82B" w14:textId="77777777" w:rsidTr="001A2FEA">
        <w:trPr>
          <w:trHeight w:val="560"/>
        </w:trPr>
        <w:tc>
          <w:tcPr>
            <w:tcW w:w="1171" w:type="dxa"/>
            <w:shd w:val="clear" w:color="auto" w:fill="auto"/>
            <w:hideMark/>
          </w:tcPr>
          <w:p w14:paraId="2A99114B"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BSG1812</w:t>
            </w:r>
          </w:p>
        </w:tc>
        <w:tc>
          <w:tcPr>
            <w:tcW w:w="7349" w:type="dxa"/>
            <w:shd w:val="clear" w:color="auto" w:fill="auto"/>
            <w:hideMark/>
          </w:tcPr>
          <w:p w14:paraId="4D39370C"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R1032C)-TEV-HaloTag ftsY::ermB, cat::scpA(E52C, H235C),dnaN(N114C, V313C)::specR, trpC2</w:t>
            </w:r>
          </w:p>
        </w:tc>
      </w:tr>
      <w:tr w:rsidR="00626565" w:rsidRPr="00626565" w14:paraId="52E75C74" w14:textId="77777777" w:rsidTr="001A2FEA">
        <w:trPr>
          <w:trHeight w:val="560"/>
        </w:trPr>
        <w:tc>
          <w:tcPr>
            <w:tcW w:w="1171" w:type="dxa"/>
            <w:shd w:val="clear" w:color="auto" w:fill="auto"/>
            <w:hideMark/>
          </w:tcPr>
          <w:p w14:paraId="059D472D"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BSG1813</w:t>
            </w:r>
          </w:p>
        </w:tc>
        <w:tc>
          <w:tcPr>
            <w:tcW w:w="7349" w:type="dxa"/>
            <w:shd w:val="clear" w:color="auto" w:fill="auto"/>
            <w:hideMark/>
          </w:tcPr>
          <w:p w14:paraId="7DC03CBF"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cat::scpA(H235C), dnaN(N114C, V313C)::specR, trpC2</w:t>
            </w:r>
          </w:p>
        </w:tc>
      </w:tr>
      <w:tr w:rsidR="00626565" w:rsidRPr="00626565" w14:paraId="6E325FEF" w14:textId="77777777" w:rsidTr="001A2FEA">
        <w:trPr>
          <w:trHeight w:val="560"/>
        </w:trPr>
        <w:tc>
          <w:tcPr>
            <w:tcW w:w="1171" w:type="dxa"/>
            <w:shd w:val="clear" w:color="auto" w:fill="auto"/>
            <w:hideMark/>
          </w:tcPr>
          <w:p w14:paraId="10D2ABBB"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BSG1831</w:t>
            </w:r>
          </w:p>
        </w:tc>
        <w:tc>
          <w:tcPr>
            <w:tcW w:w="7349" w:type="dxa"/>
            <w:shd w:val="clear" w:color="auto" w:fill="auto"/>
            <w:hideMark/>
          </w:tcPr>
          <w:p w14:paraId="1A4F45B8" w14:textId="18754398"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smc(R558C, N634C, R1032C)-TEV-HaloTag-ftsY::ermB; camR::scpA(E52C, H235C), dnaN(N114C, V313C)::specR, trpC2</w:t>
            </w:r>
          </w:p>
        </w:tc>
      </w:tr>
      <w:tr w:rsidR="00626565" w:rsidRPr="00626565" w14:paraId="1D41E765" w14:textId="77777777" w:rsidTr="001A2FEA">
        <w:trPr>
          <w:trHeight w:val="560"/>
        </w:trPr>
        <w:tc>
          <w:tcPr>
            <w:tcW w:w="1171" w:type="dxa"/>
            <w:shd w:val="clear" w:color="auto" w:fill="auto"/>
            <w:hideMark/>
          </w:tcPr>
          <w:p w14:paraId="1D974797"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lastRenderedPageBreak/>
              <w:t>BSG1832</w:t>
            </w:r>
          </w:p>
        </w:tc>
        <w:tc>
          <w:tcPr>
            <w:tcW w:w="7349" w:type="dxa"/>
            <w:shd w:val="clear" w:color="auto" w:fill="auto"/>
            <w:hideMark/>
          </w:tcPr>
          <w:p w14:paraId="4FA237C2"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R1032C)-HaloTag ftsY::ermB, camR::scpA(E52C, TEV, H235C), dnaN(N114C, V313C)::specR, trpC2</w:t>
            </w:r>
          </w:p>
        </w:tc>
      </w:tr>
      <w:tr w:rsidR="00626565" w:rsidRPr="00626565" w14:paraId="5C3D5862" w14:textId="77777777" w:rsidTr="001A2FEA">
        <w:trPr>
          <w:trHeight w:val="560"/>
        </w:trPr>
        <w:tc>
          <w:tcPr>
            <w:tcW w:w="1171" w:type="dxa"/>
            <w:shd w:val="clear" w:color="auto" w:fill="auto"/>
            <w:hideMark/>
          </w:tcPr>
          <w:p w14:paraId="0456BFF9"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BSG1850</w:t>
            </w:r>
          </w:p>
        </w:tc>
        <w:tc>
          <w:tcPr>
            <w:tcW w:w="7349" w:type="dxa"/>
            <w:shd w:val="clear" w:color="auto" w:fill="auto"/>
            <w:hideMark/>
          </w:tcPr>
          <w:p w14:paraId="0F0F625E"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camR::scpA(E52C, H235C) ΔscpB, dnaN(N114C, V313C)::specR, trpC2</w:t>
            </w:r>
          </w:p>
        </w:tc>
      </w:tr>
      <w:tr w:rsidR="00626565" w:rsidRPr="00626565" w14:paraId="475E2F4F" w14:textId="77777777" w:rsidTr="001A2FEA">
        <w:trPr>
          <w:trHeight w:val="560"/>
        </w:trPr>
        <w:tc>
          <w:tcPr>
            <w:tcW w:w="1171" w:type="dxa"/>
            <w:shd w:val="clear" w:color="auto" w:fill="auto"/>
            <w:hideMark/>
          </w:tcPr>
          <w:p w14:paraId="38749632"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BSG1960</w:t>
            </w:r>
          </w:p>
        </w:tc>
        <w:tc>
          <w:tcPr>
            <w:tcW w:w="7349" w:type="dxa"/>
            <w:shd w:val="clear" w:color="auto" w:fill="auto"/>
            <w:hideMark/>
          </w:tcPr>
          <w:p w14:paraId="6BB2D9E6"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cat::scpA(E52C, H235C), dnaN(N114C, V313C)::specR, parB(G77S)::kanR, trpC2</w:t>
            </w:r>
          </w:p>
        </w:tc>
      </w:tr>
      <w:tr w:rsidR="00626565" w:rsidRPr="00626565" w14:paraId="0F47FF7D" w14:textId="77777777" w:rsidTr="001A2FEA">
        <w:trPr>
          <w:trHeight w:val="560"/>
        </w:trPr>
        <w:tc>
          <w:tcPr>
            <w:tcW w:w="1171" w:type="dxa"/>
            <w:shd w:val="clear" w:color="auto" w:fill="auto"/>
            <w:hideMark/>
          </w:tcPr>
          <w:p w14:paraId="0349D321"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BSG1961</w:t>
            </w:r>
          </w:p>
        </w:tc>
        <w:tc>
          <w:tcPr>
            <w:tcW w:w="7349" w:type="dxa"/>
            <w:shd w:val="clear" w:color="auto" w:fill="auto"/>
            <w:hideMark/>
          </w:tcPr>
          <w:p w14:paraId="42353BE8"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cat::scpA(E52C, H235C), dnaN(N114C, V313C)::specR, parB(R80A)::kanR, trpC2</w:t>
            </w:r>
          </w:p>
        </w:tc>
      </w:tr>
      <w:tr w:rsidR="00626565" w:rsidRPr="00626565" w14:paraId="1792ACBD" w14:textId="77777777" w:rsidTr="001A2FEA">
        <w:trPr>
          <w:trHeight w:val="560"/>
        </w:trPr>
        <w:tc>
          <w:tcPr>
            <w:tcW w:w="1171" w:type="dxa"/>
            <w:shd w:val="clear" w:color="auto" w:fill="auto"/>
            <w:hideMark/>
          </w:tcPr>
          <w:p w14:paraId="58211E79"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BSG1962</w:t>
            </w:r>
          </w:p>
        </w:tc>
        <w:tc>
          <w:tcPr>
            <w:tcW w:w="7349" w:type="dxa"/>
            <w:shd w:val="clear" w:color="auto" w:fill="auto"/>
            <w:hideMark/>
          </w:tcPr>
          <w:p w14:paraId="099AED6A"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cat::scpA(E52C, H235C), dnaN(N114C, V313C)::specR, parB(R149G)::kanR, trpC2</w:t>
            </w:r>
          </w:p>
        </w:tc>
      </w:tr>
      <w:tr w:rsidR="00626565" w:rsidRPr="00626565" w14:paraId="0B822084" w14:textId="77777777" w:rsidTr="001A2FEA">
        <w:trPr>
          <w:trHeight w:val="560"/>
        </w:trPr>
        <w:tc>
          <w:tcPr>
            <w:tcW w:w="1171" w:type="dxa"/>
            <w:shd w:val="clear" w:color="auto" w:fill="auto"/>
            <w:hideMark/>
          </w:tcPr>
          <w:p w14:paraId="70F98F19"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BSG1963</w:t>
            </w:r>
          </w:p>
        </w:tc>
        <w:tc>
          <w:tcPr>
            <w:tcW w:w="7349" w:type="dxa"/>
            <w:shd w:val="clear" w:color="auto" w:fill="auto"/>
            <w:hideMark/>
          </w:tcPr>
          <w:p w14:paraId="30F39404"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1A700, smc(S19C, R558C, N634C, R1032C)-TEV-HaloTag ftsY::ermB, cat::scpA(E52C, H235C), dnaN(N114C, V313C)::specR, parB(N112S)::kanR, trpC2</w:t>
            </w:r>
          </w:p>
        </w:tc>
      </w:tr>
      <w:tr w:rsidR="00142F17" w:rsidRPr="00626565" w14:paraId="771CAA6C" w14:textId="77777777" w:rsidTr="001A2FEA">
        <w:trPr>
          <w:trHeight w:val="300"/>
        </w:trPr>
        <w:tc>
          <w:tcPr>
            <w:tcW w:w="1171" w:type="dxa"/>
            <w:shd w:val="clear" w:color="auto" w:fill="auto"/>
          </w:tcPr>
          <w:p w14:paraId="1A26313C" w14:textId="77777777" w:rsidR="00142F17" w:rsidRPr="00626565" w:rsidRDefault="00142F17" w:rsidP="001A2FEA">
            <w:pPr>
              <w:spacing w:after="0" w:line="240" w:lineRule="auto"/>
              <w:rPr>
                <w:rFonts w:eastAsia="Times New Roman" w:cs="Times New Roman"/>
                <w:color w:val="000000" w:themeColor="text1"/>
                <w:sz w:val="20"/>
                <w:szCs w:val="20"/>
                <w:lang w:val="en-GB"/>
              </w:rPr>
            </w:pPr>
            <w:r>
              <w:rPr>
                <w:rFonts w:eastAsia="Times New Roman" w:cs="Times New Roman"/>
                <w:color w:val="000000" w:themeColor="text1"/>
                <w:sz w:val="20"/>
                <w:szCs w:val="20"/>
                <w:lang w:val="en-GB"/>
              </w:rPr>
              <w:t>BSG2058</w:t>
            </w:r>
          </w:p>
        </w:tc>
        <w:tc>
          <w:tcPr>
            <w:tcW w:w="7349" w:type="dxa"/>
            <w:shd w:val="clear" w:color="auto" w:fill="auto"/>
          </w:tcPr>
          <w:p w14:paraId="463B9700" w14:textId="77777777" w:rsidR="00142F17" w:rsidRPr="00626565" w:rsidRDefault="00142F17" w:rsidP="00142F17">
            <w:pPr>
              <w:spacing w:after="0" w:line="240" w:lineRule="auto"/>
              <w:rPr>
                <w:rFonts w:eastAsia="Times New Roman" w:cs="Times New Roman"/>
                <w:i/>
                <w:color w:val="000000" w:themeColor="text1"/>
                <w:sz w:val="20"/>
                <w:szCs w:val="20"/>
                <w:lang w:val="en-GB"/>
              </w:rPr>
            </w:pPr>
            <w:r w:rsidRPr="00142F17">
              <w:rPr>
                <w:rFonts w:eastAsia="Times New Roman" w:cs="Times New Roman"/>
                <w:i/>
                <w:color w:val="000000" w:themeColor="text1"/>
                <w:sz w:val="20"/>
                <w:szCs w:val="20"/>
                <w:lang w:val="en-GB"/>
              </w:rPr>
              <w:t>1A700, smc-</w:t>
            </w:r>
            <w:r>
              <w:rPr>
                <w:rFonts w:eastAsia="Times New Roman" w:cs="Times New Roman"/>
                <w:i/>
                <w:color w:val="000000" w:themeColor="text1"/>
                <w:sz w:val="20"/>
                <w:szCs w:val="20"/>
                <w:lang w:val="en-GB"/>
              </w:rPr>
              <w:t>TEV-</w:t>
            </w:r>
            <w:r w:rsidRPr="00142F17">
              <w:rPr>
                <w:rFonts w:eastAsia="Times New Roman" w:cs="Times New Roman"/>
                <w:i/>
                <w:color w:val="000000" w:themeColor="text1"/>
                <w:sz w:val="20"/>
                <w:szCs w:val="20"/>
                <w:lang w:val="en-GB"/>
              </w:rPr>
              <w:t>HaloTag</w:t>
            </w:r>
            <w:r>
              <w:rPr>
                <w:rFonts w:eastAsia="Times New Roman" w:cs="Times New Roman"/>
                <w:i/>
                <w:color w:val="000000" w:themeColor="text1"/>
                <w:sz w:val="20"/>
                <w:szCs w:val="20"/>
                <w:lang w:val="en-GB"/>
              </w:rPr>
              <w:t xml:space="preserve"> ftsY</w:t>
            </w:r>
            <w:r w:rsidRPr="00142F17">
              <w:rPr>
                <w:rFonts w:eastAsia="Times New Roman" w:cs="Times New Roman"/>
                <w:i/>
                <w:color w:val="000000" w:themeColor="text1"/>
                <w:sz w:val="20"/>
                <w:szCs w:val="20"/>
                <w:lang w:val="en-GB"/>
              </w:rPr>
              <w:t>::tetL, parB-mGFPmut1::ermB, fabG::</w:t>
            </w:r>
            <w:r>
              <w:rPr>
                <w:rFonts w:eastAsia="Times New Roman" w:cs="Times New Roman"/>
                <w:i/>
                <w:color w:val="000000" w:themeColor="text1"/>
                <w:sz w:val="20"/>
                <w:szCs w:val="20"/>
                <w:lang w:val="en-GB"/>
              </w:rPr>
              <w:t>s</w:t>
            </w:r>
            <w:r w:rsidRPr="00142F17">
              <w:rPr>
                <w:rFonts w:eastAsia="Times New Roman" w:cs="Times New Roman"/>
                <w:i/>
                <w:color w:val="000000" w:themeColor="text1"/>
                <w:sz w:val="20"/>
                <w:szCs w:val="20"/>
                <w:lang w:val="en-GB"/>
              </w:rPr>
              <w:t>pecR::tos-rtp, trpC2</w:t>
            </w:r>
          </w:p>
        </w:tc>
      </w:tr>
      <w:tr w:rsidR="00626565" w:rsidRPr="00626565" w14:paraId="6DCD0F7C" w14:textId="77777777" w:rsidTr="001A2FEA">
        <w:trPr>
          <w:trHeight w:val="300"/>
        </w:trPr>
        <w:tc>
          <w:tcPr>
            <w:tcW w:w="1171" w:type="dxa"/>
            <w:shd w:val="clear" w:color="auto" w:fill="auto"/>
          </w:tcPr>
          <w:p w14:paraId="21C2DFC1"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BSG680</w:t>
            </w:r>
          </w:p>
        </w:tc>
        <w:tc>
          <w:tcPr>
            <w:tcW w:w="7349" w:type="dxa"/>
            <w:shd w:val="clear" w:color="auto" w:fill="auto"/>
          </w:tcPr>
          <w:p w14:paraId="4C0EC5F4"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168 ED, CAT::scpA(E52C, H235C), smc(S19C, R558C, N634C, R1032C) ftsY::ermB, trpC2</w:t>
            </w:r>
          </w:p>
        </w:tc>
      </w:tr>
      <w:tr w:rsidR="00626565" w:rsidRPr="00626565" w14:paraId="1AA1C317" w14:textId="77777777" w:rsidTr="001A2FEA">
        <w:trPr>
          <w:trHeight w:val="300"/>
        </w:trPr>
        <w:tc>
          <w:tcPr>
            <w:tcW w:w="1171" w:type="dxa"/>
            <w:shd w:val="clear" w:color="auto" w:fill="auto"/>
            <w:hideMark/>
          </w:tcPr>
          <w:p w14:paraId="6ED7ECD3"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BSG1991</w:t>
            </w:r>
          </w:p>
        </w:tc>
        <w:tc>
          <w:tcPr>
            <w:tcW w:w="7349" w:type="dxa"/>
            <w:shd w:val="clear" w:color="auto" w:fill="auto"/>
            <w:hideMark/>
          </w:tcPr>
          <w:p w14:paraId="6CA54054"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168 ED, CAT::scpA(E52C, H235C), smc(S19C, R558C, N634C, R1032C) ftsY:ermB, ΔparB::kanR, trpC2</w:t>
            </w:r>
          </w:p>
        </w:tc>
      </w:tr>
      <w:tr w:rsidR="00626565" w:rsidRPr="00626565" w14:paraId="72EA81F5" w14:textId="77777777" w:rsidTr="001A2FEA">
        <w:trPr>
          <w:trHeight w:val="300"/>
        </w:trPr>
        <w:tc>
          <w:tcPr>
            <w:tcW w:w="1171" w:type="dxa"/>
            <w:shd w:val="clear" w:color="auto" w:fill="auto"/>
            <w:hideMark/>
          </w:tcPr>
          <w:p w14:paraId="4AC60479" w14:textId="77777777" w:rsidR="00626565" w:rsidRPr="00626565" w:rsidRDefault="00626565" w:rsidP="001A2FEA">
            <w:pPr>
              <w:spacing w:after="0" w:line="240" w:lineRule="auto"/>
              <w:rPr>
                <w:rFonts w:eastAsia="Times New Roman" w:cs="Times New Roman"/>
                <w:color w:val="000000" w:themeColor="text1"/>
                <w:sz w:val="20"/>
                <w:szCs w:val="20"/>
                <w:lang w:val="en-GB"/>
              </w:rPr>
            </w:pPr>
            <w:r w:rsidRPr="00626565">
              <w:rPr>
                <w:rFonts w:eastAsia="Times New Roman" w:cs="Times New Roman"/>
                <w:color w:val="000000" w:themeColor="text1"/>
                <w:sz w:val="20"/>
                <w:szCs w:val="20"/>
                <w:lang w:val="en-GB"/>
              </w:rPr>
              <w:t>BSG1995</w:t>
            </w:r>
          </w:p>
        </w:tc>
        <w:tc>
          <w:tcPr>
            <w:tcW w:w="7349" w:type="dxa"/>
            <w:shd w:val="clear" w:color="auto" w:fill="auto"/>
            <w:hideMark/>
          </w:tcPr>
          <w:p w14:paraId="29A67BDC" w14:textId="77777777" w:rsidR="00626565" w:rsidRPr="00626565" w:rsidRDefault="00626565" w:rsidP="001A2FEA">
            <w:pPr>
              <w:spacing w:after="0" w:line="240" w:lineRule="auto"/>
              <w:rPr>
                <w:rFonts w:eastAsia="Times New Roman" w:cs="Times New Roman"/>
                <w:i/>
                <w:color w:val="000000" w:themeColor="text1"/>
                <w:sz w:val="20"/>
                <w:szCs w:val="20"/>
                <w:lang w:val="en-GB"/>
              </w:rPr>
            </w:pPr>
            <w:r w:rsidRPr="00626565">
              <w:rPr>
                <w:rFonts w:eastAsia="Times New Roman" w:cs="Times New Roman"/>
                <w:i/>
                <w:color w:val="000000" w:themeColor="text1"/>
                <w:sz w:val="20"/>
                <w:szCs w:val="20"/>
                <w:lang w:val="en-GB"/>
              </w:rPr>
              <w:t>168 ED, CAT::scpA(E52C, H235C), smc(S19C, R558C, N634C, R1032C, E1118Q) ftsY::ermB, trpC2</w:t>
            </w:r>
          </w:p>
        </w:tc>
      </w:tr>
    </w:tbl>
    <w:p w14:paraId="29888872" w14:textId="77777777" w:rsidR="00626565" w:rsidRPr="00626565" w:rsidRDefault="00626565" w:rsidP="00626565">
      <w:pPr>
        <w:spacing w:after="0" w:line="480" w:lineRule="auto"/>
        <w:jc w:val="both"/>
        <w:rPr>
          <w:sz w:val="24"/>
          <w:szCs w:val="24"/>
          <w:lang w:val="en-GB"/>
        </w:rPr>
      </w:pPr>
      <w:r w:rsidRPr="00626565">
        <w:rPr>
          <w:sz w:val="24"/>
          <w:szCs w:val="24"/>
          <w:lang w:val="en-GB"/>
        </w:rPr>
        <w:t xml:space="preserve"> </w:t>
      </w:r>
    </w:p>
    <w:p w14:paraId="2DBCDC5E" w14:textId="77777777" w:rsidR="0002486D" w:rsidRPr="006E419E" w:rsidRDefault="00626565">
      <w:pPr>
        <w:pStyle w:val="NormalWeb"/>
        <w:divId w:val="814495229"/>
        <w:rPr>
          <w:rFonts w:ascii="Calibri" w:hAnsi="Calibri"/>
          <w:noProof/>
          <w:sz w:val="24"/>
          <w:lang w:val="en-US"/>
        </w:rPr>
      </w:pPr>
      <w:r w:rsidRPr="00626565">
        <w:rPr>
          <w:rFonts w:asciiTheme="minorHAnsi" w:hAnsiTheme="minorHAnsi"/>
          <w:b/>
          <w:sz w:val="24"/>
          <w:szCs w:val="24"/>
          <w:lang w:val="en-GB"/>
        </w:rPr>
        <w:fldChar w:fldCharType="begin" w:fldLock="1"/>
      </w:r>
      <w:r w:rsidRPr="00626565">
        <w:rPr>
          <w:rFonts w:asciiTheme="minorHAnsi" w:hAnsiTheme="minorHAnsi"/>
          <w:b/>
          <w:sz w:val="24"/>
          <w:szCs w:val="24"/>
          <w:lang w:val="en-GB"/>
        </w:rPr>
        <w:instrText xml:space="preserve">ADDIN Mendeley Bibliography CSL_BIBLIOGRAPHY </w:instrText>
      </w:r>
      <w:r w:rsidRPr="00626565">
        <w:rPr>
          <w:rFonts w:asciiTheme="minorHAnsi" w:hAnsiTheme="minorHAnsi"/>
          <w:b/>
          <w:sz w:val="24"/>
          <w:szCs w:val="24"/>
          <w:lang w:val="en-GB"/>
        </w:rPr>
        <w:fldChar w:fldCharType="separate"/>
      </w:r>
      <w:r w:rsidR="0002486D" w:rsidRPr="006E419E">
        <w:rPr>
          <w:rFonts w:ascii="Calibri" w:hAnsi="Calibri"/>
          <w:noProof/>
          <w:sz w:val="24"/>
          <w:lang w:val="en-US"/>
        </w:rPr>
        <w:t xml:space="preserve">Domínguez-Cuevas, P., Mercier, R., Leaver, M., Kawai, Y., and Errington, J. 2012. The rod to L-form transition of Bacillus subtilis is limited by a requirement for the protoplast to escape from the cell wall sacculus. </w:t>
      </w:r>
      <w:r w:rsidR="0002486D" w:rsidRPr="006E419E">
        <w:rPr>
          <w:rFonts w:ascii="Calibri" w:hAnsi="Calibri"/>
          <w:i/>
          <w:iCs/>
          <w:noProof/>
          <w:sz w:val="24"/>
          <w:lang w:val="en-US"/>
        </w:rPr>
        <w:t>Mol. Microbiol.</w:t>
      </w:r>
      <w:r w:rsidR="0002486D" w:rsidRPr="006E419E">
        <w:rPr>
          <w:rFonts w:ascii="Calibri" w:hAnsi="Calibri"/>
          <w:noProof/>
          <w:sz w:val="24"/>
          <w:lang w:val="en-US"/>
        </w:rPr>
        <w:t xml:space="preserve"> </w:t>
      </w:r>
      <w:r w:rsidR="0002486D" w:rsidRPr="006E419E">
        <w:rPr>
          <w:rFonts w:ascii="Calibri" w:hAnsi="Calibri"/>
          <w:b/>
          <w:bCs/>
          <w:noProof/>
          <w:sz w:val="24"/>
          <w:lang w:val="en-US"/>
        </w:rPr>
        <w:t>83</w:t>
      </w:r>
      <w:r w:rsidR="0002486D" w:rsidRPr="006E419E">
        <w:rPr>
          <w:rFonts w:ascii="Calibri" w:hAnsi="Calibri"/>
          <w:noProof/>
          <w:sz w:val="24"/>
          <w:lang w:val="en-US"/>
        </w:rPr>
        <w:t>:52–66. doi:10.1111/j.1365-2958.2011.07920.x.</w:t>
      </w:r>
    </w:p>
    <w:p w14:paraId="415ED7DE" w14:textId="20E52E38" w:rsidR="00724CF7" w:rsidRPr="00626565" w:rsidRDefault="00626565" w:rsidP="003766EB">
      <w:pPr>
        <w:pStyle w:val="NormalWeb"/>
      </w:pPr>
      <w:r w:rsidRPr="00626565">
        <w:rPr>
          <w:b/>
          <w:sz w:val="24"/>
          <w:szCs w:val="24"/>
          <w:lang w:val="en-GB"/>
        </w:rPr>
        <w:fldChar w:fldCharType="end"/>
      </w:r>
    </w:p>
    <w:sectPr w:rsidR="00724CF7" w:rsidRPr="00626565" w:rsidSect="00924112">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65"/>
    <w:rsid w:val="0002486D"/>
    <w:rsid w:val="00046526"/>
    <w:rsid w:val="00083726"/>
    <w:rsid w:val="000938F4"/>
    <w:rsid w:val="000B4543"/>
    <w:rsid w:val="001408C9"/>
    <w:rsid w:val="00142F17"/>
    <w:rsid w:val="001A6717"/>
    <w:rsid w:val="00207DA5"/>
    <w:rsid w:val="0021420A"/>
    <w:rsid w:val="00223EC2"/>
    <w:rsid w:val="00241495"/>
    <w:rsid w:val="00243DB3"/>
    <w:rsid w:val="00290286"/>
    <w:rsid w:val="002C2F63"/>
    <w:rsid w:val="002E7C1D"/>
    <w:rsid w:val="00325B4B"/>
    <w:rsid w:val="00357A7A"/>
    <w:rsid w:val="0036774C"/>
    <w:rsid w:val="003766EB"/>
    <w:rsid w:val="003E014A"/>
    <w:rsid w:val="003E2049"/>
    <w:rsid w:val="00400477"/>
    <w:rsid w:val="00425FB5"/>
    <w:rsid w:val="00456C4D"/>
    <w:rsid w:val="00461FC4"/>
    <w:rsid w:val="00472467"/>
    <w:rsid w:val="0049296D"/>
    <w:rsid w:val="004F4704"/>
    <w:rsid w:val="0050718F"/>
    <w:rsid w:val="00510026"/>
    <w:rsid w:val="00513137"/>
    <w:rsid w:val="00513153"/>
    <w:rsid w:val="00526D62"/>
    <w:rsid w:val="00534FFD"/>
    <w:rsid w:val="0054598E"/>
    <w:rsid w:val="00552BEA"/>
    <w:rsid w:val="005C157A"/>
    <w:rsid w:val="00626565"/>
    <w:rsid w:val="00626A17"/>
    <w:rsid w:val="006402B9"/>
    <w:rsid w:val="00642B10"/>
    <w:rsid w:val="00655AF3"/>
    <w:rsid w:val="00685DD4"/>
    <w:rsid w:val="00692D84"/>
    <w:rsid w:val="006C5BA3"/>
    <w:rsid w:val="006E419E"/>
    <w:rsid w:val="00724CF7"/>
    <w:rsid w:val="00727705"/>
    <w:rsid w:val="00752999"/>
    <w:rsid w:val="0075380C"/>
    <w:rsid w:val="00760375"/>
    <w:rsid w:val="00774B20"/>
    <w:rsid w:val="007D52BF"/>
    <w:rsid w:val="008011FC"/>
    <w:rsid w:val="00801C0E"/>
    <w:rsid w:val="00815125"/>
    <w:rsid w:val="00892897"/>
    <w:rsid w:val="00924112"/>
    <w:rsid w:val="009C3160"/>
    <w:rsid w:val="009C5D80"/>
    <w:rsid w:val="00A00311"/>
    <w:rsid w:val="00A47F33"/>
    <w:rsid w:val="00A71433"/>
    <w:rsid w:val="00A73D18"/>
    <w:rsid w:val="00AE0BA6"/>
    <w:rsid w:val="00AF16DB"/>
    <w:rsid w:val="00B131C3"/>
    <w:rsid w:val="00B13B1B"/>
    <w:rsid w:val="00B1752F"/>
    <w:rsid w:val="00B34352"/>
    <w:rsid w:val="00B535CE"/>
    <w:rsid w:val="00B702F4"/>
    <w:rsid w:val="00B71729"/>
    <w:rsid w:val="00B81F57"/>
    <w:rsid w:val="00BC58E4"/>
    <w:rsid w:val="00BD1C85"/>
    <w:rsid w:val="00C714A2"/>
    <w:rsid w:val="00CB2A22"/>
    <w:rsid w:val="00D13766"/>
    <w:rsid w:val="00D2520E"/>
    <w:rsid w:val="00D35E52"/>
    <w:rsid w:val="00D47533"/>
    <w:rsid w:val="00D51B6E"/>
    <w:rsid w:val="00D62EE1"/>
    <w:rsid w:val="00D65C5F"/>
    <w:rsid w:val="00D74884"/>
    <w:rsid w:val="00DB1028"/>
    <w:rsid w:val="00DC14BF"/>
    <w:rsid w:val="00DD3C3A"/>
    <w:rsid w:val="00E71700"/>
    <w:rsid w:val="00E9035C"/>
    <w:rsid w:val="00E9461B"/>
    <w:rsid w:val="00EE7DB6"/>
    <w:rsid w:val="00F13B0F"/>
    <w:rsid w:val="00F86F99"/>
    <w:rsid w:val="00FB57F9"/>
    <w:rsid w:val="00FC171F"/>
    <w:rsid w:val="00FC52C9"/>
    <w:rsid w:val="00FF05A0"/>
    <w:rsid w:val="00FF6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F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6565"/>
    <w:pPr>
      <w:spacing w:before="100" w:beforeAutospacing="1" w:after="100" w:afterAutospacing="1" w:line="240" w:lineRule="auto"/>
    </w:pPr>
    <w:rPr>
      <w:rFonts w:ascii="Times" w:eastAsiaTheme="minorEastAsia" w:hAnsi="Times" w:cs="Times New Roman"/>
      <w:sz w:val="20"/>
      <w:szCs w:val="20"/>
      <w:lang w:val="de-DE"/>
    </w:rPr>
  </w:style>
  <w:style w:type="character" w:styleId="Hyperlink">
    <w:name w:val="Hyperlink"/>
    <w:basedOn w:val="DefaultParagraphFont"/>
    <w:uiPriority w:val="99"/>
    <w:unhideWhenUsed/>
    <w:rsid w:val="00626565"/>
    <w:rPr>
      <w:color w:val="0563C1" w:themeColor="hyperlink"/>
      <w:u w:val="single"/>
    </w:rPr>
  </w:style>
  <w:style w:type="paragraph" w:styleId="BalloonText">
    <w:name w:val="Balloon Text"/>
    <w:basedOn w:val="Normal"/>
    <w:link w:val="BalloonTextChar"/>
    <w:uiPriority w:val="99"/>
    <w:semiHidden/>
    <w:unhideWhenUsed/>
    <w:rsid w:val="009241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4112"/>
    <w:rPr>
      <w:rFonts w:ascii="Segoe UI" w:hAnsi="Segoe UI" w:cs="Segoe UI"/>
      <w:sz w:val="18"/>
      <w:szCs w:val="18"/>
    </w:rPr>
  </w:style>
  <w:style w:type="paragraph" w:styleId="NoSpacing">
    <w:name w:val="No Spacing"/>
    <w:uiPriority w:val="1"/>
    <w:qFormat/>
    <w:rsid w:val="000938F4"/>
    <w:pPr>
      <w:spacing w:after="0" w:line="240" w:lineRule="auto"/>
    </w:pPr>
  </w:style>
  <w:style w:type="character" w:styleId="CommentReference">
    <w:name w:val="annotation reference"/>
    <w:basedOn w:val="DefaultParagraphFont"/>
    <w:uiPriority w:val="99"/>
    <w:semiHidden/>
    <w:unhideWhenUsed/>
    <w:rsid w:val="00552BEA"/>
    <w:rPr>
      <w:sz w:val="16"/>
      <w:szCs w:val="16"/>
    </w:rPr>
  </w:style>
  <w:style w:type="paragraph" w:styleId="CommentText">
    <w:name w:val="annotation text"/>
    <w:basedOn w:val="Normal"/>
    <w:link w:val="CommentTextChar"/>
    <w:uiPriority w:val="99"/>
    <w:semiHidden/>
    <w:unhideWhenUsed/>
    <w:rsid w:val="00552BEA"/>
    <w:pPr>
      <w:spacing w:line="240" w:lineRule="auto"/>
    </w:pPr>
    <w:rPr>
      <w:sz w:val="20"/>
      <w:szCs w:val="20"/>
    </w:rPr>
  </w:style>
  <w:style w:type="character" w:customStyle="1" w:styleId="CommentTextChar">
    <w:name w:val="Comment Text Char"/>
    <w:basedOn w:val="DefaultParagraphFont"/>
    <w:link w:val="CommentText"/>
    <w:uiPriority w:val="99"/>
    <w:semiHidden/>
    <w:rsid w:val="00552BEA"/>
    <w:rPr>
      <w:sz w:val="20"/>
      <w:szCs w:val="20"/>
    </w:rPr>
  </w:style>
  <w:style w:type="paragraph" w:styleId="CommentSubject">
    <w:name w:val="annotation subject"/>
    <w:basedOn w:val="CommentText"/>
    <w:next w:val="CommentText"/>
    <w:link w:val="CommentSubjectChar"/>
    <w:uiPriority w:val="99"/>
    <w:semiHidden/>
    <w:unhideWhenUsed/>
    <w:rsid w:val="00552BEA"/>
    <w:rPr>
      <w:b/>
      <w:bCs/>
    </w:rPr>
  </w:style>
  <w:style w:type="character" w:customStyle="1" w:styleId="CommentSubjectChar">
    <w:name w:val="Comment Subject Char"/>
    <w:basedOn w:val="CommentTextChar"/>
    <w:link w:val="CommentSubject"/>
    <w:uiPriority w:val="99"/>
    <w:semiHidden/>
    <w:rsid w:val="00552BE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6565"/>
    <w:pPr>
      <w:spacing w:before="100" w:beforeAutospacing="1" w:after="100" w:afterAutospacing="1" w:line="240" w:lineRule="auto"/>
    </w:pPr>
    <w:rPr>
      <w:rFonts w:ascii="Times" w:eastAsiaTheme="minorEastAsia" w:hAnsi="Times" w:cs="Times New Roman"/>
      <w:sz w:val="20"/>
      <w:szCs w:val="20"/>
      <w:lang w:val="de-DE"/>
    </w:rPr>
  </w:style>
  <w:style w:type="character" w:styleId="Hyperlink">
    <w:name w:val="Hyperlink"/>
    <w:basedOn w:val="DefaultParagraphFont"/>
    <w:uiPriority w:val="99"/>
    <w:unhideWhenUsed/>
    <w:rsid w:val="00626565"/>
    <w:rPr>
      <w:color w:val="0563C1" w:themeColor="hyperlink"/>
      <w:u w:val="single"/>
    </w:rPr>
  </w:style>
  <w:style w:type="paragraph" w:styleId="BalloonText">
    <w:name w:val="Balloon Text"/>
    <w:basedOn w:val="Normal"/>
    <w:link w:val="BalloonTextChar"/>
    <w:uiPriority w:val="99"/>
    <w:semiHidden/>
    <w:unhideWhenUsed/>
    <w:rsid w:val="009241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4112"/>
    <w:rPr>
      <w:rFonts w:ascii="Segoe UI" w:hAnsi="Segoe UI" w:cs="Segoe UI"/>
      <w:sz w:val="18"/>
      <w:szCs w:val="18"/>
    </w:rPr>
  </w:style>
  <w:style w:type="paragraph" w:styleId="NoSpacing">
    <w:name w:val="No Spacing"/>
    <w:uiPriority w:val="1"/>
    <w:qFormat/>
    <w:rsid w:val="000938F4"/>
    <w:pPr>
      <w:spacing w:after="0" w:line="240" w:lineRule="auto"/>
    </w:pPr>
  </w:style>
  <w:style w:type="character" w:styleId="CommentReference">
    <w:name w:val="annotation reference"/>
    <w:basedOn w:val="DefaultParagraphFont"/>
    <w:uiPriority w:val="99"/>
    <w:semiHidden/>
    <w:unhideWhenUsed/>
    <w:rsid w:val="00552BEA"/>
    <w:rPr>
      <w:sz w:val="16"/>
      <w:szCs w:val="16"/>
    </w:rPr>
  </w:style>
  <w:style w:type="paragraph" w:styleId="CommentText">
    <w:name w:val="annotation text"/>
    <w:basedOn w:val="Normal"/>
    <w:link w:val="CommentTextChar"/>
    <w:uiPriority w:val="99"/>
    <w:semiHidden/>
    <w:unhideWhenUsed/>
    <w:rsid w:val="00552BEA"/>
    <w:pPr>
      <w:spacing w:line="240" w:lineRule="auto"/>
    </w:pPr>
    <w:rPr>
      <w:sz w:val="20"/>
      <w:szCs w:val="20"/>
    </w:rPr>
  </w:style>
  <w:style w:type="character" w:customStyle="1" w:styleId="CommentTextChar">
    <w:name w:val="Comment Text Char"/>
    <w:basedOn w:val="DefaultParagraphFont"/>
    <w:link w:val="CommentText"/>
    <w:uiPriority w:val="99"/>
    <w:semiHidden/>
    <w:rsid w:val="00552BEA"/>
    <w:rPr>
      <w:sz w:val="20"/>
      <w:szCs w:val="20"/>
    </w:rPr>
  </w:style>
  <w:style w:type="paragraph" w:styleId="CommentSubject">
    <w:name w:val="annotation subject"/>
    <w:basedOn w:val="CommentText"/>
    <w:next w:val="CommentText"/>
    <w:link w:val="CommentSubjectChar"/>
    <w:uiPriority w:val="99"/>
    <w:semiHidden/>
    <w:unhideWhenUsed/>
    <w:rsid w:val="00552BEA"/>
    <w:rPr>
      <w:b/>
      <w:bCs/>
    </w:rPr>
  </w:style>
  <w:style w:type="character" w:customStyle="1" w:styleId="CommentSubjectChar">
    <w:name w:val="Comment Subject Char"/>
    <w:basedOn w:val="CommentTextChar"/>
    <w:link w:val="CommentSubject"/>
    <w:uiPriority w:val="99"/>
    <w:semiHidden/>
    <w:rsid w:val="00552B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495229">
      <w:bodyDiv w:val="1"/>
      <w:marLeft w:val="0"/>
      <w:marRight w:val="0"/>
      <w:marTop w:val="0"/>
      <w:marBottom w:val="0"/>
      <w:divBdr>
        <w:top w:val="none" w:sz="0" w:space="0" w:color="auto"/>
        <w:left w:val="none" w:sz="0" w:space="0" w:color="auto"/>
        <w:bottom w:val="none" w:sz="0" w:space="0" w:color="auto"/>
        <w:right w:val="none" w:sz="0" w:space="0" w:color="auto"/>
      </w:divBdr>
    </w:div>
    <w:div w:id="132751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69D26-DB8E-400D-B5D1-2942AEAC6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Max-Planck Institute of Biochemistry</Company>
  <LinksUpToDate>false</LinksUpToDate>
  <CharactersWithSpaces>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Wilhelm, Larissa</dc:creator>
  <cp:keywords/>
  <dc:description/>
  <cp:lastModifiedBy>Balabirlakaran</cp:lastModifiedBy>
  <cp:revision>9</cp:revision>
  <cp:lastPrinted>2015-01-27T12:40:00Z</cp:lastPrinted>
  <dcterms:created xsi:type="dcterms:W3CDTF">2015-04-28T11:14:00Z</dcterms:created>
  <dcterms:modified xsi:type="dcterms:W3CDTF">2015-05-07T06:27:00Z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larissa.wilhelm@gmail.com@www.mendeley.com</vt:lpwstr>
  </property>
  <property fmtid="{D5CDD505-2E9C-101B-9397-08002B2CF9AE}" pid="4" name="Mendeley Citation Style_1">
    <vt:lpwstr>http://csl.mendeley.com/styles/10445751/LarissaeLife-4</vt:lpwstr>
  </property>
  <property fmtid="{D5CDD505-2E9C-101B-9397-08002B2CF9AE}" pid="5" name="Mendeley Recent Style Id 0_1">
    <vt:lpwstr>http://csl.mendeley.com/styles/10445751/eLife</vt:lpwstr>
  </property>
  <property fmtid="{D5CDD505-2E9C-101B-9397-08002B2CF9AE}" pid="6" name="Mendeley Recent Style Name 0_1">
    <vt:lpwstr>American Psychological Association 6th edition - Larissa Wilhelm</vt:lpwstr>
  </property>
  <property fmtid="{D5CDD505-2E9C-101B-9397-08002B2CF9AE}" pid="7" name="Mendeley Recent Style Id 1_1">
    <vt:lpwstr>http://csl.mendeley.com/styles/10445751/apa</vt:lpwstr>
  </property>
  <property fmtid="{D5CDD505-2E9C-101B-9397-08002B2CF9AE}" pid="8" name="Mendeley Recent Style Name 1_1">
    <vt:lpwstr>American Psychological Association 6th edition - Larissa Wilhelm</vt:lpwstr>
  </property>
  <property fmtid="{D5CDD505-2E9C-101B-9397-08002B2CF9AE}" pid="9" name="Mendeley Recent Style Id 2_1">
    <vt:lpwstr>http://csl.mendeley.com/styles/10445751/Larissa-eLife</vt:lpwstr>
  </property>
  <property fmtid="{D5CDD505-2E9C-101B-9397-08002B2CF9AE}" pid="10" name="Mendeley Recent Style Name 2_1">
    <vt:lpwstr>American Psychological Association 6th edition - Larissa Wilhelm</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http://csl.mendeley.com/styles/10445751/LarissaCell-2</vt:lpwstr>
  </property>
  <property fmtid="{D5CDD505-2E9C-101B-9397-08002B2CF9AE}" pid="14" name="Mendeley Recent Style Name 4_1">
    <vt:lpwstr>Cell - Larissa Wilhelm</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16th edition (author-date)</vt:lpwstr>
  </property>
  <property fmtid="{D5CDD505-2E9C-101B-9397-08002B2CF9AE}" pid="17" name="Mendeley Recent Style Id 6_1">
    <vt:lpwstr>http://www.zotero.org/styles/chicago-fullnote-bibliography</vt:lpwstr>
  </property>
  <property fmtid="{D5CDD505-2E9C-101B-9397-08002B2CF9AE}" pid="18" name="Mendeley Recent Style Name 6_1">
    <vt:lpwstr>Chicago Manual of Style 16th edition (full note)</vt:lpwstr>
  </property>
  <property fmtid="{D5CDD505-2E9C-101B-9397-08002B2CF9AE}" pid="19" name="Mendeley Recent Style Id 7_1">
    <vt:lpwstr>http://www.zotero.org/styles/harvard1</vt:lpwstr>
  </property>
  <property fmtid="{D5CDD505-2E9C-101B-9397-08002B2CF9AE}" pid="20" name="Mendeley Recent Style Name 7_1">
    <vt:lpwstr>Harvard Reference format 1 (author-date)</vt:lpwstr>
  </property>
  <property fmtid="{D5CDD505-2E9C-101B-9397-08002B2CF9AE}" pid="21" name="Mendeley Recent Style Id 8_1">
    <vt:lpwstr>http://www.zotero.org/styles/ieee</vt:lpwstr>
  </property>
  <property fmtid="{D5CDD505-2E9C-101B-9397-08002B2CF9AE}" pid="22" name="Mendeley Recent Style Name 8_1">
    <vt:lpwstr>IEEE</vt:lpwstr>
  </property>
  <property fmtid="{D5CDD505-2E9C-101B-9397-08002B2CF9AE}" pid="23" name="Mendeley Recent Style Id 9_1">
    <vt:lpwstr>http://csl.mendeley.com/styles/10445751/LarissaeLife-4</vt:lpwstr>
  </property>
  <property fmtid="{D5CDD505-2E9C-101B-9397-08002B2CF9AE}" pid="24" name="Mendeley Recent Style Name 9_1">
    <vt:lpwstr>eLife</vt:lpwstr>
  </property>
</Properties>
</file>