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B15" w:rsidRPr="0033231B" w:rsidRDefault="00C17B15" w:rsidP="00C17B15">
      <w:pPr>
        <w:pStyle w:val="EndNoteBibliography"/>
        <w:rPr>
          <w:b/>
        </w:rPr>
      </w:pPr>
      <w:r>
        <w:rPr>
          <w:b/>
        </w:rPr>
        <w:t xml:space="preserve">Supplementary File </w:t>
      </w:r>
      <w:r w:rsidRPr="0033231B">
        <w:rPr>
          <w:b/>
        </w:rPr>
        <w:t>1: Molecular mass det</w:t>
      </w:r>
      <w:r>
        <w:rPr>
          <w:b/>
        </w:rPr>
        <w:t>ermination by lateral</w:t>
      </w:r>
      <w:bookmarkStart w:id="0" w:name="_GoBack"/>
      <w:bookmarkEnd w:id="0"/>
      <w:r>
        <w:rPr>
          <w:b/>
        </w:rPr>
        <w:t xml:space="preserve"> diffusion </w:t>
      </w:r>
      <w:r w:rsidRPr="0033231B">
        <w:rPr>
          <w:b/>
        </w:rPr>
        <w:t>measurements.</w:t>
      </w:r>
    </w:p>
    <w:p w:rsidR="00C17B15" w:rsidRPr="0033231B" w:rsidRDefault="00C17B15" w:rsidP="00C17B15">
      <w:pPr>
        <w:pStyle w:val="EndNoteBibliography"/>
        <w:ind w:left="720" w:hanging="720"/>
        <w:rPr>
          <w:b/>
        </w:rPr>
      </w:pPr>
    </w:p>
    <w:tbl>
      <w:tblPr>
        <w:tblStyle w:val="TableGrid"/>
        <w:tblW w:w="897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2421"/>
        <w:gridCol w:w="2053"/>
      </w:tblGrid>
      <w:tr w:rsidR="00C17B15" w:rsidRPr="0033231B" w:rsidTr="00C7202C">
        <w:tc>
          <w:tcPr>
            <w:tcW w:w="2093" w:type="dxa"/>
          </w:tcPr>
          <w:p w:rsidR="00C17B15" w:rsidRPr="0033231B" w:rsidRDefault="00C17B15" w:rsidP="00C7202C">
            <w:pPr>
              <w:pStyle w:val="EndNoteBibliography"/>
              <w:ind w:left="720" w:hanging="720"/>
              <w:jc w:val="left"/>
            </w:pPr>
            <w:r w:rsidRPr="0033231B">
              <w:t>Protein molecule</w:t>
            </w:r>
          </w:p>
        </w:tc>
        <w:tc>
          <w:tcPr>
            <w:tcW w:w="2410" w:type="dxa"/>
          </w:tcPr>
          <w:p w:rsidR="00C17B15" w:rsidRPr="0033231B" w:rsidRDefault="00C17B15" w:rsidP="00C7202C">
            <w:pPr>
              <w:pStyle w:val="EndNoteBibliography"/>
              <w:jc w:val="left"/>
            </w:pPr>
            <w:r w:rsidRPr="0033231B">
              <w:t>Theoretical molecular mass [kDa]</w:t>
            </w:r>
            <w:r w:rsidRPr="0033231B">
              <w:rPr>
                <w:vertAlign w:val="superscript"/>
              </w:rPr>
              <w:t xml:space="preserve"> a</w:t>
            </w:r>
          </w:p>
        </w:tc>
        <w:tc>
          <w:tcPr>
            <w:tcW w:w="2421" w:type="dxa"/>
          </w:tcPr>
          <w:p w:rsidR="00C17B15" w:rsidRPr="0033231B" w:rsidRDefault="00C17B15" w:rsidP="00C7202C">
            <w:pPr>
              <w:pStyle w:val="EndNoteBibliography"/>
              <w:jc w:val="left"/>
            </w:pPr>
            <w:r w:rsidRPr="0033231B">
              <w:t xml:space="preserve">Diffusion coefficient </w:t>
            </w:r>
            <w:r w:rsidRPr="0033231B">
              <w:rPr>
                <w:i/>
              </w:rPr>
              <w:t>D</w:t>
            </w:r>
            <w:r w:rsidRPr="0033231B">
              <w:t xml:space="preserve"> [m</w:t>
            </w:r>
            <w:r w:rsidRPr="0033231B">
              <w:rPr>
                <w:vertAlign w:val="superscript"/>
              </w:rPr>
              <w:t>2</w:t>
            </w:r>
            <w:r w:rsidRPr="0033231B">
              <w:t>s</w:t>
            </w:r>
            <w:r w:rsidRPr="0033231B">
              <w:rPr>
                <w:vertAlign w:val="superscript"/>
              </w:rPr>
              <w:t>-1</w:t>
            </w:r>
            <w:r w:rsidRPr="0033231B">
              <w:t>]</w:t>
            </w:r>
            <w:r w:rsidRPr="0033231B">
              <w:rPr>
                <w:vertAlign w:val="superscript"/>
              </w:rPr>
              <w:t>b</w:t>
            </w:r>
          </w:p>
        </w:tc>
        <w:tc>
          <w:tcPr>
            <w:tcW w:w="2053" w:type="dxa"/>
          </w:tcPr>
          <w:p w:rsidR="00C17B15" w:rsidRPr="0033231B" w:rsidRDefault="00C17B15" w:rsidP="00C7202C">
            <w:pPr>
              <w:pStyle w:val="EndNoteBibliography"/>
              <w:ind w:left="22" w:hanging="22"/>
              <w:jc w:val="left"/>
            </w:pPr>
            <w:r w:rsidRPr="0033231B">
              <w:t>Experimental molecular mass</w:t>
            </w:r>
          </w:p>
          <w:p w:rsidR="00C17B15" w:rsidRPr="0033231B" w:rsidRDefault="00C17B15" w:rsidP="00C7202C">
            <w:pPr>
              <w:pStyle w:val="EndNoteBibliography"/>
              <w:ind w:left="720" w:hanging="720"/>
              <w:jc w:val="left"/>
            </w:pPr>
            <w:r w:rsidRPr="0033231B">
              <w:t>[kDa]</w:t>
            </w:r>
            <w:r w:rsidRPr="0033231B">
              <w:rPr>
                <w:vertAlign w:val="superscript"/>
              </w:rPr>
              <w:t>c</w:t>
            </w:r>
          </w:p>
        </w:tc>
      </w:tr>
      <w:tr w:rsidR="00C17B15" w:rsidRPr="0033231B" w:rsidTr="00C7202C">
        <w:tc>
          <w:tcPr>
            <w:tcW w:w="2093" w:type="dxa"/>
          </w:tcPr>
          <w:p w:rsidR="00C17B15" w:rsidRPr="0033231B" w:rsidRDefault="00C17B15" w:rsidP="00C7202C">
            <w:pPr>
              <w:pStyle w:val="EndNoteBibliography"/>
              <w:ind w:left="720" w:hanging="720"/>
            </w:pPr>
            <w:r w:rsidRPr="0033231B">
              <w:t>PLK4-PB3</w:t>
            </w:r>
          </w:p>
        </w:tc>
        <w:tc>
          <w:tcPr>
            <w:tcW w:w="2410" w:type="dxa"/>
          </w:tcPr>
          <w:p w:rsidR="00C17B15" w:rsidRPr="0033231B" w:rsidRDefault="00C17B15" w:rsidP="00C7202C">
            <w:pPr>
              <w:pStyle w:val="EndNoteBibliography"/>
              <w:ind w:left="720" w:hanging="720"/>
            </w:pPr>
            <w:r w:rsidRPr="0033231B">
              <w:t>9.6</w:t>
            </w:r>
          </w:p>
        </w:tc>
        <w:tc>
          <w:tcPr>
            <w:tcW w:w="2421" w:type="dxa"/>
          </w:tcPr>
          <w:p w:rsidR="00C17B15" w:rsidRPr="0033231B" w:rsidRDefault="00C17B15" w:rsidP="00C7202C">
            <w:pPr>
              <w:pStyle w:val="EndNoteBibliography"/>
              <w:ind w:left="720" w:hanging="720"/>
            </w:pPr>
            <w:r w:rsidRPr="0033231B">
              <w:t>1.13</w:t>
            </w:r>
            <w:r w:rsidRPr="0033231B">
              <w:sym w:font="Wingdings" w:char="F09E"/>
            </w:r>
            <w:r w:rsidRPr="0033231B">
              <w:t>10</w:t>
            </w:r>
            <w:r w:rsidRPr="0033231B">
              <w:rPr>
                <w:vertAlign w:val="superscript"/>
              </w:rPr>
              <w:t>-10</w:t>
            </w:r>
          </w:p>
        </w:tc>
        <w:tc>
          <w:tcPr>
            <w:tcW w:w="2053" w:type="dxa"/>
          </w:tcPr>
          <w:p w:rsidR="00C17B15" w:rsidRPr="0033231B" w:rsidRDefault="00C17B15" w:rsidP="00C7202C">
            <w:pPr>
              <w:pStyle w:val="EndNoteBibliography"/>
              <w:ind w:left="720" w:hanging="720"/>
            </w:pPr>
            <w:r w:rsidRPr="0033231B">
              <w:t>9.6</w:t>
            </w:r>
          </w:p>
        </w:tc>
      </w:tr>
      <w:tr w:rsidR="00C17B15" w:rsidRPr="0033231B" w:rsidTr="00C7202C">
        <w:tc>
          <w:tcPr>
            <w:tcW w:w="2093" w:type="dxa"/>
          </w:tcPr>
          <w:p w:rsidR="00C17B15" w:rsidRPr="0033231B" w:rsidRDefault="00C17B15" w:rsidP="00C7202C">
            <w:pPr>
              <w:pStyle w:val="EndNoteBibliography"/>
              <w:ind w:left="720" w:hanging="720"/>
            </w:pPr>
            <w:r w:rsidRPr="0033231B">
              <w:t>PLK4-PB3/STIL-CC</w:t>
            </w:r>
          </w:p>
        </w:tc>
        <w:tc>
          <w:tcPr>
            <w:tcW w:w="2410" w:type="dxa"/>
          </w:tcPr>
          <w:p w:rsidR="00C17B15" w:rsidRPr="0033231B" w:rsidRDefault="00C17B15" w:rsidP="00C7202C">
            <w:pPr>
              <w:pStyle w:val="EndNoteBibliography"/>
              <w:ind w:left="720" w:hanging="720"/>
            </w:pPr>
            <w:r w:rsidRPr="0033231B">
              <w:t>13.4</w:t>
            </w:r>
          </w:p>
        </w:tc>
        <w:tc>
          <w:tcPr>
            <w:tcW w:w="2421" w:type="dxa"/>
          </w:tcPr>
          <w:p w:rsidR="00C17B15" w:rsidRPr="0033231B" w:rsidRDefault="00C17B15" w:rsidP="00C7202C">
            <w:pPr>
              <w:pStyle w:val="EndNoteBibliography"/>
              <w:ind w:left="720" w:hanging="720"/>
            </w:pPr>
            <w:r w:rsidRPr="0033231B">
              <w:t>9.64</w:t>
            </w:r>
            <w:r w:rsidRPr="0033231B">
              <w:sym w:font="Wingdings" w:char="F09E"/>
            </w:r>
            <w:r w:rsidRPr="0033231B">
              <w:t>10</w:t>
            </w:r>
            <w:r w:rsidRPr="0033231B">
              <w:rPr>
                <w:vertAlign w:val="superscript"/>
              </w:rPr>
              <w:t>-11</w:t>
            </w:r>
          </w:p>
        </w:tc>
        <w:tc>
          <w:tcPr>
            <w:tcW w:w="2053" w:type="dxa"/>
          </w:tcPr>
          <w:p w:rsidR="00C17B15" w:rsidRPr="0033231B" w:rsidRDefault="00C17B15" w:rsidP="00C7202C">
            <w:pPr>
              <w:pStyle w:val="EndNoteBibliography"/>
              <w:ind w:left="720" w:hanging="720"/>
            </w:pPr>
            <w:r w:rsidRPr="0033231B">
              <w:t>15.3</w:t>
            </w:r>
          </w:p>
        </w:tc>
      </w:tr>
      <w:tr w:rsidR="00C17B15" w:rsidRPr="0033231B" w:rsidTr="00C7202C">
        <w:tc>
          <w:tcPr>
            <w:tcW w:w="2093" w:type="dxa"/>
          </w:tcPr>
          <w:p w:rsidR="00C17B15" w:rsidRPr="0033231B" w:rsidRDefault="00C17B15" w:rsidP="00C7202C">
            <w:pPr>
              <w:pStyle w:val="EndNoteBibliography"/>
              <w:ind w:left="720" w:hanging="720"/>
            </w:pPr>
            <w:r w:rsidRPr="0033231B">
              <w:t>GB1</w:t>
            </w:r>
            <w:r w:rsidRPr="0033231B">
              <w:rPr>
                <w:vertAlign w:val="superscript"/>
              </w:rPr>
              <w:t>d</w:t>
            </w:r>
          </w:p>
        </w:tc>
        <w:tc>
          <w:tcPr>
            <w:tcW w:w="2410" w:type="dxa"/>
          </w:tcPr>
          <w:p w:rsidR="00C17B15" w:rsidRPr="0033231B" w:rsidRDefault="00C17B15" w:rsidP="00C7202C">
            <w:pPr>
              <w:pStyle w:val="EndNoteBibliography"/>
              <w:ind w:left="720" w:hanging="720"/>
            </w:pPr>
            <w:r w:rsidRPr="0033231B">
              <w:t>6.2</w:t>
            </w:r>
          </w:p>
        </w:tc>
        <w:tc>
          <w:tcPr>
            <w:tcW w:w="2421" w:type="dxa"/>
          </w:tcPr>
          <w:p w:rsidR="00C17B15" w:rsidRPr="0033231B" w:rsidRDefault="00C17B15" w:rsidP="00C7202C">
            <w:pPr>
              <w:pStyle w:val="EndNoteBibliography"/>
              <w:ind w:left="720" w:hanging="720"/>
            </w:pPr>
            <w:r w:rsidRPr="0033231B">
              <w:t>1.22</w:t>
            </w:r>
            <w:r w:rsidRPr="0033231B">
              <w:sym w:font="Wingdings" w:char="F09E"/>
            </w:r>
            <w:r w:rsidRPr="0033231B">
              <w:t>10</w:t>
            </w:r>
            <w:r w:rsidRPr="0033231B">
              <w:rPr>
                <w:vertAlign w:val="superscript"/>
              </w:rPr>
              <w:t>-10</w:t>
            </w:r>
          </w:p>
        </w:tc>
        <w:tc>
          <w:tcPr>
            <w:tcW w:w="2053" w:type="dxa"/>
          </w:tcPr>
          <w:p w:rsidR="00C17B15" w:rsidRPr="0033231B" w:rsidRDefault="00C17B15" w:rsidP="00C7202C">
            <w:pPr>
              <w:pStyle w:val="EndNoteBibliography"/>
              <w:ind w:left="720" w:hanging="720"/>
            </w:pPr>
            <w:r w:rsidRPr="0033231B">
              <w:t>7.6</w:t>
            </w:r>
          </w:p>
        </w:tc>
      </w:tr>
    </w:tbl>
    <w:p w:rsidR="00C17B15" w:rsidRPr="0033231B" w:rsidRDefault="00C17B15" w:rsidP="00C17B15">
      <w:pPr>
        <w:pStyle w:val="EndNoteBibliography"/>
        <w:ind w:left="720" w:hanging="720"/>
      </w:pPr>
    </w:p>
    <w:p w:rsidR="00C17B15" w:rsidRPr="0033231B" w:rsidRDefault="00C17B15" w:rsidP="00C17B15">
      <w:pPr>
        <w:pStyle w:val="EndNoteBibliography"/>
        <w:ind w:left="720" w:hanging="720"/>
      </w:pPr>
      <w:proofErr w:type="gramStart"/>
      <w:r w:rsidRPr="0033231B">
        <w:rPr>
          <w:vertAlign w:val="superscript"/>
        </w:rPr>
        <w:t>a</w:t>
      </w:r>
      <w:proofErr w:type="gramEnd"/>
      <w:r w:rsidRPr="0033231B">
        <w:t xml:space="preserve"> Calculated from the amino acid sequence for a protein monomer</w:t>
      </w:r>
    </w:p>
    <w:p w:rsidR="00C17B15" w:rsidRPr="0033231B" w:rsidRDefault="00C17B15" w:rsidP="00C17B15">
      <w:pPr>
        <w:pStyle w:val="EndNoteBibliography"/>
        <w:ind w:left="720" w:hanging="720"/>
      </w:pPr>
      <w:proofErr w:type="gramStart"/>
      <w:r w:rsidRPr="0033231B">
        <w:rPr>
          <w:vertAlign w:val="superscript"/>
        </w:rPr>
        <w:t>b</w:t>
      </w:r>
      <w:proofErr w:type="gramEnd"/>
      <w:r w:rsidRPr="0033231B">
        <w:t xml:space="preserve"> Determined by BPP-LED NMR experiments</w:t>
      </w:r>
    </w:p>
    <w:p w:rsidR="00C17B15" w:rsidRPr="0033231B" w:rsidRDefault="00C17B15" w:rsidP="00C17B15">
      <w:pPr>
        <w:pStyle w:val="EndNoteBibliography"/>
        <w:ind w:left="720" w:hanging="720"/>
      </w:pPr>
      <w:proofErr w:type="gramStart"/>
      <w:r w:rsidRPr="0033231B">
        <w:rPr>
          <w:vertAlign w:val="superscript"/>
        </w:rPr>
        <w:t>c</w:t>
      </w:r>
      <w:proofErr w:type="gramEnd"/>
      <w:r w:rsidRPr="0033231B">
        <w:t xml:space="preserve"> Calculated from the diffusion coefficient assuming spherical, rigid molecules</w:t>
      </w:r>
    </w:p>
    <w:p w:rsidR="00C17B15" w:rsidRPr="0033231B" w:rsidRDefault="00C17B15" w:rsidP="00C17B15">
      <w:pPr>
        <w:pStyle w:val="EndNoteBibliography"/>
        <w:ind w:left="720" w:hanging="720"/>
      </w:pPr>
      <w:r w:rsidRPr="0033231B">
        <w:rPr>
          <w:vertAlign w:val="superscript"/>
        </w:rPr>
        <w:t>d</w:t>
      </w:r>
      <w:r w:rsidRPr="0033231B">
        <w:t xml:space="preserve"> Control protein: Immunoglobulin binding domain of streptococcal protein G </w:t>
      </w:r>
      <w:r w:rsidRPr="0033231B">
        <w:fldChar w:fldCharType="begin"/>
      </w:r>
      <w:r w:rsidRPr="0033231B">
        <w:instrText xml:space="preserve"> ADDIN EN.CITE &lt;EndNote&gt;&lt;Cite&gt;&lt;Author&gt;Gronenborn&lt;/Author&gt;&lt;Year&gt;1991&lt;/Year&gt;&lt;RecNum&gt;531&lt;/RecNum&gt;&lt;DisplayText&gt;(Gronenborn et al., 1991)&lt;/DisplayText&gt;&lt;record&gt;&lt;rec-number&gt;531&lt;/rec-number&gt;&lt;foreign-keys&gt;&lt;key app="EN" db-id="eerpxvrfexpxx2epvxnpz0fppte92d22sa9p" timestamp="1426862111"&gt;531&lt;/key&gt;&lt;/foreign-keys&gt;&lt;ref-type name="Journal Article"&gt;17&lt;/ref-type&gt;&lt;contributors&gt;&lt;authors&gt;&lt;author&gt;Gronenborn, A. M.&lt;/author&gt;&lt;author&gt;Filpula, D. R.&lt;/author&gt;&lt;author&gt;Essig, N. Z.&lt;/author&gt;&lt;author&gt;Achari, A.&lt;/author&gt;&lt;author&gt;Whitlow, M.&lt;/author&gt;&lt;author&gt;Wingfield, P. T.&lt;/author&gt;&lt;author&gt;Clore, G. M.&lt;/author&gt;&lt;/authors&gt;&lt;/contributors&gt;&lt;auth-address&gt;Gronenborn, Am&amp;#xD;Niddkd,Chem Phys Lab,Bldg 2,Bethesda,Md 20892, USA&amp;#xD;Niddkd,Chem Phys Lab,Bldg 2,Bethesda,Md 20892, USA&amp;#xD;Genex Corp,Gaithersburg,Md 20877&amp;#xD;Nih,Prot Express Lab,Off Director,Bethesda,Md 20892&lt;/auth-address&gt;&lt;titles&gt;&lt;title&gt;A Novel, Highly Stable Fold of the Immunoglobulin Binding Domain of Streptococcal Protein-G&lt;/title&gt;&lt;secondary-title&gt;Science&lt;/secondary-title&gt;&lt;alt-title&gt;Science&lt;/alt-title&gt;&lt;/titles&gt;&lt;periodical&gt;&lt;full-title&gt;Science&lt;/full-title&gt;&lt;abbr-1&gt;Science&lt;/abbr-1&gt;&lt;/periodical&gt;&lt;alt-periodical&gt;&lt;full-title&gt;Science&lt;/full-title&gt;&lt;abbr-1&gt;Science&lt;/abbr-1&gt;&lt;/alt-periodical&gt;&lt;pages&gt;657-661&lt;/pages&gt;&lt;volume&gt;253&lt;/volume&gt;&lt;number&gt;5020&lt;/number&gt;&lt;keywords&gt;&lt;keyword&gt;nuclear magnetic-resonance&lt;/keyword&gt;&lt;keyword&gt;distance geometry&lt;/keyword&gt;&lt;keyword&gt;3-dimensional structures&lt;/keyword&gt;&lt;keyword&gt;staphylococcus-aureus&lt;/keyword&gt;&lt;keyword&gt;molecular-dynamics&lt;/keyword&gt;&lt;keyword&gt;spectroscopy&lt;/keyword&gt;&lt;keyword&gt;crystallography&lt;/keyword&gt;&lt;keyword&gt;resolution&lt;/keyword&gt;&lt;keyword&gt;program&lt;/keyword&gt;&lt;keyword&gt;crambin&lt;/keyword&gt;&lt;/keywords&gt;&lt;dates&gt;&lt;year&gt;1991&lt;/year&gt;&lt;pub-dates&gt;&lt;date&gt;Aug 9&lt;/date&gt;&lt;/pub-dates&gt;&lt;/dates&gt;&lt;isbn&gt;0036-8075&lt;/isbn&gt;&lt;accession-num&gt;WOS:A1991GA30400037&lt;/accession-num&gt;&lt;urls&gt;&lt;related-urls&gt;&lt;url&gt;&amp;lt;Go to ISI&amp;gt;://WOS:A1991GA30400037&lt;/url&gt;&lt;/related-urls&gt;&lt;/urls&gt;&lt;electronic-resource-num&gt;Doi 10.1126/Science.1871600&lt;/electronic-resource-num&gt;&lt;language&gt;English&lt;/language&gt;&lt;/record&gt;&lt;/Cite&gt;&lt;/EndNote&gt;</w:instrText>
      </w:r>
      <w:r w:rsidRPr="0033231B">
        <w:fldChar w:fldCharType="separate"/>
      </w:r>
      <w:r w:rsidRPr="0033231B">
        <w:t>(</w:t>
      </w:r>
      <w:proofErr w:type="spellStart"/>
      <w:r w:rsidRPr="0033231B">
        <w:t>Gronenborn</w:t>
      </w:r>
      <w:proofErr w:type="spellEnd"/>
      <w:r w:rsidRPr="0033231B">
        <w:t xml:space="preserve"> et al., 1991)</w:t>
      </w:r>
      <w:r w:rsidRPr="0033231B">
        <w:fldChar w:fldCharType="end"/>
      </w:r>
    </w:p>
    <w:p w:rsidR="00FF44CA" w:rsidRDefault="00C17B15"/>
    <w:sectPr w:rsidR="00FF44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B15"/>
    <w:rsid w:val="001836D0"/>
    <w:rsid w:val="008766B0"/>
    <w:rsid w:val="00C1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5DE706-82C1-4CBA-810C-90A1BABA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7B15"/>
    <w:pPr>
      <w:spacing w:after="0" w:line="360" w:lineRule="auto"/>
      <w:jc w:val="both"/>
    </w:pPr>
    <w:rPr>
      <w:rFonts w:ascii="Times New Roman" w:eastAsiaTheme="minorEastAsia" w:hAnsi="Times New Roman"/>
      <w:sz w:val="24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7B15"/>
    <w:pPr>
      <w:spacing w:after="0" w:line="240" w:lineRule="auto"/>
    </w:pPr>
    <w:rPr>
      <w:rFonts w:eastAsiaTheme="minorEastAsia"/>
      <w:sz w:val="24"/>
      <w:szCs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Normal"/>
    <w:rsid w:val="00C17B15"/>
    <w:pPr>
      <w:spacing w:line="240" w:lineRule="auto"/>
    </w:pPr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Franklin Xavier</dc:creator>
  <cp:keywords/>
  <dc:description/>
  <cp:lastModifiedBy>Franklin Xavier</cp:lastModifiedBy>
  <cp:revision>1</cp:revision>
  <dcterms:created xsi:type="dcterms:W3CDTF">2015-07-18T06:04:00Z</dcterms:created>
  <dcterms:modified xsi:type="dcterms:W3CDTF">2015-07-18T06:05:00Z</dcterms:modified>
</cp:coreProperties>
</file>