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CF" w:rsidRDefault="00D644CF" w:rsidP="00D644CF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62B4C">
        <w:rPr>
          <w:rFonts w:ascii="Arial" w:hAnsi="Arial" w:cs="Arial"/>
          <w:b/>
          <w:sz w:val="24"/>
          <w:szCs w:val="24"/>
        </w:rPr>
        <w:t xml:space="preserve">Supplementary </w:t>
      </w:r>
      <w:r w:rsidR="006177B6">
        <w:rPr>
          <w:rFonts w:ascii="Arial" w:hAnsi="Arial" w:cs="Arial"/>
          <w:b/>
          <w:sz w:val="24"/>
          <w:szCs w:val="24"/>
        </w:rPr>
        <w:t>File 1</w:t>
      </w:r>
      <w:r w:rsidRPr="00A62B4C">
        <w:rPr>
          <w:rFonts w:ascii="Arial" w:hAnsi="Arial" w:cs="Arial"/>
          <w:b/>
          <w:bCs/>
          <w:sz w:val="24"/>
          <w:szCs w:val="24"/>
        </w:rPr>
        <w:t>.</w:t>
      </w:r>
      <w:r w:rsidRPr="00A62B4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Table of co-ordinates for the whole brain TBSS analysis.</w:t>
      </w:r>
    </w:p>
    <w:p w:rsidR="00D644CF" w:rsidRPr="00A73801" w:rsidRDefault="00D644CF" w:rsidP="00D644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748" w:type="dxa"/>
        <w:tblInd w:w="90" w:type="dxa"/>
        <w:tblLook w:val="04A0"/>
      </w:tblPr>
      <w:tblGrid>
        <w:gridCol w:w="1134"/>
        <w:gridCol w:w="1043"/>
        <w:gridCol w:w="990"/>
        <w:gridCol w:w="894"/>
        <w:gridCol w:w="894"/>
        <w:gridCol w:w="894"/>
        <w:gridCol w:w="894"/>
        <w:gridCol w:w="3005"/>
      </w:tblGrid>
      <w:tr w:rsidR="00D644CF" w:rsidRPr="0089534B" w:rsidTr="00C761B7">
        <w:trPr>
          <w:trHeight w:val="624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Metric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Cluster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Voxels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P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x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z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AD6AB4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</w:pPr>
            <w:r w:rsidRPr="00AD6AB4">
              <w:rPr>
                <w:rFonts w:ascii="Arial" w:eastAsia="Times New Roman" w:hAnsi="Arial" w:cs="Arial"/>
                <w:b/>
                <w:bCs/>
                <w:iCs/>
                <w:sz w:val="24"/>
                <w:szCs w:val="20"/>
                <w:lang w:eastAsia="en-GB"/>
              </w:rPr>
              <w:t>Peak voxel location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GB"/>
              </w:rPr>
              <w:t>MD</w:t>
            </w:r>
          </w:p>
        </w:tc>
        <w:tc>
          <w:tcPr>
            <w:tcW w:w="10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9473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0.018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-33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30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SLF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Splenium of corpus callosum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Superior parietal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Superior corona radiata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Corticospinal tract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-41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SLF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Corticospinal tract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Cingulum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Postcentral gyrus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Superior corona radiata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Corticospinal tract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Cingulum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Postcentral gyrus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Cingulum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Splenium of corpus callosum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ILF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Precentral gyrus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Corpus callosum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Corpus callosum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Corticospinal tract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Postcentral gyrus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-54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30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Superior parietal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-58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Precuneous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eastAsia="en-GB"/>
              </w:rPr>
              <w:t>FA</w:t>
            </w:r>
          </w:p>
        </w:tc>
        <w:tc>
          <w:tcPr>
            <w:tcW w:w="10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31383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8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300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Corpus callosum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ILF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-63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Cingulum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-14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SLF 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Forceps minor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-77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ILF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-70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-12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Occipital fusiform white matter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IFOF</w:t>
            </w:r>
          </w:p>
        </w:tc>
      </w:tr>
      <w:tr w:rsidR="00D644CF" w:rsidRPr="0089534B" w:rsidTr="00C761B7">
        <w:trPr>
          <w:trHeight w:val="34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4CF" w:rsidRPr="00884DCE" w:rsidRDefault="00D644CF" w:rsidP="00C761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884DC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SLF </w:t>
            </w:r>
          </w:p>
        </w:tc>
      </w:tr>
    </w:tbl>
    <w:p w:rsidR="00D644CF" w:rsidRDefault="00D644CF" w:rsidP="00D644CF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44CF" w:rsidRDefault="00D644CF" w:rsidP="00D644CF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62B4C">
        <w:rPr>
          <w:rFonts w:ascii="Arial" w:hAnsi="Arial" w:cs="Arial"/>
          <w:b/>
          <w:sz w:val="24"/>
          <w:szCs w:val="24"/>
        </w:rPr>
        <w:lastRenderedPageBreak/>
        <w:t xml:space="preserve">Supplementary </w:t>
      </w:r>
      <w:r w:rsidR="006177B6">
        <w:rPr>
          <w:rFonts w:ascii="Arial" w:hAnsi="Arial" w:cs="Arial"/>
          <w:b/>
          <w:sz w:val="24"/>
          <w:szCs w:val="24"/>
        </w:rPr>
        <w:t>File 1</w:t>
      </w:r>
      <w:r w:rsidRPr="00A62B4C">
        <w:rPr>
          <w:rFonts w:ascii="Arial" w:hAnsi="Arial" w:cs="Arial"/>
          <w:b/>
          <w:bCs/>
          <w:sz w:val="24"/>
          <w:szCs w:val="24"/>
        </w:rPr>
        <w:t>.</w:t>
      </w:r>
      <w:r w:rsidRPr="00A62B4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Table of co-ordinates for the whole brain Tract-Based Spatial Statistics (TBSS) analysis. Cluster peaks are reported for mean diffusivity (MD, top) and fractional anisotropy (FA, bottom). Abbreviated white matter structures include SLF (superior longitudinal fasciculus), IFOF (inferior </w:t>
      </w:r>
      <w:proofErr w:type="spellStart"/>
      <w:r>
        <w:rPr>
          <w:rFonts w:ascii="Arial" w:hAnsi="Arial" w:cs="Arial"/>
          <w:sz w:val="24"/>
          <w:szCs w:val="24"/>
        </w:rPr>
        <w:t>fronto</w:t>
      </w:r>
      <w:proofErr w:type="spellEnd"/>
      <w:r>
        <w:rPr>
          <w:rFonts w:ascii="Arial" w:hAnsi="Arial" w:cs="Arial"/>
          <w:sz w:val="24"/>
          <w:szCs w:val="24"/>
        </w:rPr>
        <w:t>-occipital fasciculus) and ILF (inferior longitudinal fasciculus).</w:t>
      </w:r>
    </w:p>
    <w:p w:rsidR="00545F26" w:rsidRPr="00D644CF" w:rsidRDefault="00545F26">
      <w:pPr>
        <w:rPr>
          <w:b/>
        </w:rPr>
      </w:pPr>
    </w:p>
    <w:sectPr w:rsidR="00545F26" w:rsidRPr="00D644CF" w:rsidSect="00545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compat/>
  <w:rsids>
    <w:rsidRoot w:val="00D644CF"/>
    <w:rsid w:val="002931BF"/>
    <w:rsid w:val="00414D14"/>
    <w:rsid w:val="00545F26"/>
    <w:rsid w:val="006177B6"/>
    <w:rsid w:val="00D6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Carl</cp:lastModifiedBy>
  <cp:revision>2</cp:revision>
  <dcterms:created xsi:type="dcterms:W3CDTF">2015-04-07T14:11:00Z</dcterms:created>
  <dcterms:modified xsi:type="dcterms:W3CDTF">2015-07-28T10:59:00Z</dcterms:modified>
</cp:coreProperties>
</file>