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170" w:rsidRDefault="0076201A" w:rsidP="0028617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Supplementary File 2</w:t>
      </w:r>
      <w:r w:rsidR="00286170" w:rsidRPr="00F31B34">
        <w:rPr>
          <w:rFonts w:ascii="Arial" w:hAnsi="Arial" w:cs="Arial"/>
          <w:b/>
          <w:bCs/>
          <w:sz w:val="24"/>
          <w:szCs w:val="24"/>
        </w:rPr>
        <w:t>.</w:t>
      </w:r>
      <w:r w:rsidR="00286170" w:rsidRPr="00F31B34">
        <w:rPr>
          <w:rFonts w:ascii="Arial" w:hAnsi="Arial" w:cs="Arial"/>
          <w:b/>
          <w:sz w:val="24"/>
          <w:szCs w:val="24"/>
        </w:rPr>
        <w:t xml:space="preserve"> </w:t>
      </w:r>
      <w:r w:rsidR="00286170">
        <w:rPr>
          <w:rFonts w:ascii="Arial" w:hAnsi="Arial" w:cs="Arial"/>
          <w:sz w:val="24"/>
          <w:szCs w:val="24"/>
        </w:rPr>
        <w:t xml:space="preserve">Results of the mediation analyses across </w:t>
      </w:r>
      <w:r w:rsidR="00807744">
        <w:rPr>
          <w:rFonts w:ascii="Arial" w:hAnsi="Arial" w:cs="Arial"/>
          <w:sz w:val="24"/>
          <w:szCs w:val="24"/>
        </w:rPr>
        <w:t>the</w:t>
      </w:r>
      <w:r w:rsidR="00286170">
        <w:rPr>
          <w:rFonts w:ascii="Arial" w:hAnsi="Arial" w:cs="Arial"/>
          <w:sz w:val="24"/>
          <w:szCs w:val="24"/>
        </w:rPr>
        <w:t xml:space="preserve"> three</w:t>
      </w:r>
      <w:r w:rsidR="00807744">
        <w:rPr>
          <w:rFonts w:ascii="Arial" w:hAnsi="Arial" w:cs="Arial"/>
          <w:sz w:val="24"/>
          <w:szCs w:val="24"/>
        </w:rPr>
        <w:t xml:space="preserve"> </w:t>
      </w:r>
      <w:r w:rsidR="00286170">
        <w:rPr>
          <w:rFonts w:ascii="Arial" w:hAnsi="Arial" w:cs="Arial"/>
          <w:sz w:val="24"/>
          <w:szCs w:val="24"/>
        </w:rPr>
        <w:t>ROIs.</w:t>
      </w:r>
    </w:p>
    <w:p w:rsidR="00286170" w:rsidRDefault="00286170" w:rsidP="0028617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703" w:type="dxa"/>
        <w:jc w:val="center"/>
        <w:tblInd w:w="1912" w:type="dxa"/>
        <w:tblLook w:val="04A0"/>
      </w:tblPr>
      <w:tblGrid>
        <w:gridCol w:w="736"/>
        <w:gridCol w:w="870"/>
        <w:gridCol w:w="1871"/>
        <w:gridCol w:w="1871"/>
        <w:gridCol w:w="1871"/>
        <w:gridCol w:w="1871"/>
        <w:gridCol w:w="1871"/>
        <w:gridCol w:w="1871"/>
        <w:gridCol w:w="1871"/>
      </w:tblGrid>
      <w:tr w:rsidR="00286170" w:rsidRPr="00CB40ED" w:rsidTr="00C761B7">
        <w:trPr>
          <w:trHeight w:val="525"/>
          <w:jc w:val="center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lang w:eastAsia="en-GB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(a) ROIs</w:t>
            </w:r>
          </w:p>
        </w:tc>
        <w:tc>
          <w:tcPr>
            <w:tcW w:w="7484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(b) ROIs by hemisphere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FFA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PrC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HC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Left PrC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Right PrC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Left FFA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lang w:eastAsia="en-GB"/>
              </w:rPr>
              <w:t>Right FFA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 w:val="restart"/>
            <w:tcBorders>
              <w:top w:val="nil"/>
              <w:left w:val="nil"/>
              <w:bottom w:val="dashed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  <w:t>Model 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a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-1.99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0.00)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-1.1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0.24)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-3.62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0.31)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-0.68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0.34)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-0.74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-1.99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-1.65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0.00)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dashed" w:sz="8" w:space="0" w:color="000000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b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-1852.78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0.05)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-1826.53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-638.08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-1155.74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0.05)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-2039.51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-1317.98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-1742.41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0.04)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dashed" w:sz="8" w:space="0" w:color="000000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a*b (CI)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0.04 (0.006, 0.099)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0.02 (-0.01, 0.10)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-0.02 (-0.001, 0.06)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0.03 (-0.03, 0.07)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0.02 (-0.05, 0.08)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0.03 (-0.001, 0.07)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0.03 (0.001, 0.09)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dashed" w:sz="8" w:space="0" w:color="000000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c'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0.39)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0.11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0.03)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-0.15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0.03)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0.07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0.08)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0.11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-0.01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0.42)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0.02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0.21)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dashed" w:sz="8" w:space="0" w:color="000000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c (p)</w:t>
            </w:r>
          </w:p>
        </w:tc>
        <w:tc>
          <w:tcPr>
            <w:tcW w:w="187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0.05)</w:t>
            </w:r>
          </w:p>
        </w:tc>
        <w:tc>
          <w:tcPr>
            <w:tcW w:w="187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0.13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  <w:tc>
          <w:tcPr>
            <w:tcW w:w="187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-0.13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0.08)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0.07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0.07)</w:t>
            </w:r>
          </w:p>
        </w:tc>
        <w:tc>
          <w:tcPr>
            <w:tcW w:w="187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0.13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  <w:tc>
          <w:tcPr>
            <w:tcW w:w="187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0.02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0.27)</w:t>
            </w:r>
          </w:p>
        </w:tc>
        <w:tc>
          <w:tcPr>
            <w:tcW w:w="1871" w:type="dxa"/>
            <w:tcBorders>
              <w:top w:val="nil"/>
              <w:left w:val="nil"/>
              <w:bottom w:val="dashed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  <w:t>Model 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a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-20869.18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0.00)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-2116.3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0.48)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-338.97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0.31)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-1218.63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0.34)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1568.28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-11281.1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-21896.55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0.00)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b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0.39)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0.11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0.06)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-0.15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0.03)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0.07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0.08)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0.11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-0.01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0.42)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0.02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0.21)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a*b (CI)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-200.37 (-1105.28, 1321.92)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-226.61 (-1232.97, 142.08)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51.88 (-77.15, 590.53)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-87.07 (-1063.53, 260.43)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-178.84 (-913.02, 647.68)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75.17 (-520.59, 1298.82)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-475.95 (-1522.49, 687.33)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c'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-1852.78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0.05)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-1826.53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-638.08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-1155.74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0.05)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-2039.51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-1317.98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0.06)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-1742.41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0.04)</w:t>
            </w:r>
          </w:p>
        </w:tc>
      </w:tr>
      <w:tr w:rsidR="00286170" w:rsidRPr="00CB40ED" w:rsidTr="00C761B7">
        <w:trPr>
          <w:trHeight w:val="525"/>
          <w:jc w:val="center"/>
        </w:trPr>
        <w:tc>
          <w:tcPr>
            <w:tcW w:w="7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eastAsia="en-GB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20"/>
                <w:lang w:eastAsia="en-GB"/>
              </w:rPr>
              <w:t>c (p)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-2053.15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-2053.15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-586.2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0.02)</w:t>
            </w:r>
          </w:p>
        </w:tc>
        <w:tc>
          <w:tcPr>
            <w:tcW w:w="187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-1242.81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0.04)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-2218.35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-1242.81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0.04)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6170" w:rsidRPr="00CB40ED" w:rsidRDefault="00286170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</w:pP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>-2218.35 (</w:t>
            </w:r>
            <w:r w:rsidRPr="00CB40E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0"/>
                <w:lang w:eastAsia="en-GB"/>
              </w:rPr>
              <w:t>p</w:t>
            </w:r>
            <w:r w:rsidRPr="00CB40ED">
              <w:rPr>
                <w:rFonts w:ascii="Arial" w:eastAsia="Times New Roman" w:hAnsi="Arial" w:cs="Arial"/>
                <w:color w:val="000000"/>
                <w:sz w:val="18"/>
                <w:szCs w:val="20"/>
                <w:lang w:eastAsia="en-GB"/>
              </w:rPr>
              <w:t xml:space="preserve"> = 0.01)</w:t>
            </w:r>
          </w:p>
        </w:tc>
      </w:tr>
    </w:tbl>
    <w:p w:rsidR="00286170" w:rsidRPr="00286170" w:rsidRDefault="00286170" w:rsidP="00286170">
      <w:pPr>
        <w:spacing w:after="0" w:line="480" w:lineRule="auto"/>
        <w:jc w:val="both"/>
        <w:rPr>
          <w:rFonts w:ascii="Arial" w:hAnsi="Arial" w:cs="Arial"/>
          <w:sz w:val="24"/>
          <w:szCs w:val="24"/>
        </w:rPr>
        <w:sectPr w:rsidR="00286170" w:rsidRPr="00286170" w:rsidSect="00286170">
          <w:footerReference w:type="default" r:id="rId6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545F26" w:rsidRPr="00286170" w:rsidRDefault="00286170" w:rsidP="0028617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Supplementary File 4</w:t>
      </w:r>
      <w:r w:rsidRPr="00F31B34">
        <w:rPr>
          <w:rFonts w:ascii="Arial" w:hAnsi="Arial" w:cs="Arial"/>
          <w:b/>
          <w:bCs/>
          <w:sz w:val="24"/>
          <w:szCs w:val="24"/>
        </w:rPr>
        <w:t>.</w:t>
      </w:r>
      <w:r w:rsidRPr="00F31B3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Results of the mediation analyses across our three </w:t>
      </w:r>
      <w:r w:rsidRPr="003930E9">
        <w:rPr>
          <w:rFonts w:ascii="Arial" w:hAnsi="Arial" w:cs="Arial"/>
          <w:i/>
          <w:sz w:val="24"/>
          <w:szCs w:val="24"/>
        </w:rPr>
        <w:t>a priori</w:t>
      </w:r>
      <w:r>
        <w:rPr>
          <w:rFonts w:ascii="Arial" w:hAnsi="Arial" w:cs="Arial"/>
          <w:sz w:val="24"/>
          <w:szCs w:val="24"/>
        </w:rPr>
        <w:t xml:space="preserve"> ROIs</w:t>
      </w:r>
      <w:r w:rsidRPr="00F31B34">
        <w:rPr>
          <w:rFonts w:ascii="Arial" w:hAnsi="Arial" w:cs="Arial"/>
          <w:sz w:val="24"/>
          <w:szCs w:val="24"/>
        </w:rPr>
        <w:t xml:space="preserve">. In model 1 (top), </w:t>
      </w:r>
      <w:r>
        <w:rPr>
          <w:rFonts w:ascii="Arial" w:hAnsi="Arial" w:cs="Arial"/>
          <w:sz w:val="24"/>
          <w:szCs w:val="24"/>
        </w:rPr>
        <w:t>blood oxygen level-dependent (</w:t>
      </w:r>
      <w:r w:rsidRPr="00F31B34">
        <w:rPr>
          <w:rFonts w:ascii="Arial" w:hAnsi="Arial" w:cs="Arial"/>
          <w:sz w:val="24"/>
          <w:szCs w:val="24"/>
        </w:rPr>
        <w:t>BOLD</w:t>
      </w:r>
      <w:r>
        <w:rPr>
          <w:rFonts w:ascii="Arial" w:hAnsi="Arial" w:cs="Arial"/>
          <w:sz w:val="24"/>
          <w:szCs w:val="24"/>
        </w:rPr>
        <w:t>) response</w:t>
      </w:r>
      <w:r w:rsidRPr="00F31B34">
        <w:rPr>
          <w:rFonts w:ascii="Arial" w:hAnsi="Arial" w:cs="Arial"/>
          <w:sz w:val="24"/>
          <w:szCs w:val="24"/>
        </w:rPr>
        <w:t xml:space="preserve"> is the independent variable, white matter microstructure is the mediator</w:t>
      </w:r>
      <w:r>
        <w:rPr>
          <w:rFonts w:ascii="Arial" w:hAnsi="Arial" w:cs="Arial"/>
          <w:sz w:val="24"/>
          <w:szCs w:val="24"/>
        </w:rPr>
        <w:t xml:space="preserve"> </w:t>
      </w:r>
      <w:r w:rsidRPr="00F31B34">
        <w:rPr>
          <w:rFonts w:ascii="Arial" w:hAnsi="Arial" w:cs="Arial"/>
          <w:sz w:val="24"/>
          <w:szCs w:val="24"/>
        </w:rPr>
        <w:t xml:space="preserve">and oddity performance is the dependent variable. In model 2 (bottom), white matter microstructure is the independent variable and BOLD response is the mediator. Data are reported for the </w:t>
      </w:r>
      <w:r>
        <w:rPr>
          <w:rFonts w:ascii="Arial" w:hAnsi="Arial" w:cs="Arial"/>
          <w:sz w:val="24"/>
          <w:szCs w:val="24"/>
        </w:rPr>
        <w:t xml:space="preserve">fusiform face area (FFA, </w:t>
      </w:r>
      <w:r w:rsidRPr="00F31B34">
        <w:rPr>
          <w:rFonts w:ascii="Arial" w:hAnsi="Arial" w:cs="Arial"/>
          <w:sz w:val="24"/>
          <w:szCs w:val="24"/>
        </w:rPr>
        <w:t xml:space="preserve">left), </w:t>
      </w:r>
      <w:r>
        <w:rPr>
          <w:rFonts w:ascii="Arial" w:hAnsi="Arial" w:cs="Arial"/>
          <w:sz w:val="24"/>
          <w:szCs w:val="24"/>
        </w:rPr>
        <w:t>perirhinal cortex</w:t>
      </w:r>
      <w:r w:rsidRPr="00F31B34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PrC, </w:t>
      </w:r>
      <w:r w:rsidRPr="00F31B34">
        <w:rPr>
          <w:rFonts w:ascii="Arial" w:hAnsi="Arial" w:cs="Arial"/>
          <w:sz w:val="24"/>
          <w:szCs w:val="24"/>
        </w:rPr>
        <w:t xml:space="preserve">middle) and </w:t>
      </w:r>
      <w:r>
        <w:rPr>
          <w:rFonts w:ascii="Arial" w:hAnsi="Arial" w:cs="Arial"/>
          <w:sz w:val="24"/>
          <w:szCs w:val="24"/>
        </w:rPr>
        <w:t>hippocampus</w:t>
      </w:r>
      <w:r w:rsidRPr="00F31B34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HC, </w:t>
      </w:r>
      <w:r w:rsidRPr="00F31B34">
        <w:rPr>
          <w:rFonts w:ascii="Arial" w:hAnsi="Arial" w:cs="Arial"/>
          <w:sz w:val="24"/>
          <w:szCs w:val="24"/>
        </w:rPr>
        <w:t xml:space="preserve">right). </w:t>
      </w:r>
      <w:r w:rsidRPr="005C0488">
        <w:rPr>
          <w:rFonts w:ascii="Arial" w:hAnsi="Arial" w:cs="Arial"/>
          <w:b/>
          <w:sz w:val="24"/>
          <w:szCs w:val="24"/>
        </w:rPr>
        <w:t>(b)</w:t>
      </w:r>
      <w:r>
        <w:rPr>
          <w:rFonts w:ascii="Arial" w:hAnsi="Arial" w:cs="Arial"/>
          <w:sz w:val="24"/>
          <w:szCs w:val="24"/>
        </w:rPr>
        <w:t xml:space="preserve"> </w:t>
      </w:r>
      <w:r w:rsidRPr="00F31B34">
        <w:rPr>
          <w:rFonts w:ascii="Arial" w:hAnsi="Arial" w:cs="Arial"/>
          <w:sz w:val="24"/>
          <w:szCs w:val="24"/>
        </w:rPr>
        <w:t>Results of the mediation analysis</w:t>
      </w:r>
      <w:r>
        <w:rPr>
          <w:rFonts w:ascii="Arial" w:hAnsi="Arial" w:cs="Arial"/>
          <w:sz w:val="24"/>
          <w:szCs w:val="24"/>
        </w:rPr>
        <w:t xml:space="preserve"> when comparing left and right hemispheres for the PrC (top) and FFA (bottom)</w:t>
      </w:r>
      <w:r w:rsidRPr="00F31B3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In model 1</w:t>
      </w:r>
      <w:r w:rsidRPr="00F31B3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BOLD</w:t>
      </w:r>
      <w:r w:rsidRPr="00F31B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response </w:t>
      </w:r>
      <w:r w:rsidRPr="00F31B34">
        <w:rPr>
          <w:rFonts w:ascii="Arial" w:hAnsi="Arial" w:cs="Arial"/>
          <w:sz w:val="24"/>
          <w:szCs w:val="24"/>
        </w:rPr>
        <w:t>is the independent variable</w:t>
      </w:r>
      <w:r>
        <w:rPr>
          <w:rFonts w:ascii="Arial" w:hAnsi="Arial" w:cs="Arial"/>
          <w:sz w:val="24"/>
          <w:szCs w:val="24"/>
        </w:rPr>
        <w:t xml:space="preserve"> (left vs. right), inferior longitudinal fasciculus (ILF)</w:t>
      </w:r>
      <w:r w:rsidRPr="00F31B34">
        <w:rPr>
          <w:rFonts w:ascii="Arial" w:hAnsi="Arial" w:cs="Arial"/>
          <w:sz w:val="24"/>
          <w:szCs w:val="24"/>
        </w:rPr>
        <w:t xml:space="preserve"> microstructure</w:t>
      </w:r>
      <w:r>
        <w:rPr>
          <w:rFonts w:ascii="Arial" w:hAnsi="Arial" w:cs="Arial"/>
          <w:sz w:val="24"/>
          <w:szCs w:val="24"/>
        </w:rPr>
        <w:t xml:space="preserve"> for the respective hemisphere</w:t>
      </w:r>
      <w:r w:rsidRPr="00F31B34">
        <w:rPr>
          <w:rFonts w:ascii="Arial" w:hAnsi="Arial" w:cs="Arial"/>
          <w:sz w:val="24"/>
          <w:szCs w:val="24"/>
        </w:rPr>
        <w:t xml:space="preserve"> is the mediator</w:t>
      </w:r>
      <w:r>
        <w:rPr>
          <w:rFonts w:ascii="Arial" w:hAnsi="Arial" w:cs="Arial"/>
          <w:sz w:val="24"/>
          <w:szCs w:val="24"/>
        </w:rPr>
        <w:t xml:space="preserve">, </w:t>
      </w:r>
      <w:r w:rsidRPr="00F31B34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face </w:t>
      </w:r>
      <w:r w:rsidRPr="00F31B34">
        <w:rPr>
          <w:rFonts w:ascii="Arial" w:hAnsi="Arial" w:cs="Arial"/>
          <w:sz w:val="24"/>
          <w:szCs w:val="24"/>
        </w:rPr>
        <w:t>oddity performance is the dependent va</w:t>
      </w:r>
      <w:r>
        <w:rPr>
          <w:rFonts w:ascii="Arial" w:hAnsi="Arial" w:cs="Arial"/>
          <w:sz w:val="24"/>
          <w:szCs w:val="24"/>
        </w:rPr>
        <w:t>riable. In model 2</w:t>
      </w:r>
      <w:r w:rsidRPr="00F31B3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ILF</w:t>
      </w:r>
      <w:r w:rsidRPr="00F31B34">
        <w:rPr>
          <w:rFonts w:ascii="Arial" w:hAnsi="Arial" w:cs="Arial"/>
          <w:sz w:val="24"/>
          <w:szCs w:val="24"/>
        </w:rPr>
        <w:t xml:space="preserve"> microstructure</w:t>
      </w:r>
      <w:r>
        <w:rPr>
          <w:rFonts w:ascii="Arial" w:hAnsi="Arial" w:cs="Arial"/>
          <w:sz w:val="24"/>
          <w:szCs w:val="24"/>
        </w:rPr>
        <w:t xml:space="preserve"> (left vs. right)</w:t>
      </w:r>
      <w:r w:rsidRPr="00F31B34">
        <w:rPr>
          <w:rFonts w:ascii="Arial" w:hAnsi="Arial" w:cs="Arial"/>
          <w:sz w:val="24"/>
          <w:szCs w:val="24"/>
        </w:rPr>
        <w:t xml:space="preserve"> is the independent variable and</w:t>
      </w:r>
      <w:r>
        <w:rPr>
          <w:rFonts w:ascii="Arial" w:hAnsi="Arial" w:cs="Arial"/>
          <w:sz w:val="24"/>
          <w:szCs w:val="24"/>
        </w:rPr>
        <w:t xml:space="preserve"> BOLD response for the respective hemisphere is the mediator. </w:t>
      </w:r>
      <w:r w:rsidRPr="00F31B34">
        <w:rPr>
          <w:rFonts w:ascii="Arial" w:hAnsi="Arial" w:cs="Arial"/>
          <w:sz w:val="24"/>
          <w:szCs w:val="24"/>
        </w:rPr>
        <w:t xml:space="preserve">Unstandardised coefficients and </w:t>
      </w:r>
      <w:r>
        <w:rPr>
          <w:rFonts w:ascii="Arial" w:hAnsi="Arial" w:cs="Arial"/>
          <w:sz w:val="24"/>
          <w:szCs w:val="24"/>
        </w:rPr>
        <w:t>one-</w:t>
      </w:r>
      <w:r w:rsidRPr="00F31B34">
        <w:rPr>
          <w:rFonts w:ascii="Arial" w:hAnsi="Arial" w:cs="Arial"/>
          <w:sz w:val="24"/>
          <w:szCs w:val="24"/>
        </w:rPr>
        <w:t xml:space="preserve">tailed </w:t>
      </w:r>
      <w:r w:rsidRPr="00F31B34">
        <w:rPr>
          <w:rFonts w:ascii="Arial" w:hAnsi="Arial" w:cs="Arial"/>
          <w:i/>
          <w:sz w:val="24"/>
          <w:szCs w:val="24"/>
        </w:rPr>
        <w:t>p</w:t>
      </w:r>
      <w:r w:rsidRPr="00F31B34">
        <w:rPr>
          <w:rFonts w:ascii="Arial" w:hAnsi="Arial" w:cs="Arial"/>
          <w:sz w:val="24"/>
          <w:szCs w:val="24"/>
        </w:rPr>
        <w:t>-values are reported for all m</w:t>
      </w:r>
      <w:r>
        <w:rPr>
          <w:rFonts w:ascii="Arial" w:hAnsi="Arial" w:cs="Arial"/>
          <w:sz w:val="24"/>
          <w:szCs w:val="24"/>
        </w:rPr>
        <w:t>odels paths (</w:t>
      </w:r>
      <w:r w:rsidRPr="003B3B32">
        <w:rPr>
          <w:rFonts w:ascii="Arial" w:hAnsi="Arial" w:cs="Arial"/>
          <w:i/>
          <w:sz w:val="24"/>
          <w:szCs w:val="24"/>
        </w:rPr>
        <w:t>a, b, a*b, c', c</w:t>
      </w:r>
      <w:r>
        <w:rPr>
          <w:rFonts w:ascii="Arial" w:hAnsi="Arial" w:cs="Arial"/>
          <w:sz w:val="24"/>
          <w:szCs w:val="24"/>
        </w:rPr>
        <w:t xml:space="preserve">). Coefficients relating to changes in MD are formatted </w:t>
      </w:r>
      <w:r w:rsidRPr="00CF33E3">
        <w:rPr>
          <w:rFonts w:ascii="Arial" w:hAnsi="Arial" w:cs="Arial"/>
          <w:i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(x 10</w:t>
      </w:r>
      <w:r w:rsidRPr="00445856">
        <w:rPr>
          <w:rFonts w:ascii="Arial" w:hAnsi="Arial" w:cs="Arial"/>
          <w:sz w:val="24"/>
          <w:szCs w:val="24"/>
          <w:vertAlign w:val="superscript"/>
        </w:rPr>
        <w:t>-5</w:t>
      </w:r>
      <w:r w:rsidRPr="00445856">
        <w:rPr>
          <w:rFonts w:ascii="Arial" w:hAnsi="Arial" w:cs="Arial"/>
          <w:sz w:val="24"/>
          <w:szCs w:val="24"/>
        </w:rPr>
        <w:t>mm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445856">
        <w:rPr>
          <w:rFonts w:ascii="Arial" w:hAnsi="Arial" w:cs="Arial"/>
          <w:sz w:val="24"/>
          <w:szCs w:val="24"/>
        </w:rPr>
        <w:t>/s</w:t>
      </w:r>
      <w:r>
        <w:rPr>
          <w:rFonts w:ascii="Arial" w:hAnsi="Arial" w:cs="Arial"/>
          <w:sz w:val="24"/>
          <w:szCs w:val="24"/>
        </w:rPr>
        <w:t xml:space="preserve">). </w:t>
      </w:r>
      <w:r w:rsidRPr="00F31B34">
        <w:rPr>
          <w:rFonts w:ascii="Arial" w:hAnsi="Arial" w:cs="Arial"/>
          <w:sz w:val="24"/>
          <w:szCs w:val="24"/>
        </w:rPr>
        <w:t>The 95% confidence interval</w:t>
      </w:r>
      <w:r>
        <w:rPr>
          <w:rFonts w:ascii="Arial" w:hAnsi="Arial" w:cs="Arial"/>
          <w:sz w:val="24"/>
          <w:szCs w:val="24"/>
        </w:rPr>
        <w:t xml:space="preserve"> (CI)</w:t>
      </w:r>
      <w:r w:rsidRPr="00F31B34">
        <w:rPr>
          <w:rFonts w:ascii="Arial" w:hAnsi="Arial" w:cs="Arial"/>
          <w:sz w:val="24"/>
          <w:szCs w:val="24"/>
        </w:rPr>
        <w:t xml:space="preserve"> is reported for the indirect effect (</w:t>
      </w:r>
      <w:r w:rsidRPr="003B3B32">
        <w:rPr>
          <w:rFonts w:ascii="Arial" w:hAnsi="Arial" w:cs="Arial"/>
          <w:i/>
          <w:sz w:val="24"/>
          <w:szCs w:val="24"/>
        </w:rPr>
        <w:t>a*b</w:t>
      </w:r>
      <w:r w:rsidRPr="00F31B34">
        <w:rPr>
          <w:rFonts w:ascii="Arial" w:hAnsi="Arial" w:cs="Arial"/>
          <w:sz w:val="24"/>
          <w:szCs w:val="24"/>
        </w:rPr>
        <w:t>) and is based on 1000 bootstrapped iterations.</w:t>
      </w:r>
    </w:p>
    <w:sectPr w:rsidR="00545F26" w:rsidRPr="00286170" w:rsidSect="0028617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A66" w:rsidRDefault="00B06A66" w:rsidP="007F184F">
      <w:pPr>
        <w:spacing w:after="0" w:line="240" w:lineRule="auto"/>
      </w:pPr>
      <w:r>
        <w:separator/>
      </w:r>
    </w:p>
  </w:endnote>
  <w:endnote w:type="continuationSeparator" w:id="0">
    <w:p w:rsidR="00B06A66" w:rsidRDefault="00B06A66" w:rsidP="007F1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</w:rPr>
      <w:id w:val="346953275"/>
      <w:docPartObj>
        <w:docPartGallery w:val="Page Numbers (Bottom of Page)"/>
        <w:docPartUnique/>
      </w:docPartObj>
    </w:sdtPr>
    <w:sdtContent>
      <w:p w:rsidR="003E6A15" w:rsidRPr="003150B0" w:rsidRDefault="007F184F">
        <w:pPr>
          <w:pStyle w:val="Footer"/>
          <w:jc w:val="center"/>
          <w:rPr>
            <w:rFonts w:ascii="Arial" w:hAnsi="Arial" w:cs="Arial"/>
          </w:rPr>
        </w:pPr>
        <w:r w:rsidRPr="003150B0">
          <w:rPr>
            <w:rFonts w:ascii="Arial" w:hAnsi="Arial" w:cs="Arial"/>
          </w:rPr>
          <w:fldChar w:fldCharType="begin"/>
        </w:r>
        <w:r w:rsidR="00807744" w:rsidRPr="003150B0">
          <w:rPr>
            <w:rFonts w:ascii="Arial" w:hAnsi="Arial" w:cs="Arial"/>
          </w:rPr>
          <w:instrText xml:space="preserve"> PAGE   \* MERGEFORMAT </w:instrText>
        </w:r>
        <w:r w:rsidRPr="003150B0">
          <w:rPr>
            <w:rFonts w:ascii="Arial" w:hAnsi="Arial" w:cs="Arial"/>
          </w:rPr>
          <w:fldChar w:fldCharType="separate"/>
        </w:r>
        <w:r w:rsidR="0076201A">
          <w:rPr>
            <w:rFonts w:ascii="Arial" w:hAnsi="Arial" w:cs="Arial"/>
            <w:noProof/>
          </w:rPr>
          <w:t>1</w:t>
        </w:r>
        <w:r w:rsidRPr="003150B0">
          <w:rPr>
            <w:rFonts w:ascii="Arial" w:hAnsi="Arial" w:cs="Arial"/>
          </w:rPr>
          <w:fldChar w:fldCharType="end"/>
        </w:r>
      </w:p>
    </w:sdtContent>
  </w:sdt>
  <w:p w:rsidR="003E6A15" w:rsidRDefault="00B06A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A66" w:rsidRDefault="00B06A66" w:rsidP="007F184F">
      <w:pPr>
        <w:spacing w:after="0" w:line="240" w:lineRule="auto"/>
      </w:pPr>
      <w:r>
        <w:separator/>
      </w:r>
    </w:p>
  </w:footnote>
  <w:footnote w:type="continuationSeparator" w:id="0">
    <w:p w:rsidR="00B06A66" w:rsidRDefault="00B06A66" w:rsidP="007F1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170"/>
    <w:rsid w:val="00286170"/>
    <w:rsid w:val="002931BF"/>
    <w:rsid w:val="00545F26"/>
    <w:rsid w:val="0076201A"/>
    <w:rsid w:val="007F184F"/>
    <w:rsid w:val="00807744"/>
    <w:rsid w:val="00B06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17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61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286170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86170"/>
    <w:rPr>
      <w:rFonts w:ascii="Calibri" w:eastAsia="Calibri" w:hAnsi="Calibri" w:cs="Times New Roman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286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Carl</cp:lastModifiedBy>
  <cp:revision>3</cp:revision>
  <dcterms:created xsi:type="dcterms:W3CDTF">2015-04-07T14:14:00Z</dcterms:created>
  <dcterms:modified xsi:type="dcterms:W3CDTF">2015-07-28T10:59:00Z</dcterms:modified>
</cp:coreProperties>
</file>