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D4F" w:rsidRPr="00625EFF" w:rsidRDefault="00870D4F" w:rsidP="00870D4F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625EFF">
        <w:rPr>
          <w:rFonts w:ascii="Arial" w:hAnsi="Arial" w:cs="Arial"/>
          <w:b/>
          <w:sz w:val="22"/>
          <w:szCs w:val="22"/>
        </w:rPr>
        <w:t>Supplementary file 1.</w:t>
      </w:r>
      <w:proofErr w:type="gramEnd"/>
      <w:r w:rsidRPr="00625EFF">
        <w:rPr>
          <w:rFonts w:ascii="Arial" w:hAnsi="Arial" w:cs="Arial"/>
          <w:b/>
          <w:sz w:val="22"/>
          <w:szCs w:val="22"/>
        </w:rPr>
        <w:t xml:space="preserve"> ARQiv Hit Calls (ordered by SSMD score)</w:t>
      </w:r>
    </w:p>
    <w:tbl>
      <w:tblPr>
        <w:tblW w:w="9963" w:type="dxa"/>
        <w:tblInd w:w="93" w:type="dxa"/>
        <w:tblLook w:val="04A0" w:firstRow="1" w:lastRow="0" w:firstColumn="1" w:lastColumn="0" w:noHBand="0" w:noVBand="1"/>
      </w:tblPr>
      <w:tblGrid>
        <w:gridCol w:w="838"/>
        <w:gridCol w:w="3489"/>
        <w:gridCol w:w="997"/>
        <w:gridCol w:w="657"/>
        <w:gridCol w:w="741"/>
        <w:gridCol w:w="1954"/>
        <w:gridCol w:w="1287"/>
      </w:tblGrid>
      <w:tr w:rsidR="00870D4F" w:rsidRPr="00625EFF" w:rsidTr="00762C09">
        <w:trPr>
          <w:trHeight w:val="370"/>
        </w:trPr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b/>
                <w:kern w:val="0"/>
                <w:sz w:val="18"/>
                <w:szCs w:val="20"/>
              </w:rPr>
            </w:pPr>
            <w:r w:rsidRPr="00625EFF">
              <w:rPr>
                <w:rFonts w:ascii="Arial" w:hAnsi="Arial" w:cs="Arial"/>
                <w:b/>
                <w:kern w:val="0"/>
                <w:sz w:val="18"/>
                <w:szCs w:val="20"/>
              </w:rPr>
              <w:t xml:space="preserve">　</w:t>
            </w:r>
          </w:p>
        </w:tc>
        <w:tc>
          <w:tcPr>
            <w:tcW w:w="34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b/>
                <w:kern w:val="0"/>
                <w:sz w:val="18"/>
                <w:szCs w:val="20"/>
              </w:rPr>
            </w:pPr>
            <w:r w:rsidRPr="00625EFF">
              <w:rPr>
                <w:rFonts w:ascii="Arial" w:hAnsi="Arial" w:cs="Arial"/>
                <w:b/>
                <w:kern w:val="0"/>
                <w:sz w:val="18"/>
                <w:szCs w:val="20"/>
              </w:rPr>
              <w:t>Drug Name</w:t>
            </w:r>
          </w:p>
        </w:tc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b/>
                <w:kern w:val="0"/>
                <w:sz w:val="18"/>
                <w:szCs w:val="20"/>
              </w:rPr>
            </w:pPr>
            <w:r w:rsidRPr="00625EFF">
              <w:rPr>
                <w:rFonts w:ascii="Arial" w:hAnsi="Arial" w:cs="Arial"/>
                <w:b/>
                <w:kern w:val="0"/>
                <w:sz w:val="18"/>
                <w:szCs w:val="20"/>
              </w:rPr>
              <w:t>SSMD</w:t>
            </w:r>
          </w:p>
        </w:tc>
        <w:tc>
          <w:tcPr>
            <w:tcW w:w="6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b/>
                <w:kern w:val="0"/>
                <w:sz w:val="18"/>
                <w:szCs w:val="20"/>
              </w:rPr>
            </w:pPr>
            <w:r w:rsidRPr="00625EFF">
              <w:rPr>
                <w:rFonts w:ascii="Arial" w:hAnsi="Arial" w:cs="Arial"/>
                <w:b/>
                <w:kern w:val="0"/>
                <w:sz w:val="18"/>
                <w:szCs w:val="20"/>
              </w:rPr>
              <w:t>Hit I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b/>
                <w:kern w:val="0"/>
                <w:sz w:val="18"/>
                <w:szCs w:val="20"/>
              </w:rPr>
            </w:pPr>
            <w:r w:rsidRPr="00625EFF">
              <w:rPr>
                <w:rFonts w:ascii="Arial" w:hAnsi="Arial" w:cs="Arial"/>
                <w:b/>
                <w:kern w:val="0"/>
                <w:sz w:val="18"/>
                <w:szCs w:val="20"/>
              </w:rPr>
              <w:t>Hit II</w:t>
            </w:r>
          </w:p>
        </w:tc>
        <w:tc>
          <w:tcPr>
            <w:tcW w:w="1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b/>
                <w:kern w:val="0"/>
                <w:sz w:val="18"/>
                <w:szCs w:val="20"/>
              </w:rPr>
            </w:pPr>
            <w:r w:rsidRPr="00625EFF">
              <w:rPr>
                <w:rFonts w:ascii="Arial" w:hAnsi="Arial" w:cs="Arial"/>
                <w:b/>
                <w:kern w:val="0"/>
                <w:sz w:val="18"/>
                <w:szCs w:val="20"/>
              </w:rPr>
              <w:t>Clinical indication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b/>
                <w:kern w:val="0"/>
                <w:sz w:val="18"/>
                <w:szCs w:val="20"/>
              </w:rPr>
            </w:pPr>
            <w:r w:rsidRPr="00625EFF">
              <w:rPr>
                <w:rFonts w:ascii="Arial" w:hAnsi="Arial" w:cs="Arial"/>
                <w:b/>
                <w:kern w:val="0"/>
                <w:sz w:val="18"/>
                <w:szCs w:val="20"/>
              </w:rPr>
              <w:t>FDA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contextualSpacing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Paroxetine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HCl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3.15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Antidepressant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Promethazine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HCl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2.46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Antihistaminic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Pasiniazid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2.32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Antibacterial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INN, DCF, MI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4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Benzalkonium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Chloride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2.31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Antiseptic (topical)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Amcinonide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2.28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Glucocorticoid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6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NCS-382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2.12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Anticonvulsant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7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Chloroacetoxyquinoline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2.09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Antifungal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8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Thioctic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Acid (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Lipoamide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2.07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Hepatoprotectant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JAN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9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Acyclovir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2.06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Antiviral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Phenothrin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2.01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Insecticide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INN, BAN, MI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Diphenhydramine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1.99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Antihistaminic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Reserpine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1.95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Antihypertensive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13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RIAA 94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1.94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n/a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14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Trientine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1.92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Antidote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Resorcinol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Monoacetate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1.9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C</w:t>
            </w: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orneal trauma indicator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16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Beta-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propiolactone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1.90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Antiseptic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17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Khellin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1.89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Vasodilator (coronary)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INN, DCF, MI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18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Butenafine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HCl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1.8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Antifungal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19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Emodic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Acid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1.85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Cathartic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24"/>
                <w:sz w:val="16"/>
                <w:szCs w:val="20"/>
              </w:rPr>
              <w:t>Promazine</w:t>
            </w:r>
            <w:proofErr w:type="spellEnd"/>
            <w:r w:rsidRPr="00625EFF">
              <w:rPr>
                <w:rFonts w:ascii="Arial" w:hAnsi="Arial" w:cs="Arial"/>
                <w:kern w:val="24"/>
                <w:sz w:val="16"/>
                <w:szCs w:val="20"/>
              </w:rPr>
              <w:t xml:space="preserve"> </w:t>
            </w:r>
            <w:proofErr w:type="spellStart"/>
            <w:r w:rsidRPr="00625EFF">
              <w:rPr>
                <w:rFonts w:ascii="Arial" w:hAnsi="Arial" w:cs="Arial" w:hint="eastAsia"/>
                <w:kern w:val="24"/>
                <w:sz w:val="16"/>
                <w:szCs w:val="20"/>
              </w:rPr>
              <w:t>HCl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1.85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Antiemetic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Biperiden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HCl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1.8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Antiparkinsonian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Nomifensin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Maleate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1.82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Antidepressant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23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D-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Gluconic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acid calcium salt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1.81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Nutrient- Ca2+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replenisher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24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Decitabine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1.78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Antineoplastic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INN, BAN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Amitriptyline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1.75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Antidepressant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26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Ethopropazine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HCl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1.75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v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Antiparkinsonian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27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N-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Acetylaspartic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Acid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1.60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Analeptic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28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Iodine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1.5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Antiseptic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29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Methylthiouracil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1.56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Thyroid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Parthenolide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1.45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Anti-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inflamation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Nevirapine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1.45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Antiviral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Dimethindene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(S, +) maleate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1.44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Antihistaminic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33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Thiram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1.43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Antiseptic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34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Maprotiline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1.42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Antidepressant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N-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Acetylmuramic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acid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40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n/a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36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Bayberry wax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1.39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Therapeutic plant extract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37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Vitamin K3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1.3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Vitamin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38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1,5-Bis(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succinimidooxycarbonyloxy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)pentane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1.37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n/a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39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BOC-S-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acetaminomethyl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-L-cysteine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1.35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n/a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40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Tretinoin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1.34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Antiacne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41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Ethynodiol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diacetate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1.33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Contraceptive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42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Estradiol </w:t>
            </w: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diacetate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1.33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Estrogen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43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Benzamidine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3</w:t>
            </w: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n/a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No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44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Oxacillin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3</w:t>
            </w: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Antibiotic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45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Dexetimide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</w:t>
            </w:r>
            <w:r w:rsidRPr="00625EFF">
              <w:rPr>
                <w:rFonts w:ascii="Arial" w:hAnsi="Arial" w:cs="Arial" w:hint="eastAsia"/>
                <w:kern w:val="0"/>
                <w:sz w:val="16"/>
                <w:szCs w:val="20"/>
              </w:rPr>
              <w:t>3</w:t>
            </w: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Antiparkinsonian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INN, BAN</w:t>
            </w:r>
          </w:p>
        </w:tc>
      </w:tr>
      <w:tr w:rsidR="00870D4F" w:rsidRPr="00625EFF" w:rsidTr="00762C09">
        <w:trPr>
          <w:trHeight w:hRule="exact" w:val="288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46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left"/>
              <w:rPr>
                <w:rFonts w:ascii="Arial" w:hAnsi="Arial" w:cs="Arial"/>
                <w:kern w:val="0"/>
                <w:sz w:val="16"/>
                <w:szCs w:val="20"/>
              </w:rPr>
            </w:pPr>
            <w:proofErr w:type="spellStart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Fosphenytoin</w:t>
            </w:r>
            <w:proofErr w:type="spellEnd"/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 xml:space="preserve"> sodium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1.30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√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tested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Anticonvulsant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70D4F" w:rsidRPr="00625EFF" w:rsidRDefault="00870D4F" w:rsidP="00762C09">
            <w:pPr>
              <w:widowControl/>
              <w:jc w:val="center"/>
              <w:rPr>
                <w:rFonts w:ascii="Arial" w:hAnsi="Arial" w:cs="Arial"/>
                <w:kern w:val="0"/>
                <w:sz w:val="16"/>
                <w:szCs w:val="20"/>
              </w:rPr>
            </w:pPr>
            <w:r w:rsidRPr="00625EFF">
              <w:rPr>
                <w:rFonts w:ascii="Arial" w:hAnsi="Arial" w:cs="Arial"/>
                <w:kern w:val="0"/>
                <w:sz w:val="16"/>
                <w:szCs w:val="20"/>
              </w:rPr>
              <w:t>Yes</w:t>
            </w:r>
          </w:p>
        </w:tc>
      </w:tr>
    </w:tbl>
    <w:p w:rsidR="00870D4F" w:rsidRPr="00625EFF" w:rsidRDefault="00870D4F" w:rsidP="00870D4F">
      <w:pPr>
        <w:ind w:right="476"/>
        <w:rPr>
          <w:rFonts w:ascii="Arial" w:hAnsi="Arial" w:cs="Arial"/>
          <w:b/>
          <w:kern w:val="0"/>
          <w:sz w:val="16"/>
          <w:szCs w:val="20"/>
        </w:rPr>
      </w:pPr>
    </w:p>
    <w:p w:rsidR="00870D4F" w:rsidRPr="00625EFF" w:rsidRDefault="00870D4F" w:rsidP="00870D4F">
      <w:pPr>
        <w:ind w:right="476"/>
        <w:rPr>
          <w:rFonts w:ascii="Arial" w:hAnsi="Arial" w:cs="Arial"/>
          <w:kern w:val="0"/>
          <w:sz w:val="18"/>
          <w:szCs w:val="20"/>
        </w:rPr>
      </w:pPr>
      <w:r w:rsidRPr="00625EFF">
        <w:rPr>
          <w:rFonts w:ascii="Arial" w:hAnsi="Arial" w:cs="Arial"/>
          <w:kern w:val="0"/>
          <w:sz w:val="18"/>
          <w:szCs w:val="20"/>
        </w:rPr>
        <w:lastRenderedPageBreak/>
        <w:t xml:space="preserve">Abbreviations: </w:t>
      </w:r>
      <w:r w:rsidRPr="00625EFF">
        <w:rPr>
          <w:rFonts w:ascii="Arial" w:hAnsi="Arial" w:cs="Arial" w:hint="eastAsia"/>
          <w:kern w:val="0"/>
          <w:sz w:val="18"/>
          <w:szCs w:val="20"/>
        </w:rPr>
        <w:t>INN:</w:t>
      </w:r>
      <w:r w:rsidRPr="00625EFF">
        <w:rPr>
          <w:rFonts w:ascii="Arial" w:hAnsi="Arial"/>
          <w:sz w:val="18"/>
          <w:szCs w:val="20"/>
        </w:rPr>
        <w:t xml:space="preserve"> </w:t>
      </w:r>
      <w:r w:rsidRPr="00625EFF">
        <w:rPr>
          <w:rFonts w:ascii="Arial" w:hAnsi="Arial" w:cs="Arial"/>
          <w:kern w:val="0"/>
          <w:sz w:val="18"/>
          <w:szCs w:val="20"/>
        </w:rPr>
        <w:t>International Nonproprietary Names</w:t>
      </w:r>
      <w:r w:rsidRPr="00625EFF">
        <w:rPr>
          <w:rFonts w:ascii="Arial" w:hAnsi="Arial" w:cs="Arial" w:hint="eastAsia"/>
          <w:kern w:val="0"/>
          <w:sz w:val="18"/>
          <w:szCs w:val="20"/>
        </w:rPr>
        <w:t xml:space="preserve">; </w:t>
      </w:r>
      <w:r w:rsidRPr="00625EFF">
        <w:rPr>
          <w:rFonts w:ascii="Arial" w:hAnsi="Arial" w:cs="Arial"/>
          <w:kern w:val="0"/>
          <w:sz w:val="18"/>
          <w:szCs w:val="20"/>
        </w:rPr>
        <w:t>DCF</w:t>
      </w:r>
      <w:r w:rsidRPr="00625EFF">
        <w:rPr>
          <w:rFonts w:ascii="Arial" w:hAnsi="Arial" w:cs="Arial" w:hint="eastAsia"/>
          <w:kern w:val="0"/>
          <w:sz w:val="18"/>
          <w:szCs w:val="20"/>
        </w:rPr>
        <w:t xml:space="preserve">: </w:t>
      </w:r>
      <w:proofErr w:type="spellStart"/>
      <w:r w:rsidRPr="00625EFF">
        <w:rPr>
          <w:rFonts w:ascii="Arial" w:hAnsi="Arial" w:cs="Arial"/>
          <w:kern w:val="0"/>
          <w:sz w:val="18"/>
          <w:szCs w:val="20"/>
        </w:rPr>
        <w:t>Dénominations</w:t>
      </w:r>
      <w:proofErr w:type="spellEnd"/>
      <w:r w:rsidRPr="00625EFF">
        <w:rPr>
          <w:rFonts w:ascii="Arial" w:hAnsi="Arial" w:cs="Arial"/>
          <w:kern w:val="0"/>
          <w:sz w:val="18"/>
          <w:szCs w:val="20"/>
        </w:rPr>
        <w:t xml:space="preserve"> Communes </w:t>
      </w:r>
      <w:proofErr w:type="spellStart"/>
      <w:r w:rsidRPr="00625EFF">
        <w:rPr>
          <w:rFonts w:ascii="Arial" w:hAnsi="Arial" w:cs="Arial"/>
          <w:kern w:val="0"/>
          <w:sz w:val="18"/>
          <w:szCs w:val="20"/>
        </w:rPr>
        <w:t>Françaises</w:t>
      </w:r>
      <w:proofErr w:type="spellEnd"/>
      <w:r w:rsidRPr="00625EFF">
        <w:rPr>
          <w:rFonts w:ascii="Arial" w:hAnsi="Arial" w:cs="Arial" w:hint="eastAsia"/>
          <w:kern w:val="0"/>
          <w:sz w:val="18"/>
          <w:szCs w:val="20"/>
        </w:rPr>
        <w:t xml:space="preserve">; </w:t>
      </w:r>
      <w:r w:rsidRPr="00625EFF">
        <w:rPr>
          <w:rFonts w:ascii="Arial" w:hAnsi="Arial" w:cs="Arial"/>
          <w:kern w:val="0"/>
          <w:sz w:val="18"/>
          <w:szCs w:val="20"/>
        </w:rPr>
        <w:t>MI</w:t>
      </w:r>
      <w:r w:rsidRPr="00625EFF">
        <w:rPr>
          <w:rFonts w:ascii="Arial" w:hAnsi="Arial" w:cs="Arial" w:hint="eastAsia"/>
          <w:kern w:val="0"/>
          <w:sz w:val="18"/>
          <w:szCs w:val="20"/>
        </w:rPr>
        <w:t xml:space="preserve">: </w:t>
      </w:r>
      <w:r w:rsidRPr="00625EFF">
        <w:rPr>
          <w:rFonts w:ascii="Arial" w:hAnsi="Arial" w:cs="Arial"/>
          <w:kern w:val="0"/>
          <w:sz w:val="18"/>
          <w:szCs w:val="20"/>
        </w:rPr>
        <w:t>Modified International Nonproprietary Names</w:t>
      </w:r>
      <w:r w:rsidRPr="00625EFF">
        <w:rPr>
          <w:rFonts w:ascii="Arial" w:hAnsi="Arial" w:cs="Arial" w:hint="eastAsia"/>
          <w:kern w:val="0"/>
          <w:sz w:val="18"/>
          <w:szCs w:val="20"/>
        </w:rPr>
        <w:t xml:space="preserve">; </w:t>
      </w:r>
      <w:r w:rsidRPr="00625EFF">
        <w:rPr>
          <w:rFonts w:ascii="Arial" w:hAnsi="Arial" w:cs="Arial"/>
          <w:kern w:val="0"/>
          <w:sz w:val="18"/>
          <w:szCs w:val="20"/>
        </w:rPr>
        <w:t>BAN</w:t>
      </w:r>
      <w:r w:rsidRPr="00625EFF">
        <w:rPr>
          <w:rFonts w:ascii="Arial" w:hAnsi="Arial" w:cs="Arial" w:hint="eastAsia"/>
          <w:kern w:val="0"/>
          <w:sz w:val="18"/>
          <w:szCs w:val="20"/>
        </w:rPr>
        <w:t xml:space="preserve">: </w:t>
      </w:r>
      <w:r w:rsidRPr="00625EFF">
        <w:rPr>
          <w:rFonts w:ascii="Arial" w:hAnsi="Arial" w:cs="Arial"/>
          <w:kern w:val="0"/>
          <w:sz w:val="18"/>
          <w:szCs w:val="20"/>
        </w:rPr>
        <w:t>British Approved Names</w:t>
      </w:r>
      <w:r w:rsidRPr="00625EFF">
        <w:rPr>
          <w:rFonts w:ascii="Arial" w:hAnsi="Arial" w:cs="Arial" w:hint="eastAsia"/>
          <w:kern w:val="0"/>
          <w:sz w:val="18"/>
          <w:szCs w:val="20"/>
        </w:rPr>
        <w:t xml:space="preserve">; </w:t>
      </w:r>
      <w:r w:rsidRPr="00625EFF">
        <w:rPr>
          <w:rFonts w:ascii="Arial" w:hAnsi="Arial" w:cs="Arial"/>
          <w:kern w:val="0"/>
          <w:sz w:val="18"/>
          <w:szCs w:val="20"/>
        </w:rPr>
        <w:t>JAN</w:t>
      </w:r>
      <w:r w:rsidRPr="00625EFF">
        <w:rPr>
          <w:rFonts w:ascii="Arial" w:hAnsi="Arial" w:cs="Arial" w:hint="eastAsia"/>
          <w:kern w:val="0"/>
          <w:sz w:val="18"/>
          <w:szCs w:val="20"/>
        </w:rPr>
        <w:t xml:space="preserve">: </w:t>
      </w:r>
      <w:r w:rsidRPr="00625EFF">
        <w:rPr>
          <w:rFonts w:ascii="Arial" w:hAnsi="Arial" w:cs="Arial"/>
          <w:kern w:val="0"/>
          <w:sz w:val="18"/>
          <w:szCs w:val="20"/>
        </w:rPr>
        <w:t>Japanese Adopted Names.</w:t>
      </w:r>
    </w:p>
    <w:p w:rsidR="00870D4F" w:rsidRPr="00625EFF" w:rsidRDefault="00870D4F" w:rsidP="00870D4F">
      <w:pPr>
        <w:rPr>
          <w:rFonts w:ascii="Arial" w:hAnsi="Arial" w:cs="Arial"/>
          <w:kern w:val="0"/>
          <w:sz w:val="16"/>
          <w:szCs w:val="20"/>
        </w:rPr>
      </w:pPr>
    </w:p>
    <w:p w:rsidR="00870D4F" w:rsidRPr="00625EFF" w:rsidRDefault="00870D4F" w:rsidP="00870D4F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625EFF">
        <w:rPr>
          <w:rFonts w:ascii="Arial" w:hAnsi="Arial" w:cs="Arial"/>
          <w:b/>
          <w:sz w:val="22"/>
          <w:szCs w:val="22"/>
        </w:rPr>
        <w:t>Supplementary file 1.</w:t>
      </w:r>
      <w:proofErr w:type="gramEnd"/>
      <w:r w:rsidRPr="00625EFF">
        <w:rPr>
          <w:rFonts w:ascii="Arial" w:hAnsi="Arial" w:cs="Arial"/>
          <w:b/>
          <w:sz w:val="22"/>
          <w:szCs w:val="22"/>
        </w:rPr>
        <w:t xml:space="preserve"> ARQiv Hit Calls</w:t>
      </w:r>
    </w:p>
    <w:p w:rsidR="00870D4F" w:rsidRPr="00625EFF" w:rsidRDefault="00870D4F" w:rsidP="00870D4F">
      <w:pPr>
        <w:spacing w:line="360" w:lineRule="auto"/>
        <w:rPr>
          <w:rFonts w:ascii="Arial" w:hAnsi="Arial" w:cs="Arial"/>
          <w:sz w:val="22"/>
          <w:szCs w:val="22"/>
        </w:rPr>
      </w:pPr>
      <w:r w:rsidRPr="00625EFF">
        <w:rPr>
          <w:rFonts w:ascii="Arial" w:hAnsi="Arial" w:cs="Arial"/>
          <w:sz w:val="22"/>
          <w:szCs w:val="22"/>
        </w:rPr>
        <w:t xml:space="preserve">The 46 compounds implicated as Hit Calls following the ARQiv screen and initial visual assessments of enhanced 2º islet formation are listed. Compounds are ordered according to SSMD value. Hit </w:t>
      </w:r>
      <w:proofErr w:type="gramStart"/>
      <w:r w:rsidRPr="00625EFF">
        <w:rPr>
          <w:rFonts w:ascii="Arial" w:hAnsi="Arial" w:cs="Arial"/>
          <w:sz w:val="22"/>
          <w:szCs w:val="22"/>
        </w:rPr>
        <w:t>I</w:t>
      </w:r>
      <w:proofErr w:type="gramEnd"/>
      <w:r w:rsidRPr="00625EFF">
        <w:rPr>
          <w:rFonts w:ascii="Arial" w:hAnsi="Arial" w:cs="Arial"/>
          <w:sz w:val="22"/>
          <w:szCs w:val="22"/>
        </w:rPr>
        <w:t xml:space="preserve"> and Hit II subsets are indicated by a check mark in the corresponding column. In addition, Hit I compounds that were evaluated in β-cell proliferation assays alongside Hit II compounds are indicated as "tested". Also listed </w:t>
      </w:r>
      <w:proofErr w:type="gramStart"/>
      <w:r w:rsidRPr="00625EFF">
        <w:rPr>
          <w:rFonts w:ascii="Arial" w:hAnsi="Arial" w:cs="Arial"/>
          <w:sz w:val="22"/>
          <w:szCs w:val="22"/>
        </w:rPr>
        <w:t>are clinical indication</w:t>
      </w:r>
      <w:proofErr w:type="gramEnd"/>
      <w:r w:rsidRPr="00625EFF">
        <w:rPr>
          <w:rFonts w:ascii="Arial" w:hAnsi="Arial" w:cs="Arial"/>
          <w:sz w:val="22"/>
          <w:szCs w:val="22"/>
        </w:rPr>
        <w:t>, FDA approval status, or naming convention for compounds approved by FDA counterparts in other countries.</w:t>
      </w:r>
    </w:p>
    <w:p w:rsidR="0074578D" w:rsidRDefault="0074578D">
      <w:bookmarkStart w:id="0" w:name="_GoBack"/>
      <w:bookmarkEnd w:id="0"/>
    </w:p>
    <w:sectPr w:rsidR="0074578D" w:rsidSect="00870D4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4F"/>
    <w:rsid w:val="001645D2"/>
    <w:rsid w:val="002351EB"/>
    <w:rsid w:val="0074578D"/>
    <w:rsid w:val="00870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4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D4F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Georgia Health Sciences University</Company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1</cp:revision>
  <dcterms:created xsi:type="dcterms:W3CDTF">2015-06-30T16:01:00Z</dcterms:created>
  <dcterms:modified xsi:type="dcterms:W3CDTF">2015-06-30T16:02:00Z</dcterms:modified>
</cp:coreProperties>
</file>