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3D9" w:rsidRPr="004C4AFF" w:rsidRDefault="00C103D9" w:rsidP="00C103D9">
      <w:pPr>
        <w:widowControl w:val="0"/>
        <w:rPr>
          <w:rFonts w:ascii="Arial" w:hAnsi="Arial" w:cs="Arial"/>
          <w:sz w:val="22"/>
          <w:szCs w:val="22"/>
        </w:rPr>
      </w:pPr>
      <w:r w:rsidRPr="004C4AFF">
        <w:rPr>
          <w:rFonts w:ascii="Arial" w:hAnsi="Arial" w:cs="Arial"/>
          <w:b/>
          <w:sz w:val="22"/>
          <w:szCs w:val="22"/>
        </w:rPr>
        <w:t>Table 1</w:t>
      </w:r>
      <w:r w:rsidRPr="004C4AFF">
        <w:rPr>
          <w:rFonts w:ascii="Arial" w:hAnsi="Arial" w:cs="Arial"/>
          <w:sz w:val="22"/>
          <w:szCs w:val="22"/>
        </w:rPr>
        <w:t xml:space="preserve"> Yeast strains used in this study.</w:t>
      </w:r>
    </w:p>
    <w:p w:rsidR="00C103D9" w:rsidRPr="004C4AFF" w:rsidRDefault="00C103D9" w:rsidP="00C103D9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77"/>
        <w:gridCol w:w="4522"/>
        <w:gridCol w:w="2517"/>
      </w:tblGrid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C4AFF">
              <w:rPr>
                <w:rFonts w:ascii="Arial" w:hAnsi="Arial" w:cs="Arial"/>
                <w:b/>
                <w:sz w:val="22"/>
                <w:szCs w:val="22"/>
              </w:rPr>
              <w:t>Strain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C4AFF">
              <w:rPr>
                <w:rFonts w:ascii="Arial" w:hAnsi="Arial" w:cs="Arial"/>
                <w:b/>
                <w:sz w:val="22"/>
                <w:szCs w:val="22"/>
              </w:rPr>
              <w:t>Genotype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C4AFF">
              <w:rPr>
                <w:rFonts w:ascii="Arial" w:hAnsi="Arial" w:cs="Arial"/>
                <w:b/>
                <w:sz w:val="22"/>
                <w:szCs w:val="22"/>
              </w:rPr>
              <w:t>Source/reference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BY4741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C4AFF">
              <w:rPr>
                <w:rFonts w:ascii="Arial" w:hAnsi="Arial" w:cs="Arial"/>
                <w:i/>
                <w:sz w:val="22"/>
                <w:szCs w:val="22"/>
              </w:rPr>
              <w:t>MAT</w:t>
            </w:r>
            <w:r w:rsidRPr="004C4AFF">
              <w:rPr>
                <w:rFonts w:ascii="Arial" w:hAnsi="Arial" w:cs="Arial"/>
                <w:b/>
                <w:sz w:val="22"/>
                <w:szCs w:val="22"/>
              </w:rPr>
              <w:t>a</w:t>
            </w:r>
            <w:proofErr w:type="spellEnd"/>
            <w:r w:rsidRPr="004C4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his3∆1 leu2∆0 met15∆0 ura3∆0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bookmarkStart w:id="0" w:name="OLE_LINK3"/>
            <w:r w:rsidRPr="004C4AFF">
              <w:rPr>
                <w:rFonts w:ascii="Arial" w:hAnsi="Arial" w:cs="Arial"/>
                <w:sz w:val="22"/>
                <w:szCs w:val="22"/>
              </w:rPr>
              <w:t>Research Genetics, Inc.</w:t>
            </w:r>
            <w:bookmarkEnd w:id="0"/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4C4AFF">
              <w:rPr>
                <w:rFonts w:ascii="Arial" w:hAnsi="Arial" w:cs="Arial"/>
                <w:i/>
                <w:sz w:val="22"/>
                <w:szCs w:val="22"/>
              </w:rPr>
              <w:t>MAT</w:t>
            </w:r>
            <w:r w:rsidRPr="004C4AFF">
              <w:rPr>
                <w:rFonts w:ascii="Arial" w:hAnsi="Arial" w:cs="Arial"/>
                <w:b/>
                <w:sz w:val="22"/>
                <w:szCs w:val="22"/>
              </w:rPr>
              <w:t>α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his3∆1 leu2∆0 lys2∆0 ura3∆0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Research Genetics, Inc.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C94DA1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C94DA1">
              <w:rPr>
                <w:rFonts w:ascii="Arial" w:hAnsi="Arial" w:cs="Arial"/>
                <w:sz w:val="22"/>
                <w:szCs w:val="22"/>
              </w:rPr>
              <w:t>JTY6142</w:t>
            </w:r>
          </w:p>
        </w:tc>
        <w:tc>
          <w:tcPr>
            <w:tcW w:w="4730" w:type="dxa"/>
          </w:tcPr>
          <w:p w:rsidR="00C103D9" w:rsidRPr="00C94DA1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C94DA1">
              <w:rPr>
                <w:rFonts w:ascii="Arial" w:hAnsi="Arial" w:cs="Arial"/>
                <w:sz w:val="22"/>
                <w:szCs w:val="22"/>
              </w:rPr>
              <w:t xml:space="preserve">BY4741 </w:t>
            </w:r>
            <w:r w:rsidRPr="00C94DA1">
              <w:rPr>
                <w:rFonts w:ascii="Arial" w:hAnsi="Arial" w:cs="Arial"/>
                <w:i/>
                <w:sz w:val="22"/>
                <w:szCs w:val="22"/>
              </w:rPr>
              <w:t>ypk1∆::</w:t>
            </w:r>
            <w:r w:rsidRPr="00C94DA1">
              <w:rPr>
                <w:rFonts w:ascii="Arial" w:hAnsi="Arial" w:cs="Arial"/>
                <w:sz w:val="22"/>
                <w:szCs w:val="22"/>
              </w:rPr>
              <w:t>KanMX4</w:t>
            </w:r>
          </w:p>
        </w:tc>
        <w:tc>
          <w:tcPr>
            <w:tcW w:w="2593" w:type="dxa"/>
          </w:tcPr>
          <w:p w:rsidR="00C103D9" w:rsidRPr="00C94DA1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C94DA1">
              <w:rPr>
                <w:rFonts w:ascii="Arial" w:hAnsi="Arial" w:cs="Arial"/>
                <w:sz w:val="22"/>
                <w:szCs w:val="22"/>
              </w:rPr>
              <w:t>Research Genetics, Inc.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yAM135-A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bookmarkStart w:id="1" w:name="OLE_LINK8"/>
            <w:r w:rsidRPr="004C4AFF">
              <w:rPr>
                <w:rFonts w:ascii="Arial" w:hAnsi="Arial" w:cs="Arial"/>
                <w:sz w:val="22"/>
                <w:szCs w:val="22"/>
              </w:rPr>
              <w:t>BY4741 Ypk1(L424A)::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URA3-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1"/>
            <w:r w:rsidRPr="004C4AFF">
              <w:rPr>
                <w:rFonts w:ascii="Arial" w:hAnsi="Arial" w:cs="Arial"/>
                <w:i/>
                <w:sz w:val="22"/>
                <w:szCs w:val="22"/>
              </w:rPr>
              <w:t>ypk2∆::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 KanMX4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4C4AFF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&lt;EndNote&gt;&lt;Cite&gt;&lt;Author&gt;Muir&lt;/Author&gt;&lt;Year&gt;2014&lt;/Year&gt;&lt;RecNum&gt;143&lt;/RecNum&gt;&lt;IDText&gt;TORC2-dependent protein kinase Ypk1 phosphorylates ceramide synthase to stimulate synthesis of complex sphingolipids&lt;/IDText&gt;&lt;DisplayText&gt;(Muir et al., 2014)&lt;/DisplayText&gt;&lt;record&gt;&lt;rec-number&gt;143&lt;/rec-number&gt;&lt;foreign-keys&gt;&lt;key app="EN" db-id="frwrrvr0ivva02eespxveet1wrfr0xtdv2fp" timestamp="1432168118"&gt;143&lt;/key&gt;&lt;/foreign-keys&gt;&lt;ref-type name="Journal Article"&gt;17&lt;/ref-type&gt;&lt;contributors&gt;&lt;authors&gt;&lt;author&gt;Muir, A.&lt;/author&gt;&lt;author&gt;Ramachandran, S.&lt;/author&gt;&lt;author&gt;Roelants, F. M.&lt;/author&gt;&lt;author&gt;Timmons, G.&lt;/author&gt;&lt;author&gt;Thorner, J.&lt;/author&gt;&lt;/authors&gt;&lt;/contributors&gt;&lt;titles&gt;&lt;title&gt;TORC2-dependent protein kinase Ypk1 phosphorylates ceramide synthase to stimulate synthesis of complex sphingolipids&lt;/title&gt;&lt;secondary-title&gt;Elife&lt;/secondary-title&gt;&lt;short-title&gt;TORC2-dependent protein kinase Ypk1 phosphorylates ceramide synthase to stimulate synthesis of complex sphingolipids&lt;/short-title&gt;&lt;/titles&gt;&lt;periodical&gt;&lt;full-title&gt;Elife&lt;/full-title&gt;&lt;/periodical&gt;&lt;pages&gt;e03779.1-e03779.34.&lt;/pages&gt;&lt;volume&gt;3&lt;/volume&gt;&lt;dates&gt;&lt;year&gt;2014&lt;/year&gt;&lt;/dates&gt;&lt;isbn&gt;2050-084X&lt;/isbn&gt;&lt;accession-num&gt;25279700&lt;/accession-num&gt;&lt;urls&gt;&lt;related-urls&gt;&lt;url&gt;http://www.ncbi.nlm.nih.gov/pubmed/25279700&lt;/url&gt;&lt;url&gt;http://www.ncbi.nlm.nih.gov/pmc/articles/PMC4217029/pdf/elife03779.pdf&lt;/url&gt;&lt;/related-urls&gt;&lt;/urls&gt;&lt;custom2&gt;PMC4217029&lt;/custom2&gt;&lt;electronic-resource-num&gt;10.7554/eLife.03779&lt;/electronic-resource-num&gt;&lt;language&gt;eng&lt;/language&gt;&lt;/record&gt;&lt;/Cite&gt;&lt;/EndNote&gt;</w:instrText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C4AFF">
              <w:rPr>
                <w:rFonts w:ascii="Arial" w:hAnsi="Arial" w:cs="Arial"/>
                <w:noProof/>
                <w:sz w:val="22"/>
                <w:szCs w:val="22"/>
              </w:rPr>
              <w:t>(Muir et al., 2014)</w:t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yAM181-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BY4742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fps1∆::</w:t>
            </w:r>
            <w:r w:rsidRPr="004C4AFF">
              <w:rPr>
                <w:rFonts w:ascii="Arial" w:hAnsi="Arial" w:cs="Arial"/>
                <w:sz w:val="22"/>
                <w:szCs w:val="22"/>
              </w:rPr>
              <w:t>natNT2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yAM271-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URA3-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yAM272-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Fps1(S181A S185A S570A)-3xFLAG::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URA3-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yAM275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BY4742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LYS2</w:t>
            </w:r>
            <w:r w:rsidRPr="004C4AFF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+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 Fps1-3xFLAG::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 hog1∆::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yAM278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Fps1(S181A S185A S570A)-3xFLAG::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 hog1∆::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yAM281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i/>
                <w:sz w:val="22"/>
                <w:szCs w:val="22"/>
              </w:rPr>
            </w:pPr>
            <w:bookmarkStart w:id="2" w:name="OLE_LINK1"/>
            <w:bookmarkStart w:id="3" w:name="OLE_LINK4"/>
            <w:r w:rsidRPr="004C4AFF">
              <w:rPr>
                <w:rFonts w:ascii="Arial" w:hAnsi="Arial" w:cs="Arial"/>
                <w:sz w:val="22"/>
                <w:szCs w:val="22"/>
              </w:rPr>
              <w:t>BY4742 Ypk1(L424A)::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URA3-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ypk2∆::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 KanMX4</w:t>
            </w:r>
            <w:bookmarkEnd w:id="2"/>
            <w:bookmarkEnd w:id="3"/>
            <w:r w:rsidRPr="004C4AFF">
              <w:rPr>
                <w:rFonts w:ascii="Arial" w:hAnsi="Arial" w:cs="Arial"/>
                <w:sz w:val="22"/>
                <w:szCs w:val="22"/>
              </w:rPr>
              <w:t xml:space="preserve"> Fps1-3xFLAG::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yAM284-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Ypk1(L424A)::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URA3-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ypk2∆::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 KanMX4 Fps1(S181A S185A S570A)-3xFLAG::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yAM291-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Fps1(S570A)-3xFLAG::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 hog1∆::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yAM301-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Fps1(S181A S185A)-3xFLAG::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yAM307-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Fps1(Δ544-581)-3xFLAG::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yAM308-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Fps1(I218A V220A)-3xFLAG::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yAM309-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Fps1(S181A S185A I218A V220A S570A)-3xFLAG::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yAM310-</w:t>
            </w:r>
            <w:r w:rsidRPr="004C4AF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Fps1(T147A)-3xFLAG::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bookmarkStart w:id="4" w:name="OLE_LINK9"/>
            <w:bookmarkStart w:id="5" w:name="OLE_LINK10"/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  <w:bookmarkEnd w:id="4"/>
            <w:bookmarkEnd w:id="5"/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yAM315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BY4741 Rgc2(S344A T808A S948A S75A S827A S1021A S1035A)-3xHA:: 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Hyg</w:t>
            </w:r>
            <w:r w:rsidRPr="004C4AFF">
              <w:rPr>
                <w:rFonts w:ascii="Arial" w:hAnsi="Arial" w:cs="Arial"/>
                <w:sz w:val="22"/>
                <w:szCs w:val="22"/>
                <w:vertAlign w:val="superscript"/>
              </w:rPr>
              <w:t>r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yAM318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BY4741 Fps1(S181A S185A S570A)-3xFLAG::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 xml:space="preserve">URA3 </w:t>
            </w:r>
            <w:r w:rsidRPr="004C4AFF">
              <w:rPr>
                <w:rFonts w:ascii="Arial" w:hAnsi="Arial" w:cs="Arial"/>
                <w:sz w:val="22"/>
                <w:szCs w:val="22"/>
              </w:rPr>
              <w:t xml:space="preserve">Rgc2(S344A T808A S948A S75A S827A S1021A S1035A)-3xHA:: 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Hyg</w:t>
            </w:r>
            <w:r w:rsidRPr="004C4AFF">
              <w:rPr>
                <w:rFonts w:ascii="Arial" w:hAnsi="Arial" w:cs="Arial"/>
                <w:sz w:val="22"/>
                <w:szCs w:val="22"/>
                <w:vertAlign w:val="superscript"/>
              </w:rPr>
              <w:t>r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yGT21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yGT22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Fps1(S181A S185A S570A)-3xFLAG::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yGT24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BY4742 Fps1(S570A)-3xFLAG::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URA3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YJP544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BY4741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hog1∆::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Jesse Patterson, this lab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yKL5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BY4741 Tor2(L2178A)::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Hph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Hyg</w:t>
            </w:r>
            <w:r w:rsidRPr="00BD50BB">
              <w:rPr>
                <w:rFonts w:ascii="Arial" w:hAnsi="Arial" w:cs="Arial"/>
                <w:sz w:val="22"/>
                <w:szCs w:val="22"/>
                <w:vertAlign w:val="superscript"/>
              </w:rPr>
              <w:t>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4C4AFF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&lt;EndNote&gt;&lt;Cite&gt;&lt;Author&gt;Muir&lt;/Author&gt;&lt;Year&gt;2014&lt;/Year&gt;&lt;RecNum&gt;143&lt;/RecNum&gt;&lt;IDText&gt;TORC2-dependent protein kinase Ypk1 phosphorylates ceramide synthase to stimulate synthesis of complex sphingolipids&lt;/IDText&gt;&lt;DisplayText&gt;(Muir et al., 2014)&lt;/DisplayText&gt;&lt;record&gt;&lt;rec-number&gt;143&lt;/rec-number&gt;&lt;foreign-keys&gt;&lt;key app="EN" db-id="frwrrvr0ivva02eespxveet1wrfr0xtdv2fp" timestamp="1432168118"&gt;143&lt;/key&gt;&lt;/foreign-keys&gt;&lt;ref-type name="Journal Article"&gt;17&lt;/ref-type&gt;&lt;contributors&gt;&lt;authors&gt;&lt;author&gt;Muir, A.&lt;/author&gt;&lt;author&gt;Ramachandran, S.&lt;/author&gt;&lt;author&gt;Roelants, F. M.&lt;/author&gt;&lt;author&gt;Timmons, G.&lt;/author&gt;&lt;author&gt;Thorner, J.&lt;/author&gt;&lt;/authors&gt;&lt;/contributors&gt;&lt;titles&gt;&lt;title&gt;TORC2-dependent protein kinase Ypk1 phosphorylates ceramide synthase to stimulate synthesis of complex sphingolipids&lt;/title&gt;&lt;secondary-title&gt;Elife&lt;/secondary-title&gt;&lt;short-title&gt;TORC2-dependent protein kinase Ypk1 phosphorylates ceramide synthase to stimulate synthesis of complex sphingolipids&lt;/short-title&gt;&lt;/titles&gt;&lt;periodical&gt;&lt;full-title&gt;Elife&lt;/full-title&gt;&lt;/periodical&gt;&lt;pages&gt;e03779.1-e03779.34.&lt;/pages&gt;&lt;volume&gt;3&lt;/volume&gt;&lt;dates&gt;&lt;year&gt;2014&lt;/year&gt;&lt;/dates&gt;&lt;isbn&gt;2050-084X&lt;/isbn&gt;&lt;accession-num&gt;25279700&lt;/accession-num&gt;&lt;urls&gt;&lt;related-urls&gt;&lt;url&gt;http://www.ncbi.nlm.nih.gov/pubmed/25279700&lt;/url&gt;&lt;url&gt;http://www.ncbi.nlm.nih.gov/pmc/articles/PMC4217029/pdf/elife03779.pdf&lt;/url&gt;&lt;/related-urls&gt;&lt;/urls&gt;&lt;custom2&gt;PMC4217029&lt;/custom2&gt;&lt;electronic-resource-num&gt;10.7554/eLife.03779&lt;/electronic-resource-num&gt;&lt;language&gt;eng&lt;/language&gt;&lt;/record&gt;&lt;/Cite&gt;&lt;/EndNote&gt;</w:instrText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C4AFF">
              <w:rPr>
                <w:rFonts w:ascii="Arial" w:hAnsi="Arial" w:cs="Arial"/>
                <w:noProof/>
                <w:sz w:val="22"/>
                <w:szCs w:val="22"/>
              </w:rPr>
              <w:t>(Muir et al., 2014)</w:t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JTY5468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BY4741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tor2-29::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PEVuZE5vdGU+PENpdGU+PEF1dGhvcj5MaTwvQXV0aG9yPjxZZWFyPjIwMTE8L1llYXI+PFJlY051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</w:fldData>
              </w:fldChar>
            </w:r>
            <w:r w:rsidRPr="004C4AFF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PEVuZE5vdGU+PENpdGU+PEF1dGhvcj5MaTwvQXV0aG9yPjxZZWFyPjIwMTE8L1llYXI+PFJlY051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</w:fldData>
              </w:fldChar>
            </w:r>
            <w:r w:rsidRPr="004C4AFF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Pr="004C4AFF">
              <w:rPr>
                <w:rFonts w:ascii="Arial" w:hAnsi="Arial" w:cs="Arial"/>
                <w:sz w:val="22"/>
                <w:szCs w:val="22"/>
              </w:rPr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C4AFF">
              <w:rPr>
                <w:rFonts w:ascii="Arial" w:hAnsi="Arial" w:cs="Arial"/>
                <w:sz w:val="22"/>
                <w:szCs w:val="22"/>
              </w:rPr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C4AFF">
              <w:rPr>
                <w:rFonts w:ascii="Arial" w:hAnsi="Arial" w:cs="Arial"/>
                <w:noProof/>
                <w:sz w:val="22"/>
                <w:szCs w:val="22"/>
              </w:rPr>
              <w:t>(Li et al., 2011)</w:t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JTY5574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BY4741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cna1∆::</w:t>
            </w:r>
            <w:proofErr w:type="spellStart"/>
            <w:r w:rsidRPr="004C4AFF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4C4AFF">
              <w:rPr>
                <w:rFonts w:ascii="Arial" w:hAnsi="Arial" w:cs="Arial"/>
                <w:i/>
                <w:sz w:val="22"/>
                <w:szCs w:val="22"/>
              </w:rPr>
              <w:t xml:space="preserve"> cna2∆::</w:t>
            </w:r>
            <w:proofErr w:type="spellStart"/>
            <w:r w:rsidRPr="004C4AFF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4C4AF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Gift of Aaron Goldman (M.S. 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Cyert</w:t>
            </w:r>
            <w:proofErr w:type="spellEnd"/>
            <w:r w:rsidRPr="004C4AFF">
              <w:rPr>
                <w:rFonts w:ascii="Arial" w:hAnsi="Arial" w:cs="Arial"/>
                <w:sz w:val="22"/>
                <w:szCs w:val="22"/>
              </w:rPr>
              <w:t xml:space="preserve"> Lab, Stanford Univ.)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JTY5537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BY4742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pbs2∆::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Research Genetics, Inc.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JTY5538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BY4742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ssk2∆::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Research Genetics, Inc.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JTY5539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BY4742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ssk22∆::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Research Genetics, Inc.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JTY5540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BY4742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sho1∆::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Research Genetics, Inc.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JTY5541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BY4743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ssk1∆::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  <w:r w:rsidRPr="004C4AFF">
              <w:rPr>
                <w:rFonts w:ascii="Arial" w:hAnsi="Arial" w:cs="Arial"/>
                <w:i/>
                <w:sz w:val="22"/>
                <w:szCs w:val="22"/>
              </w:rPr>
              <w:t>/ssk1∆::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Research Genetics, Inc.</w:t>
            </w:r>
          </w:p>
        </w:tc>
      </w:tr>
      <w:tr w:rsidR="00C103D9" w:rsidRPr="004C4AFF" w:rsidTr="00584FA7">
        <w:tc>
          <w:tcPr>
            <w:tcW w:w="153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>DL3188</w:t>
            </w:r>
          </w:p>
        </w:tc>
        <w:tc>
          <w:tcPr>
            <w:tcW w:w="4730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t xml:space="preserve">BY4742 </w:t>
            </w:r>
            <w:r w:rsidRPr="004C4AFF">
              <w:rPr>
                <w:rFonts w:ascii="Arial" w:hAnsi="Arial" w:cs="Arial"/>
                <w:i/>
                <w:sz w:val="22"/>
                <w:szCs w:val="22"/>
              </w:rPr>
              <w:t>rgc1∆::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  <w:r w:rsidRPr="004C4AFF">
              <w:rPr>
                <w:rFonts w:ascii="Arial" w:hAnsi="Arial" w:cs="Arial"/>
                <w:i/>
                <w:sz w:val="22"/>
                <w:szCs w:val="22"/>
              </w:rPr>
              <w:t xml:space="preserve"> rgc2∆::</w:t>
            </w:r>
            <w:proofErr w:type="spellStart"/>
            <w:r w:rsidRPr="004C4AFF">
              <w:rPr>
                <w:rFonts w:ascii="Arial" w:hAnsi="Arial" w:cs="Arial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2593" w:type="dxa"/>
          </w:tcPr>
          <w:p w:rsidR="00C103D9" w:rsidRPr="004C4AFF" w:rsidRDefault="00C103D9" w:rsidP="00584FA7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4C4AFF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4C4AFF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&lt;EndNote&gt;&lt;Cite&gt;&lt;Author&gt;Beese&lt;/Author&gt;&lt;Year&gt;2009&lt;/Year&gt;&lt;RecNum&gt;122&lt;/RecNum&gt;&lt;IDText&gt;Identification of positive regulators of the yeast fps1 glycerol channel&lt;/IDText&gt;&lt;DisplayText&gt;(Beese et al., 2009)&lt;/DisplayText&gt;&lt;record&gt;&lt;rec-number&gt;122&lt;/rec-number&gt;&lt;foreign-keys&gt;&lt;key app="EN" db-id="frwrrvr0ivva02eespxveet1wrfr0xtdv2fp" timestamp="1432168118"&gt;122&lt;/key&gt;&lt;/foreign-keys&gt;&lt;ref-type name="Journal Article"&gt;17&lt;/ref-type&gt;&lt;contributors&gt;&lt;authors&gt;&lt;author&gt;Beese, S. E.&lt;/author&gt;&lt;author&gt;Negishi, T.&lt;/author&gt;&lt;author&gt;Levin, D. E.&lt;/author&gt;&lt;/authors&gt;&lt;/contributors&gt;&lt;titles&gt;&lt;title&gt;Identification of positive regulators of the yeast fps1 glycerol channel&lt;/title&gt;&lt;secondary-title&gt;PLoS Genet&lt;/secondary-title&gt;&lt;short-title&gt;Identification of positive regulators of the yeast fps1 glycerol channel&lt;/short-title&gt;&lt;/titles&gt;&lt;periodical&gt;&lt;full-title&gt;PLoS Genet&lt;/full-title&gt;&lt;/periodical&gt;&lt;pages&gt;e1000738&lt;/pages&gt;&lt;volume&gt;5&lt;/volume&gt;&lt;number&gt;11&lt;/number&gt;&lt;keywords&gt;&lt;keyword&gt;Biological Transport&lt;/keyword&gt;&lt;keyword&gt;Carrier Proteins&lt;/keyword&gt;&lt;keyword&gt;Gene Expression Regulation, Fungal&lt;/keyword&gt;&lt;keyword&gt;Glycerol&lt;/keyword&gt;&lt;keyword&gt;Membrane Proteins&lt;/keyword&gt;&lt;keyword&gt;Mitogen-Activated Protein Kinases&lt;/keyword&gt;&lt;keyword&gt;Osmotic Pressure&lt;/keyword&gt;&lt;keyword&gt;Phosphorylation&lt;/keyword&gt;&lt;keyword&gt;Saccharomyces cerevisiae&lt;/keyword&gt;&lt;keyword&gt;Saccharomyces cerevisiae Proteins&lt;/keyword&gt;&lt;keyword&gt;Transcription Factors&lt;/keyword&gt;&lt;/keywords&gt;&lt;dates&gt;&lt;year&gt;2009&lt;/year&gt;&lt;pub-dates&gt;&lt;date&gt;Nov&lt;/date&gt;&lt;/pub-dates&gt;&lt;/dates&gt;&lt;isbn&gt;1553-7404&lt;/isbn&gt;&lt;accession-num&gt;19956799&lt;/accession-num&gt;&lt;urls&gt;&lt;related-urls&gt;&lt;url&gt;http://www.ncbi.nlm.nih.gov/pubmed/19956799&lt;/url&gt;&lt;url&gt;http://www.ncbi.nlm.nih.gov/pmc/articles/PMC2773846/pdf/pgen.1000738.pdf&lt;/url&gt;&lt;/related-urls&gt;&lt;/urls&gt;&lt;custom2&gt;PMC2773846&lt;/custom2&gt;&lt;electronic-resource-num&gt;10.1371/journal.pgen.1000738&lt;/electronic-resource-num&gt;&lt;language&gt;eng&lt;/language&gt;&lt;/record&gt;&lt;/Cite&gt;&lt;/EndNote&gt;</w:instrText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C4AFF">
              <w:rPr>
                <w:rFonts w:ascii="Arial" w:hAnsi="Arial" w:cs="Arial"/>
                <w:noProof/>
                <w:sz w:val="22"/>
                <w:szCs w:val="22"/>
              </w:rPr>
              <w:t>(Beese et al., 2009)</w:t>
            </w:r>
            <w:r w:rsidRPr="004C4A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C103D9" w:rsidRPr="004C4AFF" w:rsidRDefault="00C103D9" w:rsidP="00C103D9">
      <w:pPr>
        <w:widowControl w:val="0"/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214D7F" w:rsidRPr="00C103D9" w:rsidRDefault="00214D7F" w:rsidP="00C103D9">
      <w:bookmarkStart w:id="6" w:name="_GoBack"/>
      <w:bookmarkEnd w:id="6"/>
    </w:p>
    <w:sectPr w:rsidR="00214D7F" w:rsidRPr="00C103D9" w:rsidSect="00214D7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3B"/>
    <w:rsid w:val="00214D7F"/>
    <w:rsid w:val="002F3C91"/>
    <w:rsid w:val="00820B3B"/>
    <w:rsid w:val="00C103D9"/>
    <w:rsid w:val="00D2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MS Mincho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B3B"/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MS Mincho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B3B"/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 Sciences</Company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Parker</dc:creator>
  <cp:keywords/>
  <dc:description/>
  <cp:lastModifiedBy>Sarumathi M.</cp:lastModifiedBy>
  <cp:revision>2</cp:revision>
  <dcterms:created xsi:type="dcterms:W3CDTF">2015-08-14T09:05:00Z</dcterms:created>
  <dcterms:modified xsi:type="dcterms:W3CDTF">2015-08-14T09:05:00Z</dcterms:modified>
</cp:coreProperties>
</file>