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C99DDA" w14:textId="581A20B4" w:rsidR="00986E91" w:rsidRPr="00BC5F00" w:rsidRDefault="00802A62" w:rsidP="00986E91">
      <w:pPr>
        <w:rPr>
          <w:rFonts w:ascii="Times New Roman" w:eastAsia="Times New Roman" w:hAnsi="Times New Roman" w:cs="Times New Roman"/>
          <w:b/>
          <w:bCs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/>
          <w:szCs w:val="24"/>
        </w:rPr>
        <w:t>Figure 1—Figure</w:t>
      </w:r>
      <w:r w:rsidR="00263915">
        <w:rPr>
          <w:rFonts w:ascii="Times New Roman" w:hAnsi="Times New Roman" w:cs="Times New Roman"/>
          <w:b/>
          <w:szCs w:val="24"/>
        </w:rPr>
        <w:t xml:space="preserve"> Supplement</w:t>
      </w:r>
      <w:r>
        <w:rPr>
          <w:rFonts w:ascii="Times New Roman" w:hAnsi="Times New Roman" w:cs="Times New Roman"/>
          <w:b/>
          <w:szCs w:val="24"/>
        </w:rPr>
        <w:t xml:space="preserve"> 2</w:t>
      </w:r>
      <w:r w:rsidR="00986E91" w:rsidRPr="00AA5D4C">
        <w:rPr>
          <w:rFonts w:ascii="Times New Roman" w:hAnsi="Times New Roman" w:cs="Times New Roman"/>
          <w:b/>
          <w:szCs w:val="24"/>
        </w:rPr>
        <w:t>.</w:t>
      </w:r>
      <w:r w:rsidR="006D3748">
        <w:rPr>
          <w:rFonts w:ascii="Times New Roman" w:hAnsi="Times New Roman" w:cs="Times New Roman"/>
          <w:b/>
          <w:szCs w:val="24"/>
        </w:rPr>
        <w:t xml:space="preserve"> </w:t>
      </w:r>
      <w:r w:rsidR="00263915">
        <w:rPr>
          <w:rFonts w:ascii="Times New Roman" w:hAnsi="Times New Roman" w:cs="Times New Roman"/>
          <w:b/>
          <w:szCs w:val="24"/>
        </w:rPr>
        <w:t>Mutations used to track clade d</w:t>
      </w:r>
      <w:r w:rsidR="00986E91">
        <w:rPr>
          <w:rFonts w:ascii="Times New Roman" w:hAnsi="Times New Roman" w:cs="Times New Roman"/>
          <w:b/>
          <w:szCs w:val="24"/>
        </w:rPr>
        <w:t xml:space="preserve">ynamics </w:t>
      </w:r>
      <w:r w:rsidR="006D3748">
        <w:rPr>
          <w:rFonts w:ascii="Times New Roman" w:hAnsi="Times New Roman" w:cs="Times New Roman"/>
          <w:b/>
          <w:szCs w:val="24"/>
        </w:rPr>
        <w:t xml:space="preserve">in </w:t>
      </w:r>
      <w:r w:rsidR="00263915">
        <w:rPr>
          <w:rFonts w:ascii="Times New Roman" w:hAnsi="Times New Roman" w:cs="Times New Roman"/>
          <w:b/>
          <w:szCs w:val="24"/>
        </w:rPr>
        <w:t xml:space="preserve">the LTEE </w:t>
      </w:r>
      <w:bookmarkStart w:id="0" w:name="_GoBack"/>
      <w:bookmarkEnd w:id="0"/>
    </w:p>
    <w:p w14:paraId="7FB95E74" w14:textId="77777777" w:rsidR="00986E91" w:rsidRDefault="00986E91" w:rsidP="00986E91"/>
    <w:tbl>
      <w:tblPr>
        <w:tblW w:w="91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1260"/>
        <w:gridCol w:w="2160"/>
        <w:gridCol w:w="2160"/>
        <w:gridCol w:w="2340"/>
      </w:tblGrid>
      <w:tr w:rsidR="00045788" w:rsidRPr="00AA5D4C" w14:paraId="565C6E9E" w14:textId="77777777" w:rsidTr="00A7757B">
        <w:trPr>
          <w:trHeight w:val="320"/>
        </w:trPr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05697311" w14:textId="77777777" w:rsidR="00045788" w:rsidRPr="000E547B" w:rsidRDefault="00045788" w:rsidP="00AB59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en-US"/>
              </w:rPr>
            </w:pPr>
            <w:r w:rsidRPr="000E547B">
              <w:rPr>
                <w:rFonts w:ascii="Times New Roman" w:eastAsia="Times New Roman" w:hAnsi="Times New Roman" w:cs="Times New Roman"/>
                <w:b/>
                <w:sz w:val="20"/>
                <w:lang w:eastAsia="en-US"/>
              </w:rPr>
              <w:t>Generation</w:t>
            </w:r>
          </w:p>
        </w:tc>
        <w:tc>
          <w:tcPr>
            <w:tcW w:w="1260" w:type="dxa"/>
            <w:vAlign w:val="center"/>
          </w:tcPr>
          <w:p w14:paraId="7ED977D9" w14:textId="38AF78F3" w:rsidR="00045788" w:rsidRPr="000E547B" w:rsidRDefault="00045788" w:rsidP="00AB59A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lang w:eastAsia="en-US"/>
              </w:rPr>
            </w:pPr>
            <w:r w:rsidRPr="000E547B">
              <w:rPr>
                <w:rFonts w:ascii="Times New Roman" w:eastAsia="Times New Roman" w:hAnsi="Times New Roman" w:cs="Times New Roman"/>
                <w:b/>
                <w:sz w:val="20"/>
                <w:lang w:eastAsia="en-US"/>
              </w:rPr>
              <w:t>Sample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AE6F8E4" w14:textId="49E8B0F5" w:rsidR="00045788" w:rsidRPr="000E547B" w:rsidRDefault="00045788" w:rsidP="00AB59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en-US"/>
              </w:rPr>
            </w:pPr>
            <w:proofErr w:type="spellStart"/>
            <w:proofErr w:type="gramStart"/>
            <w:r w:rsidRPr="000E547B">
              <w:rPr>
                <w:rFonts w:ascii="Times New Roman" w:eastAsia="Times New Roman" w:hAnsi="Times New Roman" w:cs="Times New Roman"/>
                <w:b/>
                <w:i/>
                <w:sz w:val="20"/>
                <w:lang w:eastAsia="en-US"/>
              </w:rPr>
              <w:t>metL</w:t>
            </w:r>
            <w:proofErr w:type="spellEnd"/>
            <w:proofErr w:type="gramEnd"/>
            <w:r w:rsidRPr="000E547B">
              <w:rPr>
                <w:rFonts w:ascii="Times New Roman" w:eastAsia="Times New Roman" w:hAnsi="Times New Roman" w:cs="Times New Roman"/>
                <w:b/>
                <w:sz w:val="20"/>
                <w:lang w:eastAsia="en-US"/>
              </w:rPr>
              <w:t xml:space="preserve"> (C1)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213569F4" w14:textId="77777777" w:rsidR="00045788" w:rsidRPr="000E547B" w:rsidRDefault="00045788" w:rsidP="00AB59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en-US"/>
              </w:rPr>
            </w:pPr>
            <w:proofErr w:type="gramStart"/>
            <w:r w:rsidRPr="000E547B">
              <w:rPr>
                <w:rFonts w:ascii="Times New Roman" w:eastAsia="Times New Roman" w:hAnsi="Times New Roman" w:cs="Times New Roman"/>
                <w:b/>
                <w:i/>
                <w:sz w:val="20"/>
                <w:lang w:eastAsia="en-US"/>
              </w:rPr>
              <w:t>gltA1</w:t>
            </w:r>
            <w:proofErr w:type="gramEnd"/>
            <w:r w:rsidRPr="000E547B">
              <w:rPr>
                <w:rFonts w:ascii="Times New Roman" w:eastAsia="Times New Roman" w:hAnsi="Times New Roman" w:cs="Times New Roman"/>
                <w:b/>
                <w:sz w:val="20"/>
                <w:lang w:eastAsia="en-US"/>
              </w:rPr>
              <w:t xml:space="preserve"> (C3)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92E6C6A" w14:textId="77777777" w:rsidR="00045788" w:rsidRPr="000E547B" w:rsidRDefault="00045788" w:rsidP="00AB59A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en-US"/>
              </w:rPr>
            </w:pPr>
            <w:proofErr w:type="spellStart"/>
            <w:proofErr w:type="gramStart"/>
            <w:r w:rsidRPr="000E547B">
              <w:rPr>
                <w:rFonts w:ascii="Times New Roman" w:eastAsia="Times New Roman" w:hAnsi="Times New Roman" w:cs="Times New Roman"/>
                <w:b/>
                <w:i/>
                <w:sz w:val="20"/>
                <w:lang w:eastAsia="en-US"/>
              </w:rPr>
              <w:t>iclR</w:t>
            </w:r>
            <w:proofErr w:type="spellEnd"/>
            <w:proofErr w:type="gramEnd"/>
            <w:r w:rsidRPr="000E547B">
              <w:rPr>
                <w:rFonts w:ascii="Times New Roman" w:eastAsia="Times New Roman" w:hAnsi="Times New Roman" w:cs="Times New Roman"/>
                <w:b/>
                <w:sz w:val="20"/>
                <w:lang w:eastAsia="en-US"/>
              </w:rPr>
              <w:t xml:space="preserve"> (C2+C3)</w:t>
            </w:r>
          </w:p>
        </w:tc>
      </w:tr>
      <w:tr w:rsidR="00045788" w:rsidRPr="00AA5D4C" w14:paraId="4F0D9B7D" w14:textId="77777777" w:rsidTr="00A7757B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330C821C" w14:textId="77777777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20,000</w:t>
            </w:r>
          </w:p>
        </w:tc>
        <w:tc>
          <w:tcPr>
            <w:tcW w:w="1260" w:type="dxa"/>
            <w:vAlign w:val="center"/>
          </w:tcPr>
          <w:p w14:paraId="2AE08BBD" w14:textId="3EBFE15D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  <w:lang w:eastAsia="en-US"/>
              </w:rPr>
              <w:t>REL8595M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47CCDA9" w14:textId="77D7BFA8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47.7% [39.5%–56.0%]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0E0DE7E" w14:textId="4E9B4A08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0.0% [0.0%–2.4%]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DC427B2" w14:textId="677F16F9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46.6% [37.8%–55.5%]</w:t>
            </w:r>
          </w:p>
        </w:tc>
      </w:tr>
      <w:tr w:rsidR="00045788" w:rsidRPr="00AA5D4C" w14:paraId="6D8BBA63" w14:textId="77777777" w:rsidTr="00A7757B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5812DE8E" w14:textId="77777777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25,000</w:t>
            </w:r>
          </w:p>
        </w:tc>
        <w:tc>
          <w:tcPr>
            <w:tcW w:w="1260" w:type="dxa"/>
            <w:vAlign w:val="center"/>
          </w:tcPr>
          <w:p w14:paraId="3AE8266A" w14:textId="62357384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  <w:lang w:eastAsia="en-US"/>
              </w:rPr>
              <w:t>REL10177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E05936F" w14:textId="035DA74F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19.9% [13.6%–27.4%]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1D676E7" w14:textId="1A66D25E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41.3% [32.4%–50.6%]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B9C6771" w14:textId="73004A53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69.8% [62.0%–76.8%]</w:t>
            </w:r>
          </w:p>
        </w:tc>
      </w:tr>
      <w:tr w:rsidR="00045788" w:rsidRPr="00AA5D4C" w14:paraId="61AFAADB" w14:textId="77777777" w:rsidTr="00A7757B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247A683E" w14:textId="77777777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30,000</w:t>
            </w:r>
          </w:p>
        </w:tc>
        <w:tc>
          <w:tcPr>
            <w:tcW w:w="1260" w:type="dxa"/>
            <w:vAlign w:val="center"/>
          </w:tcPr>
          <w:p w14:paraId="36CC09BF" w14:textId="379D7AC7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  <w:lang w:eastAsia="en-US"/>
              </w:rPr>
              <w:t>REL10381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6337F86" w14:textId="77168A7E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14.7% [9.2%–21.8%]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1AD7E2C" w14:textId="44153DC6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0.0% [0.0%–2.9%]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7CE3BB9" w14:textId="6FE5D50C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78.8% [68.2%–87.1%]</w:t>
            </w:r>
          </w:p>
        </w:tc>
      </w:tr>
      <w:tr w:rsidR="00045788" w:rsidRPr="00AA5D4C" w14:paraId="4D2D3C70" w14:textId="77777777" w:rsidTr="00A7757B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2B3A7544" w14:textId="77777777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31,500</w:t>
            </w:r>
          </w:p>
        </w:tc>
        <w:tc>
          <w:tcPr>
            <w:tcW w:w="1260" w:type="dxa"/>
            <w:vAlign w:val="center"/>
          </w:tcPr>
          <w:p w14:paraId="7FA717BE" w14:textId="2F7BE662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  <w:lang w:eastAsia="en-US"/>
              </w:rPr>
              <w:t>REL10455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1742E7B" w14:textId="4C9EB589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17.2% [11.7%–23.9%]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4C9BE76" w14:textId="6EC010DB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0.0% [0.0%–2.4%]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A9C6965" w14:textId="147A5657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87.0% [81.0%–91.7%]</w:t>
            </w:r>
          </w:p>
        </w:tc>
      </w:tr>
      <w:tr w:rsidR="00045788" w:rsidRPr="00AA5D4C" w14:paraId="783A93D4" w14:textId="77777777" w:rsidTr="00A7757B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5B74683B" w14:textId="77777777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32,000</w:t>
            </w:r>
          </w:p>
        </w:tc>
        <w:tc>
          <w:tcPr>
            <w:tcW w:w="1260" w:type="dxa"/>
            <w:vAlign w:val="center"/>
          </w:tcPr>
          <w:p w14:paraId="5D1DEB49" w14:textId="3F41F905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  <w:lang w:eastAsia="en-US"/>
              </w:rPr>
              <w:t>REL10467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477410F" w14:textId="4846BF19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50.2% [43.2%–57.3%]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27430EB" w14:textId="78718795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1.6% [0.3%–4.5%]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E8577EC" w14:textId="57EBA4CE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43.0% [35.8%–50.5%]</w:t>
            </w:r>
          </w:p>
        </w:tc>
      </w:tr>
      <w:tr w:rsidR="00045788" w:rsidRPr="00AA5D4C" w14:paraId="528FD9C7" w14:textId="77777777" w:rsidTr="00A7757B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7A461882" w14:textId="77777777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32,500</w:t>
            </w:r>
          </w:p>
        </w:tc>
        <w:tc>
          <w:tcPr>
            <w:tcW w:w="1260" w:type="dxa"/>
            <w:vAlign w:val="center"/>
          </w:tcPr>
          <w:p w14:paraId="0560C173" w14:textId="60FB103A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  <w:lang w:eastAsia="en-US"/>
              </w:rPr>
              <w:t>REL10479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103D3AC" w14:textId="5FD83B1D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61.9% [55.5%–68.0%]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174F835" w14:textId="512F2673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0.0% [0.0%–1.9%]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F62E26A" w14:textId="5464AF87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36.7% [28.9%–45.1%]</w:t>
            </w:r>
          </w:p>
        </w:tc>
      </w:tr>
      <w:tr w:rsidR="00045788" w:rsidRPr="00AA5D4C" w14:paraId="67F73F54" w14:textId="77777777" w:rsidTr="00A7757B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73A2791D" w14:textId="77777777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33,000</w:t>
            </w:r>
          </w:p>
        </w:tc>
        <w:tc>
          <w:tcPr>
            <w:tcW w:w="1260" w:type="dxa"/>
            <w:vAlign w:val="center"/>
          </w:tcPr>
          <w:p w14:paraId="0A302A75" w14:textId="1AAA71FD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  <w:lang w:eastAsia="en-US"/>
              </w:rPr>
              <w:t>REL10491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4B1C859" w14:textId="6BE9FA31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42.7% [36.4%–49.2%]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840CEDC" w14:textId="534B95AE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14.3% [9.7%–20.0%]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94CD2B1" w14:textId="07998438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53.5% [45.7%–61.2%]</w:t>
            </w:r>
          </w:p>
        </w:tc>
      </w:tr>
      <w:tr w:rsidR="00045788" w:rsidRPr="00AA5D4C" w14:paraId="0F086B57" w14:textId="77777777" w:rsidTr="00A7757B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13455E99" w14:textId="77777777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33,500</w:t>
            </w:r>
          </w:p>
        </w:tc>
        <w:tc>
          <w:tcPr>
            <w:tcW w:w="1260" w:type="dxa"/>
            <w:vAlign w:val="center"/>
          </w:tcPr>
          <w:p w14:paraId="56109FDF" w14:textId="17E3C67D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  <w:lang w:eastAsia="en-US"/>
              </w:rPr>
              <w:t>REL10591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AF439EC" w14:textId="74D97955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0.0% [0.0%–1.2%]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3952A57" w14:textId="218E0E4C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98.5% [94.6%–99.8%]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C862837" w14:textId="5C423436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100.0% [97.6%–100.0%]</w:t>
            </w:r>
          </w:p>
        </w:tc>
      </w:tr>
      <w:tr w:rsidR="00045788" w:rsidRPr="00AA5D4C" w14:paraId="794FB9D2" w14:textId="77777777" w:rsidTr="00A7757B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510A9E54" w14:textId="77777777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34,000</w:t>
            </w:r>
          </w:p>
        </w:tc>
        <w:tc>
          <w:tcPr>
            <w:tcW w:w="1260" w:type="dxa"/>
            <w:vAlign w:val="center"/>
          </w:tcPr>
          <w:p w14:paraId="563E5CEE" w14:textId="18425924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  <w:lang w:eastAsia="en-US"/>
              </w:rPr>
              <w:t>REL10593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5500316" w14:textId="56D220BA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0.0% [0.0%–2.1%]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AC36BE9" w14:textId="33277F00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97.7% [93.5%–99.5%]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60FB7A4" w14:textId="2BCA4510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100.0% [98.0%–100.0%]</w:t>
            </w:r>
          </w:p>
        </w:tc>
      </w:tr>
      <w:tr w:rsidR="00045788" w:rsidRPr="00AA5D4C" w14:paraId="2BE6F3A2" w14:textId="77777777" w:rsidTr="00A7757B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029893B8" w14:textId="77777777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36,000</w:t>
            </w:r>
          </w:p>
        </w:tc>
        <w:tc>
          <w:tcPr>
            <w:tcW w:w="1260" w:type="dxa"/>
            <w:vAlign w:val="center"/>
          </w:tcPr>
          <w:p w14:paraId="160FB62E" w14:textId="4462889A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  <w:lang w:eastAsia="en-US"/>
              </w:rPr>
              <w:t>REL10810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031604A" w14:textId="317FFCBD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0.0% [0.0%–2.0%]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A250622" w14:textId="66F9A222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96.2% [91.3%–98.7%]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96906A4" w14:textId="629D416D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100.0% [98.0%–100.0%]</w:t>
            </w:r>
          </w:p>
        </w:tc>
      </w:tr>
      <w:tr w:rsidR="00045788" w:rsidRPr="00AA5D4C" w14:paraId="2F0272EB" w14:textId="77777777" w:rsidTr="00A7757B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561D4F6A" w14:textId="77777777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38,000</w:t>
            </w:r>
          </w:p>
        </w:tc>
        <w:tc>
          <w:tcPr>
            <w:tcW w:w="1260" w:type="dxa"/>
            <w:vAlign w:val="center"/>
          </w:tcPr>
          <w:p w14:paraId="105C16C4" w14:textId="131F6393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  <w:lang w:eastAsia="en-US"/>
              </w:rPr>
              <w:t>REL10884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9699F45" w14:textId="73CCBC2E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0.0% [0.0%–3.6%]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61D99A6" w14:textId="23EAAE41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97.1% [91.7%–99.4%]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89C422E" w14:textId="53E97F86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99.2% [95.4%–100.0%]</w:t>
            </w:r>
          </w:p>
        </w:tc>
      </w:tr>
      <w:tr w:rsidR="00045788" w:rsidRPr="00AA5D4C" w14:paraId="3F819FBF" w14:textId="77777777" w:rsidTr="00A7757B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0BFF5C1E" w14:textId="77777777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  <w:t>40,000</w:t>
            </w:r>
          </w:p>
        </w:tc>
        <w:tc>
          <w:tcPr>
            <w:tcW w:w="1260" w:type="dxa"/>
            <w:vAlign w:val="center"/>
          </w:tcPr>
          <w:p w14:paraId="78F11A7F" w14:textId="363BB9E5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  <w:lang w:eastAsia="en-US"/>
              </w:rPr>
              <w:t>REL10969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6877FA6" w14:textId="37E21FF7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0.0% [0.0%–2.4%]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97D7DA7" w14:textId="0F654724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99.0% [94.7%–100.0%]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E4A37D3" w14:textId="620C8FC2" w:rsidR="00045788" w:rsidRPr="006E6A00" w:rsidRDefault="00045788" w:rsidP="00AB59A4">
            <w:pPr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  <w:lang w:eastAsia="en-US"/>
              </w:rPr>
            </w:pPr>
            <w:r w:rsidRPr="006E6A00">
              <w:rPr>
                <w:rFonts w:ascii="Times New Roman" w:eastAsia="Times New Roman" w:hAnsi="Times New Roman" w:cs="Times New Roman"/>
                <w:sz w:val="20"/>
              </w:rPr>
              <w:t>100.0% [96.9%–100.0%]</w:t>
            </w:r>
          </w:p>
        </w:tc>
      </w:tr>
    </w:tbl>
    <w:p w14:paraId="6ADA4B5C" w14:textId="77777777" w:rsidR="00986E91" w:rsidRDefault="00986E91" w:rsidP="00986E91"/>
    <w:p w14:paraId="64364078" w14:textId="2EC499B3" w:rsidR="0066787E" w:rsidRDefault="00986E91" w:rsidP="00BA5C77">
      <w:pPr>
        <w:jc w:val="both"/>
        <w:rPr>
          <w:rFonts w:ascii="Times New Roman" w:eastAsia="Times New Roman" w:hAnsi="Times New Roman" w:cs="Times New Roman"/>
          <w:color w:val="000000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Three major clades </w:t>
      </w:r>
      <w:r w:rsidR="00C63E1E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(C1, C2, and C3) </w:t>
      </w:r>
      <w:r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diverged before 20,000 generations</w:t>
      </w:r>
      <w:r w:rsidR="00C63E1E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in the focal </w:t>
      </w:r>
      <w:r w:rsidR="00EC48A6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Ara–3 population</w:t>
      </w:r>
      <w:r w:rsidR="00C63E1E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of the Lenski </w:t>
      </w:r>
      <w:r w:rsidR="00D8256A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LTEE</w:t>
      </w:r>
      <w:r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. </w:t>
      </w:r>
      <w:r w:rsidR="00B72A96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For each whole-population sample </w:t>
      </w:r>
      <w:r w:rsidR="00007210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archived</w:t>
      </w:r>
      <w:r w:rsidR="00B72A96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a</w:t>
      </w:r>
      <w:r w:rsidR="00007210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t the</w:t>
      </w:r>
      <w:r w:rsidR="00B72A96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</w:t>
      </w:r>
      <w:r w:rsidR="00007210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specified</w:t>
      </w:r>
      <w:r w:rsidR="00B72A96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</w:t>
      </w:r>
      <w:r w:rsidR="0049747A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time point</w:t>
      </w:r>
      <w:r w:rsidR="00D8256A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,</w:t>
      </w:r>
      <w:r w:rsidR="00007210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we used </w:t>
      </w:r>
      <w:proofErr w:type="spellStart"/>
      <w:r w:rsidR="00007210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metagenomic</w:t>
      </w:r>
      <w:proofErr w:type="spellEnd"/>
      <w:r w:rsidR="00007210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DNA sequencing to estimate the frequencies of </w:t>
      </w:r>
      <w:r w:rsidR="00457691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the </w:t>
      </w:r>
      <w:r w:rsidR="00C63E1E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m</w:t>
      </w:r>
      <w:r w:rsidR="009E5EBD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utations </w:t>
      </w:r>
      <w:r w:rsidR="00C63E1E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that </w:t>
      </w:r>
      <w:r w:rsidR="009E5EBD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are characteristic of each clade</w:t>
      </w:r>
      <w:r w:rsidR="00B72A96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(</w:t>
      </w:r>
      <w:r w:rsidR="000E547B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e.g., </w:t>
      </w:r>
      <w:r w:rsidR="00B72A96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C2)</w:t>
      </w:r>
      <w:r w:rsidR="009E5EBD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or </w:t>
      </w:r>
      <w:proofErr w:type="spellStart"/>
      <w:r w:rsidR="009E5EBD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superclade</w:t>
      </w:r>
      <w:proofErr w:type="spellEnd"/>
      <w:r w:rsidR="00C63E1E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(e.g., C2+C3)</w:t>
      </w:r>
      <w:r w:rsidR="009328A8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. </w:t>
      </w:r>
      <w:proofErr w:type="spellStart"/>
      <w:r w:rsidR="00D8256A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Illumina</w:t>
      </w:r>
      <w:proofErr w:type="spellEnd"/>
      <w:r w:rsidR="00D8256A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reads were aligned by the </w:t>
      </w:r>
      <w:r w:rsidR="00D8256A" w:rsidRPr="002E69BF">
        <w:rPr>
          <w:rFonts w:ascii="Times New Roman" w:eastAsia="Times New Roman" w:hAnsi="Times New Roman" w:cs="Times New Roman"/>
          <w:bCs/>
          <w:i/>
          <w:color w:val="000000"/>
          <w:szCs w:val="24"/>
          <w:lang w:eastAsia="en-US"/>
        </w:rPr>
        <w:t>breseq</w:t>
      </w:r>
      <w:r w:rsidR="001E1B13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pipeline to the</w:t>
      </w:r>
      <w:r w:rsidR="009C541C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reference genome and the counts</w:t>
      </w:r>
      <w:r w:rsidR="001E1B13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of reads with the variant base versus the reference base were used to </w:t>
      </w:r>
      <w:r w:rsidR="007722A6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estimate</w:t>
      </w:r>
      <w:r w:rsidR="00EE53A3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a </w:t>
      </w:r>
      <w:r w:rsidR="001E1B13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binomial 95% confidence interval</w:t>
      </w:r>
      <w:r w:rsidR="009C541C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for the frequency of that mutation in each sample. </w:t>
      </w:r>
      <w:r w:rsidR="009328A8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This information </w:t>
      </w:r>
      <w:r w:rsidR="00354169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was used to construct</w:t>
      </w:r>
      <w:r w:rsidR="00457691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</w:t>
      </w:r>
      <w:r w:rsidR="00457691" w:rsidRPr="00457691">
        <w:rPr>
          <w:rFonts w:ascii="Times New Roman" w:eastAsia="Times New Roman" w:hAnsi="Times New Roman" w:cs="Times New Roman"/>
          <w:b/>
          <w:bCs/>
          <w:color w:val="000000"/>
          <w:szCs w:val="24"/>
          <w:lang w:eastAsia="en-US"/>
        </w:rPr>
        <w:t>Figure 1</w:t>
      </w:r>
      <w:r w:rsidR="00354169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B</w:t>
      </w:r>
      <w:r w:rsidR="00B72A96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.</w:t>
      </w:r>
      <w:r w:rsidR="00354169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In particular, it shows that </w:t>
      </w:r>
      <w:r w:rsidR="00AF1566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an alternative clade</w:t>
      </w:r>
      <w:r w:rsidR="006B72E5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(</w:t>
      </w:r>
      <w:r w:rsidR="00C3261D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C2</w:t>
      </w:r>
      <w:r w:rsidR="00354169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) proportionally increased in frequency at 30,000 generations when the clade with </w:t>
      </w:r>
      <w:r w:rsidR="00354169" w:rsidRPr="00354169">
        <w:rPr>
          <w:rFonts w:ascii="Times New Roman" w:eastAsia="Times New Roman" w:hAnsi="Times New Roman" w:cs="Times New Roman"/>
          <w:bCs/>
          <w:i/>
          <w:color w:val="000000"/>
          <w:szCs w:val="24"/>
          <w:lang w:eastAsia="en-US"/>
        </w:rPr>
        <w:t>gltA1</w:t>
      </w:r>
      <w:r w:rsidR="00354169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that eventually became </w:t>
      </w:r>
      <w:proofErr w:type="spellStart"/>
      <w:r w:rsidR="00354169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Cit</w:t>
      </w:r>
      <w:proofErr w:type="spellEnd"/>
      <w:r w:rsidR="00354169" w:rsidRPr="00354169">
        <w:rPr>
          <w:rFonts w:ascii="Times New Roman" w:eastAsia="Times New Roman" w:hAnsi="Times New Roman" w:cs="Times New Roman"/>
          <w:bCs/>
          <w:color w:val="000000"/>
          <w:szCs w:val="24"/>
          <w:vertAlign w:val="superscript"/>
          <w:lang w:eastAsia="en-US"/>
        </w:rPr>
        <w:t>+</w:t>
      </w:r>
      <w:r w:rsidR="00354169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(</w:t>
      </w:r>
      <w:r w:rsidR="00C3261D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C3</w:t>
      </w:r>
      <w:r w:rsidR="00354169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) decreased.</w:t>
      </w:r>
      <w:r w:rsidR="00FD4EA4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</w:t>
      </w:r>
      <w:r w:rsidR="009328A8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Note that t</w:t>
      </w:r>
      <w:r w:rsidR="00457691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he </w:t>
      </w:r>
      <w:r w:rsidR="009328A8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reported</w:t>
      </w:r>
      <w:r w:rsidR="00457691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frequencies </w:t>
      </w:r>
      <w:r w:rsidR="003719DD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of each mutation </w:t>
      </w:r>
      <w:r w:rsidR="00EE6AFB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were</w:t>
      </w:r>
      <w:r w:rsidR="00626BEE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</w:t>
      </w:r>
      <w:r w:rsidR="00457691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estimated </w:t>
      </w:r>
      <w:r w:rsidR="00626BEE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independently</w:t>
      </w:r>
      <w:r w:rsidR="00457691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,</w:t>
      </w:r>
      <w:r w:rsidR="009328A8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based on </w:t>
      </w:r>
      <w:r w:rsidR="00626BEE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a distinct subset</w:t>
      </w:r>
      <w:r w:rsidR="009328A8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of </w:t>
      </w:r>
      <w:proofErr w:type="spellStart"/>
      <w:r w:rsidR="009328A8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I</w:t>
      </w:r>
      <w:r w:rsidR="003719DD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l</w:t>
      </w:r>
      <w:r w:rsidR="009328A8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lumina</w:t>
      </w:r>
      <w:proofErr w:type="spellEnd"/>
      <w:r w:rsidR="009328A8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</w:t>
      </w:r>
      <w:r w:rsidR="00457691" w:rsidRPr="00624342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reads that aligned to </w:t>
      </w:r>
      <w:r w:rsidR="00626BEE" w:rsidRPr="00624342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that</w:t>
      </w:r>
      <w:r w:rsidR="00457691" w:rsidRPr="00624342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</w:t>
      </w:r>
      <w:r w:rsidR="00B770F6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particular </w:t>
      </w:r>
      <w:r w:rsidR="00457691" w:rsidRPr="00624342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location in the reference genome. </w:t>
      </w:r>
      <w:r w:rsidR="00877584" w:rsidRPr="00624342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Details for </w:t>
      </w:r>
      <w:r w:rsidR="006F1DB0" w:rsidRPr="00624342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each mutation that was profiled</w:t>
      </w:r>
      <w:r w:rsidR="00877584" w:rsidRPr="00624342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</w:t>
      </w:r>
      <w:r w:rsidRPr="00624342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are as follows</w:t>
      </w:r>
      <w:r w:rsidR="00877584" w:rsidRPr="00624342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:</w:t>
      </w:r>
      <w:r w:rsidRPr="00624342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</w:t>
      </w:r>
      <w:proofErr w:type="spellStart"/>
      <w:r w:rsidR="00913242" w:rsidRPr="00624342">
        <w:rPr>
          <w:rFonts w:ascii="Times New Roman" w:eastAsia="Times New Roman" w:hAnsi="Times New Roman" w:cs="Times New Roman"/>
          <w:bCs/>
          <w:i/>
          <w:color w:val="000000"/>
          <w:szCs w:val="24"/>
          <w:lang w:eastAsia="en-US"/>
        </w:rPr>
        <w:t>metL</w:t>
      </w:r>
      <w:proofErr w:type="spellEnd"/>
      <w:r w:rsidR="00E2075F" w:rsidRPr="00624342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(position 4,111,</w:t>
      </w:r>
      <w:r w:rsidR="000665FF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342;</w:t>
      </w:r>
      <w:r w:rsidR="00E2075F" w:rsidRPr="00624342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mutation C→T), </w:t>
      </w:r>
      <w:r w:rsidR="00624342" w:rsidRPr="00DC121E">
        <w:rPr>
          <w:rFonts w:ascii="Times New Roman" w:eastAsia="Times New Roman" w:hAnsi="Times New Roman" w:cs="Times New Roman"/>
          <w:bCs/>
          <w:i/>
          <w:color w:val="000000"/>
          <w:szCs w:val="24"/>
          <w:lang w:eastAsia="en-US"/>
        </w:rPr>
        <w:t>gltA1</w:t>
      </w:r>
      <w:r w:rsidR="00624342" w:rsidRPr="00624342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(position 734</w:t>
      </w:r>
      <w:r w:rsidR="000665FF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,</w:t>
      </w:r>
      <w:r w:rsidR="00624342" w:rsidRPr="00624342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488</w:t>
      </w:r>
      <w:r w:rsidR="000665FF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;</w:t>
      </w:r>
      <w:r w:rsidR="00624342" w:rsidRPr="00624342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mutation C→T</w:t>
      </w:r>
      <w:r w:rsidR="00624342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),</w:t>
      </w:r>
      <w:r w:rsidR="00624342" w:rsidRPr="00624342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 xml:space="preserve"> </w:t>
      </w:r>
      <w:proofErr w:type="spellStart"/>
      <w:r w:rsidR="00624342" w:rsidRPr="00624342">
        <w:rPr>
          <w:rFonts w:ascii="Times New Roman" w:eastAsia="Times New Roman" w:hAnsi="Times New Roman" w:cs="Times New Roman"/>
          <w:i/>
          <w:color w:val="000000"/>
          <w:szCs w:val="24"/>
          <w:lang w:eastAsia="en-US"/>
        </w:rPr>
        <w:t>iclR</w:t>
      </w:r>
      <w:proofErr w:type="spellEnd"/>
      <w:r w:rsidR="00877584" w:rsidRPr="00624342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 </w:t>
      </w:r>
      <w:r w:rsidRPr="00624342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>(</w:t>
      </w:r>
      <w:r w:rsidR="00877584" w:rsidRPr="00624342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position </w:t>
      </w:r>
      <w:r w:rsidR="00624342" w:rsidRPr="00624342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>4,201,958</w:t>
      </w:r>
      <w:r w:rsidR="000665FF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>;</w:t>
      </w:r>
      <w:r w:rsidR="00624342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 mutation</w:t>
      </w:r>
      <w:r w:rsidRPr="00624342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 </w:t>
      </w:r>
      <w:r w:rsidR="00624342">
        <w:rPr>
          <w:rFonts w:ascii="Times New Roman" w:eastAsia="Times New Roman" w:hAnsi="Times New Roman" w:cs="Times New Roman"/>
          <w:bCs/>
          <w:color w:val="000000"/>
          <w:szCs w:val="24"/>
          <w:lang w:eastAsia="en-US"/>
        </w:rPr>
        <w:t>A→C</w:t>
      </w:r>
      <w:r w:rsidRPr="00624342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>)</w:t>
      </w:r>
      <w:r w:rsidR="00877584" w:rsidRPr="00624342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>. Positions are</w:t>
      </w:r>
      <w:r w:rsidR="00877584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 relative to the ancestral REL606 strain genome (</w:t>
      </w:r>
      <w:proofErr w:type="spellStart"/>
      <w:r w:rsidR="00877584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>GenBank</w:t>
      </w:r>
      <w:proofErr w:type="spellEnd"/>
      <w:r w:rsidR="00877584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 xml:space="preserve">: </w:t>
      </w:r>
      <w:r w:rsidR="002C3A44" w:rsidRPr="002C3A44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>NC_012967.1</w:t>
      </w:r>
      <w:r w:rsidR="002C3A44">
        <w:rPr>
          <w:rFonts w:ascii="Times New Roman" w:eastAsia="Times New Roman" w:hAnsi="Times New Roman" w:cs="Times New Roman"/>
          <w:color w:val="000000"/>
          <w:szCs w:val="24"/>
          <w:lang w:eastAsia="en-US"/>
        </w:rPr>
        <w:t>).</w:t>
      </w:r>
    </w:p>
    <w:p w14:paraId="47492133" w14:textId="6AE2C737" w:rsidR="0066787E" w:rsidRDefault="0066787E">
      <w:pPr>
        <w:rPr>
          <w:rFonts w:ascii="Times New Roman" w:eastAsia="Times New Roman" w:hAnsi="Times New Roman" w:cs="Times New Roman"/>
          <w:color w:val="000000"/>
          <w:szCs w:val="24"/>
          <w:lang w:eastAsia="en-US"/>
        </w:rPr>
      </w:pPr>
    </w:p>
    <w:sectPr w:rsidR="0066787E" w:rsidSect="00C21C9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mirrorMargins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C99"/>
    <w:rsid w:val="00003B31"/>
    <w:rsid w:val="00007210"/>
    <w:rsid w:val="00007770"/>
    <w:rsid w:val="0002210A"/>
    <w:rsid w:val="00024FFC"/>
    <w:rsid w:val="0002614B"/>
    <w:rsid w:val="00032B82"/>
    <w:rsid w:val="00045788"/>
    <w:rsid w:val="000665FF"/>
    <w:rsid w:val="0007052E"/>
    <w:rsid w:val="00080C20"/>
    <w:rsid w:val="00083CB6"/>
    <w:rsid w:val="00095D52"/>
    <w:rsid w:val="000B61B2"/>
    <w:rsid w:val="000E547B"/>
    <w:rsid w:val="000F130E"/>
    <w:rsid w:val="00115C07"/>
    <w:rsid w:val="001424EE"/>
    <w:rsid w:val="001C51DA"/>
    <w:rsid w:val="001C64FC"/>
    <w:rsid w:val="001D117E"/>
    <w:rsid w:val="001D4103"/>
    <w:rsid w:val="001E1B13"/>
    <w:rsid w:val="001E48EE"/>
    <w:rsid w:val="00235648"/>
    <w:rsid w:val="00263915"/>
    <w:rsid w:val="0026404D"/>
    <w:rsid w:val="0026430A"/>
    <w:rsid w:val="002C3A44"/>
    <w:rsid w:val="002E48CA"/>
    <w:rsid w:val="002E69BF"/>
    <w:rsid w:val="002F4277"/>
    <w:rsid w:val="00316088"/>
    <w:rsid w:val="003224E4"/>
    <w:rsid w:val="003528F0"/>
    <w:rsid w:val="00354169"/>
    <w:rsid w:val="003648CD"/>
    <w:rsid w:val="00364D28"/>
    <w:rsid w:val="00366089"/>
    <w:rsid w:val="003660C4"/>
    <w:rsid w:val="003719DD"/>
    <w:rsid w:val="003906E8"/>
    <w:rsid w:val="003956E7"/>
    <w:rsid w:val="003A1B40"/>
    <w:rsid w:val="003A383D"/>
    <w:rsid w:val="003B65FD"/>
    <w:rsid w:val="003C3F69"/>
    <w:rsid w:val="003C41D4"/>
    <w:rsid w:val="003D4787"/>
    <w:rsid w:val="00426D71"/>
    <w:rsid w:val="004369F1"/>
    <w:rsid w:val="00446F1D"/>
    <w:rsid w:val="00446F6C"/>
    <w:rsid w:val="00457691"/>
    <w:rsid w:val="0046505C"/>
    <w:rsid w:val="00480ACD"/>
    <w:rsid w:val="0048345D"/>
    <w:rsid w:val="00490492"/>
    <w:rsid w:val="004947BD"/>
    <w:rsid w:val="00494EAA"/>
    <w:rsid w:val="0049747A"/>
    <w:rsid w:val="004B58E2"/>
    <w:rsid w:val="00500847"/>
    <w:rsid w:val="005170E3"/>
    <w:rsid w:val="005372A4"/>
    <w:rsid w:val="0054177D"/>
    <w:rsid w:val="00541BBE"/>
    <w:rsid w:val="00546316"/>
    <w:rsid w:val="00592B97"/>
    <w:rsid w:val="005B729C"/>
    <w:rsid w:val="005D13F0"/>
    <w:rsid w:val="005F383B"/>
    <w:rsid w:val="005F5BA6"/>
    <w:rsid w:val="006003D5"/>
    <w:rsid w:val="00612BA4"/>
    <w:rsid w:val="00621112"/>
    <w:rsid w:val="00624342"/>
    <w:rsid w:val="006265D3"/>
    <w:rsid w:val="00626BEE"/>
    <w:rsid w:val="00641140"/>
    <w:rsid w:val="0066787E"/>
    <w:rsid w:val="0067389B"/>
    <w:rsid w:val="006779E1"/>
    <w:rsid w:val="006835B1"/>
    <w:rsid w:val="00691628"/>
    <w:rsid w:val="006A5507"/>
    <w:rsid w:val="006B59E1"/>
    <w:rsid w:val="006B72E5"/>
    <w:rsid w:val="006B75B7"/>
    <w:rsid w:val="006C0B7B"/>
    <w:rsid w:val="006D1A1E"/>
    <w:rsid w:val="006D3748"/>
    <w:rsid w:val="006E6A00"/>
    <w:rsid w:val="006F1DB0"/>
    <w:rsid w:val="006F7832"/>
    <w:rsid w:val="006F7B3A"/>
    <w:rsid w:val="00704FDD"/>
    <w:rsid w:val="00741EB4"/>
    <w:rsid w:val="007722A6"/>
    <w:rsid w:val="007C2784"/>
    <w:rsid w:val="007E2044"/>
    <w:rsid w:val="007E471E"/>
    <w:rsid w:val="00802A62"/>
    <w:rsid w:val="00802BDE"/>
    <w:rsid w:val="00820472"/>
    <w:rsid w:val="008236C1"/>
    <w:rsid w:val="00833B46"/>
    <w:rsid w:val="00846C26"/>
    <w:rsid w:val="008531B5"/>
    <w:rsid w:val="00876B34"/>
    <w:rsid w:val="00877584"/>
    <w:rsid w:val="008A2E3F"/>
    <w:rsid w:val="0091109D"/>
    <w:rsid w:val="00913242"/>
    <w:rsid w:val="009229F5"/>
    <w:rsid w:val="009328A8"/>
    <w:rsid w:val="00940269"/>
    <w:rsid w:val="00955DEC"/>
    <w:rsid w:val="00977D00"/>
    <w:rsid w:val="00986E91"/>
    <w:rsid w:val="009A0A45"/>
    <w:rsid w:val="009B3CE4"/>
    <w:rsid w:val="009B6C64"/>
    <w:rsid w:val="009C541C"/>
    <w:rsid w:val="009E1688"/>
    <w:rsid w:val="009E4360"/>
    <w:rsid w:val="009E5EBD"/>
    <w:rsid w:val="00A0365F"/>
    <w:rsid w:val="00A10A44"/>
    <w:rsid w:val="00A15A89"/>
    <w:rsid w:val="00A342B0"/>
    <w:rsid w:val="00A7757B"/>
    <w:rsid w:val="00AA4BEC"/>
    <w:rsid w:val="00AA5D4C"/>
    <w:rsid w:val="00AB59A4"/>
    <w:rsid w:val="00AC3DC7"/>
    <w:rsid w:val="00AE1789"/>
    <w:rsid w:val="00AF1566"/>
    <w:rsid w:val="00B36EB4"/>
    <w:rsid w:val="00B46CCC"/>
    <w:rsid w:val="00B52F54"/>
    <w:rsid w:val="00B541F9"/>
    <w:rsid w:val="00B675C1"/>
    <w:rsid w:val="00B72A96"/>
    <w:rsid w:val="00B770F6"/>
    <w:rsid w:val="00B85C49"/>
    <w:rsid w:val="00BA5BAC"/>
    <w:rsid w:val="00BA5C77"/>
    <w:rsid w:val="00BC046E"/>
    <w:rsid w:val="00BC54E5"/>
    <w:rsid w:val="00BC5F00"/>
    <w:rsid w:val="00BC7617"/>
    <w:rsid w:val="00C21C99"/>
    <w:rsid w:val="00C3261D"/>
    <w:rsid w:val="00C40556"/>
    <w:rsid w:val="00C50BBA"/>
    <w:rsid w:val="00C63E1E"/>
    <w:rsid w:val="00C66D08"/>
    <w:rsid w:val="00C91175"/>
    <w:rsid w:val="00CA1AFE"/>
    <w:rsid w:val="00CB7326"/>
    <w:rsid w:val="00CD60B3"/>
    <w:rsid w:val="00D25729"/>
    <w:rsid w:val="00D331C6"/>
    <w:rsid w:val="00D67B2E"/>
    <w:rsid w:val="00D8256A"/>
    <w:rsid w:val="00D9152E"/>
    <w:rsid w:val="00DA19CC"/>
    <w:rsid w:val="00DC121E"/>
    <w:rsid w:val="00DD6064"/>
    <w:rsid w:val="00DD6202"/>
    <w:rsid w:val="00DE69DE"/>
    <w:rsid w:val="00DF7BF1"/>
    <w:rsid w:val="00E05CD2"/>
    <w:rsid w:val="00E2075F"/>
    <w:rsid w:val="00E454F1"/>
    <w:rsid w:val="00E5706D"/>
    <w:rsid w:val="00E57A75"/>
    <w:rsid w:val="00E63726"/>
    <w:rsid w:val="00EA4050"/>
    <w:rsid w:val="00EA7F6B"/>
    <w:rsid w:val="00EC48A6"/>
    <w:rsid w:val="00ED66E6"/>
    <w:rsid w:val="00EE53A3"/>
    <w:rsid w:val="00EE6AFB"/>
    <w:rsid w:val="00F045FB"/>
    <w:rsid w:val="00F064BC"/>
    <w:rsid w:val="00F06AF8"/>
    <w:rsid w:val="00F108B4"/>
    <w:rsid w:val="00F33234"/>
    <w:rsid w:val="00F403B1"/>
    <w:rsid w:val="00F579A9"/>
    <w:rsid w:val="00F64DBA"/>
    <w:rsid w:val="00FA172C"/>
    <w:rsid w:val="00FC47DA"/>
    <w:rsid w:val="00FD4536"/>
    <w:rsid w:val="00FD4EA4"/>
    <w:rsid w:val="00FE16C2"/>
    <w:rsid w:val="00FF1D2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03C4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1DA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Quote">
    <w:name w:val="Block Quote"/>
    <w:basedOn w:val="Normal"/>
    <w:next w:val="Normal"/>
    <w:rsid w:val="001C51DA"/>
    <w:pPr>
      <w:spacing w:line="480" w:lineRule="auto"/>
      <w:ind w:left="360" w:right="360"/>
    </w:pPr>
  </w:style>
  <w:style w:type="character" w:customStyle="1" w:styleId="P1">
    <w:name w:val="P1"/>
    <w:basedOn w:val="DefaultParagraphFont"/>
    <w:rsid w:val="005372A4"/>
    <w:rPr>
      <w:color w:val="FFFFFF"/>
      <w:bdr w:val="none" w:sz="0" w:space="0" w:color="auto"/>
      <w:shd w:val="solid" w:color="0000FF" w:fill="auto"/>
    </w:rPr>
  </w:style>
  <w:style w:type="character" w:styleId="CommentReference">
    <w:name w:val="annotation reference"/>
    <w:uiPriority w:val="99"/>
    <w:semiHidden/>
    <w:unhideWhenUsed/>
    <w:rsid w:val="005B729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729C"/>
    <w:rPr>
      <w:rFonts w:ascii="Cambria" w:eastAsia="MS Mincho" w:hAnsi="Cambria" w:cs="Times New Roman"/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729C"/>
    <w:rPr>
      <w:rFonts w:ascii="Cambria" w:eastAsia="MS Mincho" w:hAnsi="Cambria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2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29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1E48EE"/>
    <w:rPr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E48EE"/>
    <w:pPr>
      <w:spacing w:before="100" w:beforeAutospacing="1" w:after="100" w:afterAutospacing="1"/>
    </w:pPr>
    <w:rPr>
      <w:rFonts w:ascii="Times New Roman" w:hAnsi="Times New Roman" w:cs="Times New Roman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1DA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Quote">
    <w:name w:val="Block Quote"/>
    <w:basedOn w:val="Normal"/>
    <w:next w:val="Normal"/>
    <w:rsid w:val="001C51DA"/>
    <w:pPr>
      <w:spacing w:line="480" w:lineRule="auto"/>
      <w:ind w:left="360" w:right="360"/>
    </w:pPr>
  </w:style>
  <w:style w:type="character" w:customStyle="1" w:styleId="P1">
    <w:name w:val="P1"/>
    <w:basedOn w:val="DefaultParagraphFont"/>
    <w:rsid w:val="005372A4"/>
    <w:rPr>
      <w:color w:val="FFFFFF"/>
      <w:bdr w:val="none" w:sz="0" w:space="0" w:color="auto"/>
      <w:shd w:val="solid" w:color="0000FF" w:fill="auto"/>
    </w:rPr>
  </w:style>
  <w:style w:type="character" w:styleId="CommentReference">
    <w:name w:val="annotation reference"/>
    <w:uiPriority w:val="99"/>
    <w:semiHidden/>
    <w:unhideWhenUsed/>
    <w:rsid w:val="005B729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729C"/>
    <w:rPr>
      <w:rFonts w:ascii="Cambria" w:eastAsia="MS Mincho" w:hAnsi="Cambria" w:cs="Times New Roman"/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729C"/>
    <w:rPr>
      <w:rFonts w:ascii="Cambria" w:eastAsia="MS Mincho" w:hAnsi="Cambria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2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29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1E48EE"/>
    <w:rPr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E48EE"/>
    <w:pPr>
      <w:spacing w:before="100" w:beforeAutospacing="1" w:after="100" w:afterAutospacing="1"/>
    </w:pPr>
    <w:rPr>
      <w:rFonts w:ascii="Times New Roman" w:hAnsi="Times New Roman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9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349</Words>
  <Characters>1991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Jeffrey Barrick</dc:creator>
  <cp:lastModifiedBy>Jeffrey Barrick</cp:lastModifiedBy>
  <cp:revision>10</cp:revision>
  <cp:lastPrinted>2015-06-10T21:54:00Z</cp:lastPrinted>
  <dcterms:created xsi:type="dcterms:W3CDTF">2015-06-08T19:33:00Z</dcterms:created>
  <dcterms:modified xsi:type="dcterms:W3CDTF">2015-10-09T15:45:00Z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equandt@gmail.com@www.mendeley.com</vt:lpwstr>
  </property>
  <property fmtid="{D5CDD505-2E9C-101B-9397-08002B2CF9AE}" pid="4" name="Mendeley Citation Style_1">
    <vt:lpwstr>http://www.zotero.org/styles/cell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6th edition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http://www.zotero.org/styles/cell</vt:lpwstr>
  </property>
  <property fmtid="{D5CDD505-2E9C-101B-9397-08002B2CF9AE}" pid="12" name="Mendeley Recent Style Name 3_1">
    <vt:lpwstr>Cell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http://www.zotero.org/styles/pnas</vt:lpwstr>
  </property>
  <property fmtid="{D5CDD505-2E9C-101B-9397-08002B2CF9AE}" pid="24" name="Mendeley Recent Style Name 9_1">
    <vt:lpwstr>Proceedings of the National Academy of Sciences of the United States of America</vt:lpwstr>
  </property>
</Properties>
</file>