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25C89" w14:textId="5E06E830" w:rsidR="0066787E" w:rsidRDefault="00553235" w:rsidP="0066787E">
      <w:pPr>
        <w:rPr>
          <w:rFonts w:ascii="Times New Roman" w:hAnsi="Times New Roman" w:cs="Times New Roman"/>
          <w:b/>
          <w:szCs w:val="24"/>
        </w:rPr>
      </w:pPr>
      <w:bookmarkStart w:id="0" w:name="_GoBack"/>
      <w:proofErr w:type="gramStart"/>
      <w:r>
        <w:rPr>
          <w:rFonts w:ascii="Times New Roman" w:hAnsi="Times New Roman" w:cs="Times New Roman"/>
          <w:b/>
          <w:szCs w:val="24"/>
        </w:rPr>
        <w:t>Supplementary File 1</w:t>
      </w:r>
      <w:r w:rsidR="0066787E" w:rsidRPr="00AA5D4C">
        <w:rPr>
          <w:rFonts w:ascii="Times New Roman" w:hAnsi="Times New Roman" w:cs="Times New Roman"/>
          <w:b/>
          <w:szCs w:val="24"/>
        </w:rPr>
        <w:t>.</w:t>
      </w:r>
      <w:proofErr w:type="gramEnd"/>
      <w:r w:rsidR="0066787E">
        <w:rPr>
          <w:rFonts w:ascii="Times New Roman" w:hAnsi="Times New Roman" w:cs="Times New Roman"/>
          <w:b/>
          <w:szCs w:val="24"/>
        </w:rPr>
        <w:t xml:space="preserve"> </w:t>
      </w:r>
      <w:r w:rsidR="0066787E" w:rsidRPr="0066787E">
        <w:rPr>
          <w:rFonts w:ascii="Times New Roman" w:hAnsi="Times New Roman" w:cs="Times New Roman"/>
          <w:b/>
          <w:i/>
          <w:szCs w:val="24"/>
        </w:rPr>
        <w:t xml:space="preserve">E. </w:t>
      </w:r>
      <w:proofErr w:type="gramStart"/>
      <w:r w:rsidR="0066787E" w:rsidRPr="0066787E">
        <w:rPr>
          <w:rFonts w:ascii="Times New Roman" w:hAnsi="Times New Roman" w:cs="Times New Roman"/>
          <w:b/>
          <w:i/>
          <w:szCs w:val="24"/>
        </w:rPr>
        <w:t>coli</w:t>
      </w:r>
      <w:proofErr w:type="gramEnd"/>
      <w:r>
        <w:rPr>
          <w:rFonts w:ascii="Times New Roman" w:hAnsi="Times New Roman" w:cs="Times New Roman"/>
          <w:b/>
          <w:szCs w:val="24"/>
        </w:rPr>
        <w:t xml:space="preserve"> strains and plasmids used in this study</w:t>
      </w:r>
    </w:p>
    <w:bookmarkEnd w:id="0"/>
    <w:p w14:paraId="2DD15400" w14:textId="77777777" w:rsidR="0066787E" w:rsidRPr="00BC5F00" w:rsidRDefault="0066787E" w:rsidP="0066787E">
      <w:pPr>
        <w:rPr>
          <w:rFonts w:ascii="Times New Roman" w:eastAsia="Times New Roman" w:hAnsi="Times New Roman" w:cs="Times New Roman"/>
          <w:b/>
          <w:bCs/>
          <w:color w:val="000000"/>
          <w:szCs w:val="24"/>
          <w:lang w:eastAsia="en-US"/>
        </w:rPr>
      </w:pPr>
    </w:p>
    <w:tbl>
      <w:tblPr>
        <w:tblStyle w:val="TableGrid"/>
        <w:tblW w:w="0" w:type="auto"/>
        <w:tblCellMar>
          <w:top w:w="29" w:type="dxa"/>
          <w:left w:w="115" w:type="dxa"/>
          <w:bottom w:w="29" w:type="dxa"/>
          <w:right w:w="115" w:type="dxa"/>
        </w:tblCellMar>
        <w:tblLook w:val="04A0" w:firstRow="1" w:lastRow="0" w:firstColumn="1" w:lastColumn="0" w:noHBand="0" w:noVBand="1"/>
      </w:tblPr>
      <w:tblGrid>
        <w:gridCol w:w="1818"/>
        <w:gridCol w:w="5670"/>
        <w:gridCol w:w="2088"/>
      </w:tblGrid>
      <w:tr w:rsidR="001E48EE" w:rsidRPr="00954753" w14:paraId="2BAE7262" w14:textId="77777777" w:rsidTr="006B75B7">
        <w:trPr>
          <w:trHeight w:val="350"/>
        </w:trPr>
        <w:tc>
          <w:tcPr>
            <w:tcW w:w="1818" w:type="dxa"/>
            <w:vAlign w:val="center"/>
          </w:tcPr>
          <w:p w14:paraId="56858D5A" w14:textId="77777777" w:rsidR="001E48EE" w:rsidRPr="006B75B7" w:rsidRDefault="001E48EE" w:rsidP="002F4277">
            <w:pPr>
              <w:jc w:val="center"/>
              <w:rPr>
                <w:rFonts w:ascii="Times New Roman" w:hAnsi="Times New Roman" w:cs="Times New Roman"/>
                <w:b/>
                <w:sz w:val="22"/>
                <w:szCs w:val="22"/>
              </w:rPr>
            </w:pPr>
            <w:r w:rsidRPr="006B75B7">
              <w:rPr>
                <w:rFonts w:ascii="Times New Roman" w:hAnsi="Times New Roman" w:cs="Times New Roman"/>
                <w:b/>
                <w:sz w:val="22"/>
                <w:szCs w:val="22"/>
              </w:rPr>
              <w:t>Strain</w:t>
            </w:r>
          </w:p>
        </w:tc>
        <w:tc>
          <w:tcPr>
            <w:tcW w:w="5670" w:type="dxa"/>
            <w:vAlign w:val="center"/>
          </w:tcPr>
          <w:p w14:paraId="5C8C966D" w14:textId="77777777" w:rsidR="001E48EE" w:rsidRPr="006B75B7" w:rsidRDefault="001E48EE" w:rsidP="002F4277">
            <w:pPr>
              <w:jc w:val="center"/>
              <w:rPr>
                <w:rFonts w:ascii="Times New Roman" w:hAnsi="Times New Roman" w:cs="Times New Roman"/>
                <w:b/>
                <w:sz w:val="22"/>
                <w:szCs w:val="22"/>
              </w:rPr>
            </w:pPr>
            <w:r w:rsidRPr="006B75B7">
              <w:rPr>
                <w:rFonts w:ascii="Times New Roman" w:hAnsi="Times New Roman" w:cs="Times New Roman"/>
                <w:b/>
                <w:sz w:val="22"/>
                <w:szCs w:val="22"/>
              </w:rPr>
              <w:t>Relevant characteristic</w:t>
            </w:r>
          </w:p>
        </w:tc>
        <w:tc>
          <w:tcPr>
            <w:tcW w:w="2088" w:type="dxa"/>
            <w:vAlign w:val="center"/>
          </w:tcPr>
          <w:p w14:paraId="1873C08C" w14:textId="77777777" w:rsidR="001E48EE" w:rsidRPr="006B75B7" w:rsidRDefault="001E48EE" w:rsidP="002F4277">
            <w:pPr>
              <w:jc w:val="center"/>
              <w:rPr>
                <w:rFonts w:ascii="Times New Roman" w:hAnsi="Times New Roman" w:cs="Times New Roman"/>
                <w:b/>
                <w:sz w:val="22"/>
                <w:szCs w:val="22"/>
              </w:rPr>
            </w:pPr>
            <w:r w:rsidRPr="006B75B7">
              <w:rPr>
                <w:rFonts w:ascii="Times New Roman" w:hAnsi="Times New Roman" w:cs="Times New Roman"/>
                <w:b/>
                <w:sz w:val="22"/>
                <w:szCs w:val="22"/>
              </w:rPr>
              <w:t>Reference</w:t>
            </w:r>
          </w:p>
        </w:tc>
      </w:tr>
      <w:tr w:rsidR="001E48EE" w:rsidRPr="00954753" w14:paraId="63CE6AD5" w14:textId="77777777" w:rsidTr="006B75B7">
        <w:trPr>
          <w:trHeight w:val="238"/>
        </w:trPr>
        <w:tc>
          <w:tcPr>
            <w:tcW w:w="1818" w:type="dxa"/>
            <w:vAlign w:val="center"/>
          </w:tcPr>
          <w:p w14:paraId="5E66E3EE"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REL607</w:t>
            </w:r>
          </w:p>
        </w:tc>
        <w:tc>
          <w:tcPr>
            <w:tcW w:w="5670" w:type="dxa"/>
            <w:vAlign w:val="center"/>
          </w:tcPr>
          <w:p w14:paraId="2C43027F" w14:textId="77777777" w:rsidR="001E48EE" w:rsidRPr="006B75B7" w:rsidRDefault="001E48EE" w:rsidP="002F4277">
            <w:pPr>
              <w:rPr>
                <w:rFonts w:ascii="Times New Roman" w:hAnsi="Times New Roman" w:cs="Times New Roman"/>
                <w:sz w:val="22"/>
                <w:szCs w:val="22"/>
              </w:rPr>
            </w:pPr>
            <w:r w:rsidRPr="006B75B7">
              <w:rPr>
                <w:rFonts w:ascii="Times New Roman" w:hAnsi="Times New Roman" w:cs="Times New Roman"/>
                <w:sz w:val="22"/>
                <w:szCs w:val="22"/>
              </w:rPr>
              <w:t>LTEE ancestor, Ara</w:t>
            </w:r>
            <w:r w:rsidRPr="006B75B7">
              <w:rPr>
                <w:rFonts w:ascii="Times New Roman" w:hAnsi="Times New Roman" w:cs="Times New Roman"/>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21C37E3B" w14:textId="1A063089"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"author" : [ { "dropping-particle" : "", "family" : "Lenski", "given" : "R E", "non-dropping-particle" : "", "parse-names" : false, "suffix" : "" }, { "dropping-particle" : "", "family" : "Rose", "given" : "M R", "non-dropping-particle" : "", "parse-names" : false, "suffix" : "" }, { "dropping-particle" : "", "family" : "Simpson", "given" : "S C", "non-dropping-particle" : "", "parse-names" : false, "suffix" : "" }, { "dropping-particle" : "", "family" : "Tadler", "given" : "S C", "non-dropping-particle" : "", "parse-names" : false, "suffix" : "" } ], "container-title" : "Am. Nat.", "id" : "ITEM-1", "issue" : "6", "issued" : { "date-parts" : [ [ "1991" ] ] }, "page" : "1315-1341", "publisher" : "JSTOR", "title" : "Long-term experimental evolution in &lt;i&gt;Escherichia coli&lt;/i&gt;. I. Adaptation and divergence during 2,000 generations", "type" : "article-journal", "volume" : "138" }, "uris" : [ "http://www.mendeley.com/documents/?uuid=ed88a737-a4e4-4fff-aa0c-0e2205048da2" ] } ], "mendeley" : { "formattedCitation" : "(Lenski et al., 1991)", "plainTextFormattedCitation" : "(Lenski et al., 1991)", "previouslyFormattedCitation" : "(1)"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(Lenski et al., 1991)</w:t>
            </w:r>
            <w:r w:rsidRPr="006B75B7">
              <w:rPr>
                <w:rFonts w:ascii="Times New Roman" w:hAnsi="Times New Roman" w:cs="Times New Roman"/>
                <w:sz w:val="22"/>
                <w:szCs w:val="22"/>
              </w:rPr>
              <w:fldChar w:fldCharType="end"/>
            </w:r>
          </w:p>
        </w:tc>
      </w:tr>
      <w:tr w:rsidR="001E48EE" w:rsidRPr="00954753" w14:paraId="7D553D21" w14:textId="77777777" w:rsidTr="006B75B7">
        <w:trPr>
          <w:trHeight w:val="276"/>
        </w:trPr>
        <w:tc>
          <w:tcPr>
            <w:tcW w:w="1818" w:type="dxa"/>
            <w:vAlign w:val="center"/>
          </w:tcPr>
          <w:p w14:paraId="00E55F93" w14:textId="77777777" w:rsidR="001E48EE" w:rsidRPr="006B75B7" w:rsidRDefault="001E48EE" w:rsidP="002F4277">
            <w:pPr>
              <w:jc w:val="center"/>
              <w:rPr>
                <w:rFonts w:ascii="Times New Roman" w:hAnsi="Times New Roman" w:cs="Times New Roman"/>
                <w:sz w:val="22"/>
                <w:szCs w:val="22"/>
              </w:rPr>
            </w:pPr>
            <w:r w:rsidRPr="006B75B7">
              <w:rPr>
                <w:rFonts w:ascii="Times New Roman" w:hAnsi="Times New Roman" w:cs="Times New Roman"/>
                <w:sz w:val="22"/>
                <w:szCs w:val="22"/>
              </w:rPr>
              <w:t>ZDB564</w:t>
            </w:r>
          </w:p>
        </w:tc>
        <w:tc>
          <w:tcPr>
            <w:tcW w:w="5670" w:type="dxa"/>
            <w:vAlign w:val="center"/>
          </w:tcPr>
          <w:p w14:paraId="7A9036FB" w14:textId="77777777" w:rsidR="001E48EE" w:rsidRPr="006B75B7" w:rsidRDefault="001E48EE" w:rsidP="002F4277">
            <w:pPr>
              <w:rPr>
                <w:rFonts w:ascii="Times New Roman" w:hAnsi="Times New Roman" w:cs="Times New Roman"/>
                <w:sz w:val="22"/>
                <w:szCs w:val="22"/>
              </w:rPr>
            </w:pPr>
            <w:r w:rsidRPr="006B75B7">
              <w:rPr>
                <w:rFonts w:ascii="Times New Roman" w:hAnsi="Times New Roman" w:cs="Times New Roman"/>
                <w:sz w:val="22"/>
                <w:szCs w:val="22"/>
              </w:rPr>
              <w:t>31,500 generation Ara</w:t>
            </w:r>
            <w:r w:rsidRPr="006B75B7">
              <w:rPr>
                <w:rFonts w:ascii="Times New Roman" w:hAnsi="Times New Roman" w:cs="Times New Roman"/>
                <w:sz w:val="22"/>
                <w:szCs w:val="22"/>
              </w:rPr>
              <w:softHyphen/>
            </w:r>
            <w:r w:rsidRPr="006B75B7">
              <w:rPr>
                <w:rFonts w:ascii="Times New Roman" w:hAnsi="Times New Roman" w:cs="Times New Roman"/>
                <w:color w:val="000000"/>
                <w:sz w:val="22"/>
                <w:szCs w:val="22"/>
              </w:rPr>
              <w:t>–</w:t>
            </w:r>
            <w:r w:rsidRPr="006B75B7">
              <w:rPr>
                <w:rFonts w:ascii="Times New Roman" w:hAnsi="Times New Roman" w:cs="Times New Roman"/>
                <w:sz w:val="22"/>
                <w:szCs w:val="22"/>
              </w:rPr>
              <w:t>3 clone, Ara</w:t>
            </w:r>
            <w:r w:rsidRPr="006B75B7">
              <w:rPr>
                <w:rFonts w:ascii="Times New Roman" w:hAnsi="Times New Roman" w:cs="Times New Roman"/>
                <w:color w:val="000000"/>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sz w:val="22"/>
                <w:szCs w:val="22"/>
                <w:vertAlign w:val="superscript"/>
              </w:rPr>
              <w:t>+</w:t>
            </w:r>
          </w:p>
        </w:tc>
        <w:tc>
          <w:tcPr>
            <w:tcW w:w="2088" w:type="dxa"/>
            <w:vAlign w:val="center"/>
          </w:tcPr>
          <w:p w14:paraId="099A3E50" w14:textId="047ECAB2"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"DOI" : "10.1038/nature11514 nature11514 [pii]", "ISBN" : "1476-4687 (Electronic) 0028-0836 (Linking)", "PMID" : "22992527", "author" : [ { "dropping-particle" : "", "family" : "Blount", "given" : "Zachary D.", "non-dropping-particle" : "", "parse-names" : false, "suffix" : "" }, { "dropping-particle" : "", "family" : "Barrick", "given" : "Jeffrey E.", "non-dropping-particle" : "", "parse-names" : false, "suffix" : "" }, { "dropping-particle" : "", "family" : "Davidson", "given" : "Carla J.", "non-dropping-particle" : "", "parse-names" : false, "suffix" : "" }, { "dropping-particle" : "", "family" : "Lenski", "given" : "Richard E.", "non-dropping-particle" : "", "parse-names" : false, "suffix" : "" } ], "container-title" : "Nature", "edition" : "2012/09/21", "id" : "ITEM-1", "issue" : "7417", "issued" : { "date-parts" : [ [ "2012" ] ] }, "language" : "eng", "page" : "513-518", "title" : "Genomic analysis of a key innovation in an experimental Escherichia coli population", "type" : "article-journal", "volume" : "489" }, "uris" : [ "http://www.mendeley.com/documents/?uuid=a68139d0-e0ec-4552-8eef-1ac71827770a" ] } ], "mendeley" : { "formattedCitation" : "(Blount et al., 2012)", "plainTextFormattedCitation" : "(Blount et al., 2012)", "previouslyFormattedCitation" : "(2)"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(Blount et al., 2012)</w:t>
            </w:r>
            <w:r w:rsidRPr="006B75B7">
              <w:rPr>
                <w:rFonts w:ascii="Times New Roman" w:hAnsi="Times New Roman" w:cs="Times New Roman"/>
                <w:sz w:val="22"/>
                <w:szCs w:val="22"/>
              </w:rPr>
              <w:fldChar w:fldCharType="end"/>
            </w:r>
          </w:p>
        </w:tc>
      </w:tr>
      <w:tr w:rsidR="001E48EE" w:rsidRPr="00954753" w14:paraId="096163D6" w14:textId="77777777" w:rsidTr="006B75B7">
        <w:trPr>
          <w:trHeight w:val="238"/>
        </w:trPr>
        <w:tc>
          <w:tcPr>
            <w:tcW w:w="1818" w:type="dxa"/>
            <w:vAlign w:val="center"/>
          </w:tcPr>
          <w:p w14:paraId="4A17126C" w14:textId="77777777" w:rsidR="001E48EE" w:rsidRPr="006B75B7" w:rsidRDefault="001E48EE" w:rsidP="002F4277">
            <w:pPr>
              <w:jc w:val="center"/>
              <w:rPr>
                <w:rFonts w:ascii="Times New Roman" w:hAnsi="Times New Roman" w:cs="Times New Roman"/>
                <w:sz w:val="22"/>
                <w:szCs w:val="22"/>
              </w:rPr>
            </w:pPr>
            <w:r w:rsidRPr="006B75B7">
              <w:rPr>
                <w:rFonts w:ascii="Times New Roman" w:hAnsi="Times New Roman" w:cs="Times New Roman"/>
                <w:sz w:val="22"/>
                <w:szCs w:val="22"/>
              </w:rPr>
              <w:t>ZDB765</w:t>
            </w:r>
          </w:p>
        </w:tc>
        <w:tc>
          <w:tcPr>
            <w:tcW w:w="5670" w:type="dxa"/>
            <w:vAlign w:val="center"/>
          </w:tcPr>
          <w:p w14:paraId="722AA79A" w14:textId="77777777" w:rsidR="001E48EE" w:rsidRPr="006B75B7" w:rsidRDefault="001E48EE" w:rsidP="002F4277">
            <w:pPr>
              <w:rPr>
                <w:rFonts w:ascii="Times New Roman" w:hAnsi="Times New Roman" w:cs="Times New Roman"/>
                <w:sz w:val="22"/>
                <w:szCs w:val="22"/>
              </w:rPr>
            </w:pPr>
            <w:r w:rsidRPr="006B75B7">
              <w:rPr>
                <w:rFonts w:ascii="Times New Roman" w:hAnsi="Times New Roman" w:cs="Times New Roman"/>
                <w:sz w:val="22"/>
                <w:szCs w:val="22"/>
              </w:rPr>
              <w:t>ZDB564 Ara</w:t>
            </w:r>
            <w:r w:rsidRPr="006B75B7">
              <w:rPr>
                <w:rFonts w:ascii="Times New Roman" w:hAnsi="Times New Roman" w:cs="Times New Roman"/>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sz w:val="22"/>
                <w:szCs w:val="22"/>
                <w:vertAlign w:val="superscript"/>
              </w:rPr>
              <w:t>+</w:t>
            </w:r>
          </w:p>
        </w:tc>
        <w:tc>
          <w:tcPr>
            <w:tcW w:w="2088" w:type="dxa"/>
            <w:vAlign w:val="center"/>
          </w:tcPr>
          <w:p w14:paraId="696CAE23"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2925F4B" w14:textId="77777777" w:rsidTr="006B75B7">
        <w:trPr>
          <w:trHeight w:val="276"/>
        </w:trPr>
        <w:tc>
          <w:tcPr>
            <w:tcW w:w="1818" w:type="dxa"/>
            <w:vAlign w:val="center"/>
          </w:tcPr>
          <w:p w14:paraId="783FCA87" w14:textId="77777777" w:rsidR="001E48EE" w:rsidRPr="006B75B7" w:rsidRDefault="001E48EE" w:rsidP="002F4277">
            <w:pPr>
              <w:jc w:val="center"/>
              <w:rPr>
                <w:rFonts w:ascii="Times New Roman" w:hAnsi="Times New Roman" w:cs="Times New Roman"/>
                <w:sz w:val="22"/>
                <w:szCs w:val="22"/>
              </w:rPr>
            </w:pPr>
            <w:r w:rsidRPr="006B75B7">
              <w:rPr>
                <w:rFonts w:ascii="Times New Roman" w:hAnsi="Times New Roman" w:cs="Times New Roman"/>
                <w:sz w:val="22"/>
                <w:szCs w:val="22"/>
              </w:rPr>
              <w:t>ZDB706</w:t>
            </w:r>
          </w:p>
        </w:tc>
        <w:tc>
          <w:tcPr>
            <w:tcW w:w="5670" w:type="dxa"/>
            <w:vAlign w:val="center"/>
          </w:tcPr>
          <w:p w14:paraId="42498951" w14:textId="77777777" w:rsidR="001E48EE" w:rsidRPr="006B75B7" w:rsidRDefault="001E48EE" w:rsidP="002F4277">
            <w:pPr>
              <w:rPr>
                <w:rFonts w:ascii="Times New Roman" w:hAnsi="Times New Roman" w:cs="Times New Roman"/>
                <w:sz w:val="22"/>
                <w:szCs w:val="22"/>
              </w:rPr>
            </w:pPr>
            <w:r w:rsidRPr="006B75B7">
              <w:rPr>
                <w:rFonts w:ascii="Times New Roman" w:hAnsi="Times New Roman" w:cs="Times New Roman"/>
                <w:sz w:val="22"/>
                <w:szCs w:val="22"/>
              </w:rPr>
              <w:t>ZDB564 Ara</w:t>
            </w:r>
            <w:r w:rsidRPr="006B75B7">
              <w:rPr>
                <w:rFonts w:ascii="Times New Roman" w:hAnsi="Times New Roman" w:cs="Times New Roman"/>
                <w:color w:val="000000"/>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revertant</w:t>
            </w:r>
            <w:proofErr w:type="spellEnd"/>
          </w:p>
        </w:tc>
        <w:tc>
          <w:tcPr>
            <w:tcW w:w="2088" w:type="dxa"/>
            <w:vAlign w:val="center"/>
          </w:tcPr>
          <w:p w14:paraId="1A25AE09"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F582D38" w14:textId="77777777" w:rsidTr="006B75B7">
        <w:trPr>
          <w:trHeight w:val="224"/>
        </w:trPr>
        <w:tc>
          <w:tcPr>
            <w:tcW w:w="1818" w:type="dxa"/>
            <w:vAlign w:val="center"/>
          </w:tcPr>
          <w:p w14:paraId="345E99C9" w14:textId="77777777" w:rsidR="001E48EE" w:rsidRPr="006B75B7" w:rsidRDefault="001E48EE" w:rsidP="002F4277">
            <w:pPr>
              <w:jc w:val="center"/>
              <w:rPr>
                <w:rFonts w:ascii="Times New Roman" w:hAnsi="Times New Roman" w:cs="Times New Roman"/>
                <w:sz w:val="22"/>
                <w:szCs w:val="22"/>
              </w:rPr>
            </w:pPr>
            <w:r w:rsidRPr="006B75B7">
              <w:rPr>
                <w:rFonts w:ascii="Times New Roman" w:hAnsi="Times New Roman" w:cs="Times New Roman"/>
                <w:sz w:val="22"/>
                <w:szCs w:val="22"/>
              </w:rPr>
              <w:t>EQ1129</w:t>
            </w:r>
          </w:p>
        </w:tc>
        <w:tc>
          <w:tcPr>
            <w:tcW w:w="5670" w:type="dxa"/>
            <w:vAlign w:val="center"/>
          </w:tcPr>
          <w:p w14:paraId="2C3E902F" w14:textId="77777777" w:rsidR="001E48EE" w:rsidRPr="006B75B7" w:rsidRDefault="001E48EE" w:rsidP="002F4277">
            <w:pPr>
              <w:rPr>
                <w:rFonts w:ascii="Times New Roman" w:hAnsi="Times New Roman" w:cs="Times New Roman"/>
                <w:sz w:val="22"/>
                <w:szCs w:val="22"/>
              </w:rPr>
            </w:pPr>
            <w:r w:rsidRPr="006B75B7">
              <w:rPr>
                <w:rFonts w:ascii="Times New Roman" w:hAnsi="Times New Roman" w:cs="Times New Roman"/>
                <w:sz w:val="22"/>
                <w:szCs w:val="22"/>
              </w:rPr>
              <w:t>ZDB706 Ara</w:t>
            </w:r>
            <w:r w:rsidRPr="006B75B7">
              <w:rPr>
                <w:rFonts w:ascii="Times New Roman" w:hAnsi="Times New Roman" w:cs="Times New Roman"/>
                <w:sz w:val="22"/>
                <w:szCs w:val="22"/>
                <w:vertAlign w:val="superscript"/>
              </w:rPr>
              <w:t>+</w:t>
            </w:r>
            <w:r w:rsidRPr="006B75B7">
              <w:rPr>
                <w:rFonts w:ascii="Times New Roman" w:hAnsi="Times New Roman" w:cs="Times New Roman"/>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r w:rsidRPr="006B75B7">
              <w:rPr>
                <w:rFonts w:ascii="Times New Roman" w:hAnsi="Times New Roman" w:cs="Times New Roman"/>
                <w:sz w:val="22"/>
                <w:szCs w:val="22"/>
              </w:rPr>
              <w:t xml:space="preserve"> </w:t>
            </w:r>
          </w:p>
        </w:tc>
        <w:tc>
          <w:tcPr>
            <w:tcW w:w="2088" w:type="dxa"/>
            <w:vAlign w:val="center"/>
          </w:tcPr>
          <w:p w14:paraId="772E1E95"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C00E785" w14:textId="77777777" w:rsidTr="006B75B7">
        <w:trPr>
          <w:trHeight w:val="238"/>
        </w:trPr>
        <w:tc>
          <w:tcPr>
            <w:tcW w:w="1818" w:type="dxa"/>
            <w:vAlign w:val="center"/>
          </w:tcPr>
          <w:p w14:paraId="34CB972F"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EQ1207</w:t>
            </w:r>
          </w:p>
        </w:tc>
        <w:tc>
          <w:tcPr>
            <w:tcW w:w="5670" w:type="dxa"/>
            <w:vAlign w:val="center"/>
          </w:tcPr>
          <w:p w14:paraId="0173B7C0"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ZDB564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gltA</w:t>
            </w:r>
            <w:r w:rsidRPr="006B75B7">
              <w:rPr>
                <w:rFonts w:ascii="Times New Roman" w:eastAsia="Times New Roman" w:hAnsi="Times New Roman" w:cs="Times New Roman"/>
                <w:i/>
                <w:color w:val="000000"/>
                <w:sz w:val="22"/>
                <w:szCs w:val="22"/>
                <w:vertAlign w:val="superscript"/>
              </w:rPr>
              <w:t>wt</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4F5CF3C7"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1967044A" w14:textId="77777777" w:rsidTr="006B75B7">
        <w:trPr>
          <w:trHeight w:val="224"/>
        </w:trPr>
        <w:tc>
          <w:tcPr>
            <w:tcW w:w="1818" w:type="dxa"/>
            <w:vAlign w:val="center"/>
          </w:tcPr>
          <w:p w14:paraId="09BEB089"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EQ1208</w:t>
            </w:r>
          </w:p>
        </w:tc>
        <w:tc>
          <w:tcPr>
            <w:tcW w:w="5670" w:type="dxa"/>
            <w:vAlign w:val="center"/>
          </w:tcPr>
          <w:p w14:paraId="73873BBA"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ZDB706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gltA</w:t>
            </w:r>
            <w:r w:rsidRPr="006B75B7">
              <w:rPr>
                <w:rFonts w:ascii="Times New Roman" w:eastAsia="Times New Roman" w:hAnsi="Times New Roman" w:cs="Times New Roman"/>
                <w:i/>
                <w:color w:val="000000"/>
                <w:sz w:val="22"/>
                <w:szCs w:val="22"/>
                <w:vertAlign w:val="superscript"/>
              </w:rPr>
              <w:t>wt</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260B451C"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8B99361" w14:textId="77777777" w:rsidTr="006B75B7">
        <w:trPr>
          <w:trHeight w:val="276"/>
        </w:trPr>
        <w:tc>
          <w:tcPr>
            <w:tcW w:w="1818" w:type="dxa"/>
            <w:vAlign w:val="center"/>
          </w:tcPr>
          <w:p w14:paraId="201C3871"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ZDB478</w:t>
            </w:r>
          </w:p>
        </w:tc>
        <w:tc>
          <w:tcPr>
            <w:tcW w:w="5670" w:type="dxa"/>
            <w:vAlign w:val="center"/>
          </w:tcPr>
          <w:p w14:paraId="75AE0B4F"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25,000 generation Ara</w:t>
            </w:r>
            <w:r w:rsidRPr="006B75B7">
              <w:rPr>
                <w:rFonts w:ascii="Times New Roman" w:hAnsi="Times New Roman" w:cs="Times New Roman"/>
                <w:color w:val="000000"/>
                <w:sz w:val="22"/>
                <w:szCs w:val="22"/>
              </w:rPr>
              <w:t>–</w:t>
            </w:r>
            <w:r w:rsidRPr="006B75B7">
              <w:rPr>
                <w:rFonts w:ascii="Times New Roman" w:eastAsia="Times New Roman" w:hAnsi="Times New Roman" w:cs="Times New Roman"/>
                <w:color w:val="000000"/>
                <w:sz w:val="22"/>
                <w:szCs w:val="22"/>
              </w:rPr>
              <w:t>3 clone, Ara</w:t>
            </w:r>
            <w:r w:rsidRPr="006B75B7">
              <w:rPr>
                <w:rFonts w:ascii="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color w:val="000000"/>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30F4C1BF" w14:textId="649A58EC"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"DOI" : "10.1038/nature11514 nature11514 [pii]", "ISBN" : "1476-4687 (Electronic) 0028-0836 (Linking)", "PMID" : "22992527", "author" : [ { "dropping-particle" : "", "family" : "Blount", "given" : "Zachary D.", "non-dropping-particle" : "", "parse-names" : false, "suffix" : "" }, { "dropping-particle" : "", "family" : "Barrick", "given" : "Jeffrey E.", "non-dropping-particle" : "", "parse-names" : false, "suffix" : "" }, { "dropping-particle" : "", "family" : "Davidson", "given" : "Carla J.", "non-dropping-particle" : "", "parse-names" : false, "suffix" : "" }, { "dropping-particle" : "", "family" : "Lenski", "given" : "Richard E.", "non-dropping-particle" : "", "parse-names" : false, "suffix" : "" } ], "container-title" : "Nature", "edition" : "2012/09/21", "id" : "ITEM-1", "issue" : "7417", "issued" : { "date-parts" : [ [ "2012" ] ] }, "language" : "eng", "page" : "513-518", "title" : "Genomic analysis of a key innovation in an experimental Escherichia coli population", "type" : "article-journal", "volume" : "489" }, "uris" : [ "http://www.mendeley.com/documents/?uuid=a68139d0-e0ec-4552-8eef-1ac71827770a" ] } ], "mendeley" : { "formattedCitation" : "(Blount et al., 2012)", "plainTextFormattedCitation" : "(Blount et al., 2012)", "previouslyFormattedCitation" : "(2)"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(Blount et al., 2012)</w:t>
            </w:r>
            <w:r w:rsidRPr="006B75B7">
              <w:rPr>
                <w:rFonts w:ascii="Times New Roman" w:hAnsi="Times New Roman" w:cs="Times New Roman"/>
                <w:sz w:val="22"/>
                <w:szCs w:val="22"/>
              </w:rPr>
              <w:fldChar w:fldCharType="end"/>
            </w:r>
          </w:p>
        </w:tc>
      </w:tr>
      <w:tr w:rsidR="001E48EE" w:rsidRPr="00954753" w14:paraId="73A95206" w14:textId="77777777" w:rsidTr="006B75B7">
        <w:trPr>
          <w:trHeight w:val="238"/>
        </w:trPr>
        <w:tc>
          <w:tcPr>
            <w:tcW w:w="1818" w:type="dxa"/>
            <w:vAlign w:val="center"/>
          </w:tcPr>
          <w:p w14:paraId="4257C5A8"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EQ1159</w:t>
            </w:r>
          </w:p>
        </w:tc>
        <w:tc>
          <w:tcPr>
            <w:tcW w:w="5670" w:type="dxa"/>
            <w:vAlign w:val="center"/>
          </w:tcPr>
          <w:p w14:paraId="3C469A91"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ZDB478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7BA49306"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4575CCAD" w14:textId="77777777" w:rsidTr="006B75B7">
        <w:trPr>
          <w:trHeight w:val="276"/>
        </w:trPr>
        <w:tc>
          <w:tcPr>
            <w:tcW w:w="1818" w:type="dxa"/>
            <w:vAlign w:val="center"/>
          </w:tcPr>
          <w:p w14:paraId="41BCB255"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EQ1158</w:t>
            </w:r>
          </w:p>
        </w:tc>
        <w:tc>
          <w:tcPr>
            <w:tcW w:w="5670" w:type="dxa"/>
            <w:vAlign w:val="center"/>
          </w:tcPr>
          <w:p w14:paraId="7F122DFB"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ZDB478 Ara</w:t>
            </w:r>
            <w:r w:rsidRPr="006B75B7">
              <w:rPr>
                <w:rFonts w:ascii="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gltA</w:t>
            </w:r>
            <w:r w:rsidRPr="006B75B7">
              <w:rPr>
                <w:rFonts w:ascii="Times New Roman" w:eastAsia="Times New Roman" w:hAnsi="Times New Roman" w:cs="Times New Roman"/>
                <w:i/>
                <w:color w:val="000000"/>
                <w:sz w:val="22"/>
                <w:szCs w:val="22"/>
                <w:vertAlign w:val="superscript"/>
              </w:rPr>
              <w:t>wt</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777B04D8"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79D183E0" w14:textId="77777777" w:rsidTr="006B75B7">
        <w:trPr>
          <w:trHeight w:val="276"/>
        </w:trPr>
        <w:tc>
          <w:tcPr>
            <w:tcW w:w="1818" w:type="dxa"/>
            <w:vAlign w:val="center"/>
          </w:tcPr>
          <w:p w14:paraId="5339EC94"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ZDB483</w:t>
            </w:r>
          </w:p>
        </w:tc>
        <w:tc>
          <w:tcPr>
            <w:tcW w:w="5670" w:type="dxa"/>
            <w:vAlign w:val="center"/>
          </w:tcPr>
          <w:p w14:paraId="7035BA89"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25,000 generation Ara</w:t>
            </w:r>
            <w:r w:rsidRPr="006B75B7">
              <w:rPr>
                <w:rFonts w:ascii="Times New Roman" w:hAnsi="Times New Roman" w:cs="Times New Roman"/>
                <w:color w:val="000000"/>
                <w:sz w:val="22"/>
                <w:szCs w:val="22"/>
              </w:rPr>
              <w:t>–</w:t>
            </w:r>
            <w:r w:rsidRPr="006B75B7">
              <w:rPr>
                <w:rFonts w:ascii="Times New Roman" w:eastAsia="Times New Roman" w:hAnsi="Times New Roman" w:cs="Times New Roman"/>
                <w:color w:val="000000"/>
                <w:sz w:val="22"/>
                <w:szCs w:val="22"/>
              </w:rPr>
              <w:t>3 clone, Ara</w:t>
            </w:r>
            <w:r w:rsidRPr="006B75B7">
              <w:rPr>
                <w:rFonts w:ascii="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color w:val="000000"/>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584212A1" w14:textId="06D73736"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"DOI" : "10.1038/nature11514 nature11514 [pii]", "ISBN" : "1476-4687 (Electronic) 0028-0836 (Linking)", "PMID" : "22992527", "author" : [ { "dropping-particle" : "", "family" : "Blount", "given" : "Zachary D.", "non-dropping-particle" : "", "parse-names" : false, "suffix" : "" }, { "dropping-particle" : "", "family" : "Barrick", "given" : "Jeffrey E.", "non-dropping-particle" : "", "parse-names" : false, "suffix" : "" }, { "dropping-particle" : "", "family" : "Davidson", "given" : "Carla J.", "non-dropping-particle" : "", "parse-names" : false, "suffix" : "" }, { "dropping-particle" : "", "family" : "Lenski", "given" : "Richard E.", "non-dropping-particle" : "", "parse-names" : false, "suffix" : "" } ], "container-title" : "Nature", "edition" : "2012/09/21", "id" : "ITEM-1", "issue" : "7417", "issued" : { "date-parts" : [ [ "2012" ] ] }, "language" : "eng", "page" : "513-518", "title" : "Genomic analysis of a key innovation in an experimental Escherichia coli population", "type" : "article-journal", "volume" : "489" }, "uris" : [ "http://www.mendeley.com/documents/?uuid=a68139d0-e0ec-4552-8eef-1ac71827770a" ] } ], "mendeley" : { "formattedCitation" : "(Blount et al., 2012)", "plainTextFormattedCitation" : "(Blount et al., 2012)", "previouslyFormattedCitation" : "(2)"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(Blount et al., 2012)</w:t>
            </w:r>
            <w:r w:rsidRPr="006B75B7">
              <w:rPr>
                <w:rFonts w:ascii="Times New Roman" w:hAnsi="Times New Roman" w:cs="Times New Roman"/>
                <w:sz w:val="22"/>
                <w:szCs w:val="22"/>
              </w:rPr>
              <w:fldChar w:fldCharType="end"/>
            </w:r>
          </w:p>
        </w:tc>
      </w:tr>
      <w:tr w:rsidR="001E48EE" w:rsidRPr="00954753" w14:paraId="4D5CF702" w14:textId="77777777" w:rsidTr="006B75B7">
        <w:trPr>
          <w:trHeight w:val="224"/>
        </w:trPr>
        <w:tc>
          <w:tcPr>
            <w:tcW w:w="1818" w:type="dxa"/>
            <w:vAlign w:val="center"/>
          </w:tcPr>
          <w:p w14:paraId="75BD1CF6"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EQ1163</w:t>
            </w:r>
          </w:p>
        </w:tc>
        <w:tc>
          <w:tcPr>
            <w:tcW w:w="5670" w:type="dxa"/>
            <w:vAlign w:val="center"/>
          </w:tcPr>
          <w:p w14:paraId="730CFB7B"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ZDB483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54189019"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C83ABBC" w14:textId="77777777" w:rsidTr="006B75B7">
        <w:trPr>
          <w:trHeight w:val="276"/>
        </w:trPr>
        <w:tc>
          <w:tcPr>
            <w:tcW w:w="1818" w:type="dxa"/>
            <w:vAlign w:val="center"/>
          </w:tcPr>
          <w:p w14:paraId="027CDF19"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EQ1151</w:t>
            </w:r>
          </w:p>
        </w:tc>
        <w:tc>
          <w:tcPr>
            <w:tcW w:w="5670" w:type="dxa"/>
            <w:vAlign w:val="center"/>
          </w:tcPr>
          <w:p w14:paraId="0B876D9E"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ZDB483 Ara</w:t>
            </w:r>
            <w:r w:rsidRPr="006B75B7">
              <w:rPr>
                <w:rFonts w:ascii="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gltA</w:t>
            </w:r>
            <w:r w:rsidRPr="006B75B7">
              <w:rPr>
                <w:rFonts w:ascii="Times New Roman" w:eastAsia="Times New Roman" w:hAnsi="Times New Roman" w:cs="Times New Roman"/>
                <w:i/>
                <w:color w:val="000000"/>
                <w:sz w:val="22"/>
                <w:szCs w:val="22"/>
                <w:vertAlign w:val="superscript"/>
              </w:rPr>
              <w:t>wt</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65850E54"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0D16B020" w14:textId="77777777" w:rsidTr="006B75B7">
        <w:trPr>
          <w:trHeight w:val="238"/>
        </w:trPr>
        <w:tc>
          <w:tcPr>
            <w:tcW w:w="1818" w:type="dxa"/>
            <w:vAlign w:val="center"/>
          </w:tcPr>
          <w:p w14:paraId="22602630"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EQ119</w:t>
            </w:r>
          </w:p>
        </w:tc>
        <w:tc>
          <w:tcPr>
            <w:tcW w:w="5670" w:type="dxa"/>
            <w:vAlign w:val="center"/>
          </w:tcPr>
          <w:p w14:paraId="5DA5BF93"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REL607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dctA</w:t>
            </w:r>
            <w:proofErr w:type="spellEnd"/>
            <w:r w:rsidRPr="006B75B7">
              <w:rPr>
                <w:rFonts w:ascii="Times New Roman" w:eastAsia="Times New Roman" w:hAnsi="Times New Roman" w:cs="Times New Roman"/>
                <w:i/>
                <w:color w:val="000000"/>
                <w:sz w:val="22"/>
                <w:szCs w:val="22"/>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3AB356D3" w14:textId="328930C1"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"DOI" : "10.1073/pnas.1314561111", "ISBN" : "1314561111", "ISSN" : "1091-6490", "PMID" : "24379390", "abstract" : "Evolutionary innovations often arise from complex genetic and ecological interactions, which can make it challenging to understand retrospectively how a novel trait arose. In a long-term experiment, Escherichia coli gained the ability to use abundant citrate (Cit(+)) in the growth medium after \u223c31,500 generations of evolution. Exploiting this previously untapped resource was highly beneficial: later Cit(+) variants achieve a much higher population density in this environment. All Cit(+) individuals share a mutation that activates aerobic expression of the citT citrate transporter, but this mutation confers only an extremely weak Cit(+) phenotype on its own. To determine which of the other &gt;70 mutations in early Cit(+) clones were needed to take full advantage of citrate, we developed a recursive genomewide recombination and sequencing method (REGRES) and performed genetic backcrosses to purge mutations not required for Cit(+) from an evolved strain. We discovered a mutation that increased expression of the dctA C4-dicarboxylate transporter greatly enhanced the Cit(+) phenotype after it evolved. Surprisingly, strains containing just the citT and dctA mutations fully use citrate, indicating that earlier mutations thought to have potentiated the initial evolution of Cit(+) are not required for expression of the refined version of this trait. Instead, this metabolic innovation may be contingent on a genetic background, and possibly ecological context, that enabled citT mutants to persist among competitors long enough to obtain dctA or equivalent mutations that conferred an overwhelming advantage. More generally, refinement of an emergent trait from a rudimentary form may be crucial to its evolutionary success.", "author" : [ { "dropping-particle" : "", "family" : "Quandt", "given" : "Erik M", "non-dropping-particle" : "", "parse-names" : false, "suffix" : "" }, { "dropping-particle" : "", "family" : "Deatherage", "given" : "Daniel E", "non-dropping-particle" : "", "parse-names" : false, "suffix" : "" }, { "dropping-particle" : "", "family" : "Ellington", "given" : "Andrew D", "non-dropping-particle" : "", "parse-names" : false, "suffix" : "" }, { "dropping-particle" : "", "family" : "Georgiou", "given" : "George", "non-dropping-particle" : "", "parse-names" : false, "suffix" : "" }, { "dropping-particle" : "", "family" : "Barrick", "given" : "Jeffrey E", "non-dropping-particle" : "", "parse-names" : false, "suffix" : "" } ], "container-title" : "Proceedings of the National Academy of Sciences of the United States of America", "id" : "ITEM-1", "issue" : "6", "issued" : { "date-parts" : [ [ "2014", "2" ] ] }, "page" : "2217-22", "title" : "Recursive genomewide recombination and sequencing reveals a key refinement step in the evolution of a metabolic innovation in &lt;i&gt;Escherichia coli&lt;/i&gt;.", "type" : "article-journal", "volume" : "111" }, "uris" : [ "http://www.mendeley.com/documents/?uuid=30c21dd9-8cd3-4044-9d05-6dc6ab6b6677" ] } ], "mendeley" : { "formattedCitation" : "(Quandt et al., 2014)", "plainTextFormattedCitation" : "(Quandt et al., 2014)", "previouslyFormattedCitation" : "(3)"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(Quandt et al., 2014)</w:t>
            </w:r>
            <w:r w:rsidRPr="006B75B7">
              <w:rPr>
                <w:rFonts w:ascii="Times New Roman" w:hAnsi="Times New Roman" w:cs="Times New Roman"/>
                <w:sz w:val="22"/>
                <w:szCs w:val="22"/>
              </w:rPr>
              <w:fldChar w:fldCharType="end"/>
            </w:r>
          </w:p>
        </w:tc>
      </w:tr>
      <w:tr w:rsidR="001E48EE" w:rsidRPr="00954753" w14:paraId="1EA47B34" w14:textId="77777777" w:rsidTr="006B75B7">
        <w:trPr>
          <w:trHeight w:val="224"/>
        </w:trPr>
        <w:tc>
          <w:tcPr>
            <w:tcW w:w="1818" w:type="dxa"/>
            <w:vAlign w:val="center"/>
          </w:tcPr>
          <w:p w14:paraId="3A6F7C70"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EQ120</w:t>
            </w:r>
          </w:p>
        </w:tc>
        <w:tc>
          <w:tcPr>
            <w:tcW w:w="5670" w:type="dxa"/>
            <w:vAlign w:val="center"/>
          </w:tcPr>
          <w:p w14:paraId="6205B318"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REL607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dctA</w:t>
            </w:r>
            <w:proofErr w:type="spellEnd"/>
            <w:r w:rsidRPr="006B75B7">
              <w:rPr>
                <w:rFonts w:ascii="Times New Roman" w:eastAsia="Times New Roman" w:hAnsi="Times New Roman" w:cs="Times New Roman"/>
                <w:i/>
                <w:color w:val="000000"/>
                <w:sz w:val="22"/>
                <w:szCs w:val="22"/>
              </w:rPr>
              <w:t>*,</w:t>
            </w:r>
            <w:r w:rsidRPr="006B75B7">
              <w:rPr>
                <w:rFonts w:ascii="Times New Roman" w:eastAsia="Times New Roman" w:hAnsi="Times New Roman" w:cs="Times New Roman"/>
                <w:color w:val="000000"/>
                <w:sz w:val="22"/>
                <w:szCs w:val="22"/>
              </w:rPr>
              <w:t xml:space="preserve"> </w:t>
            </w:r>
            <w:r w:rsidRPr="006B75B7">
              <w:rPr>
                <w:rFonts w:ascii="Times New Roman" w:eastAsia="Times New Roman" w:hAnsi="Times New Roman" w:cs="Times New Roman"/>
                <w:i/>
                <w:color w:val="000000"/>
                <w:sz w:val="22"/>
                <w:szCs w:val="22"/>
              </w:rPr>
              <w:t>gltA1</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0FB49AD4"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70438CD9" w14:textId="77777777" w:rsidTr="006B75B7">
        <w:trPr>
          <w:trHeight w:val="238"/>
        </w:trPr>
        <w:tc>
          <w:tcPr>
            <w:tcW w:w="1818" w:type="dxa"/>
            <w:vAlign w:val="center"/>
          </w:tcPr>
          <w:p w14:paraId="2717389C"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EQ121</w:t>
            </w:r>
          </w:p>
        </w:tc>
        <w:tc>
          <w:tcPr>
            <w:tcW w:w="5670" w:type="dxa"/>
            <w:vAlign w:val="center"/>
          </w:tcPr>
          <w:p w14:paraId="40E36D6C" w14:textId="77777777" w:rsidR="001E48EE" w:rsidRPr="006B75B7" w:rsidRDefault="001E48E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REL607 Ara</w:t>
            </w:r>
            <w:r w:rsidRPr="006B75B7">
              <w:rPr>
                <w:rFonts w:ascii="Times New Roman" w:eastAsia="Times New Roman" w:hAnsi="Times New Roman" w:cs="Times New Roman"/>
                <w:color w:val="000000"/>
                <w:sz w:val="22"/>
                <w:szCs w:val="22"/>
                <w:vertAlign w:val="superscript"/>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dctA</w:t>
            </w:r>
            <w:proofErr w:type="spellEnd"/>
            <w:r w:rsidRPr="006B75B7">
              <w:rPr>
                <w:rFonts w:ascii="Times New Roman" w:eastAsia="Times New Roman" w:hAnsi="Times New Roman" w:cs="Times New Roman"/>
                <w:i/>
                <w:color w:val="000000"/>
                <w:sz w:val="22"/>
                <w:szCs w:val="22"/>
              </w:rPr>
              <w:t>*</w:t>
            </w:r>
            <w:r w:rsidRPr="006B75B7">
              <w:rPr>
                <w:rFonts w:ascii="Times New Roman" w:eastAsia="Times New Roman" w:hAnsi="Times New Roman" w:cs="Times New Roman"/>
                <w:color w:val="000000"/>
                <w:sz w:val="22"/>
                <w:szCs w:val="22"/>
              </w:rPr>
              <w:t xml:space="preserve">, </w:t>
            </w:r>
            <w:r w:rsidRPr="006B75B7">
              <w:rPr>
                <w:rFonts w:ascii="Times New Roman" w:eastAsia="Times New Roman" w:hAnsi="Times New Roman" w:cs="Times New Roman"/>
                <w:i/>
                <w:color w:val="000000"/>
                <w:sz w:val="22"/>
                <w:szCs w:val="22"/>
              </w:rPr>
              <w:t>gltA1</w:t>
            </w:r>
            <w:r w:rsidRPr="006B75B7">
              <w:rPr>
                <w:rFonts w:ascii="Times New Roman" w:eastAsia="Times New Roman" w:hAnsi="Times New Roman" w:cs="Times New Roman"/>
                <w:color w:val="000000"/>
                <w:sz w:val="22"/>
                <w:szCs w:val="22"/>
              </w:rPr>
              <w:t xml:space="preserve">, </w:t>
            </w:r>
            <w:r w:rsidRPr="006B75B7">
              <w:rPr>
                <w:rFonts w:ascii="Times New Roman" w:eastAsia="Times New Roman" w:hAnsi="Times New Roman" w:cs="Times New Roman"/>
                <w:i/>
                <w:color w:val="000000"/>
                <w:sz w:val="22"/>
                <w:szCs w:val="22"/>
              </w:rPr>
              <w:t>gltA2-R</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6FE99D46"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541BBE" w:rsidRPr="00954753" w14:paraId="1CEA5D3E" w14:textId="77777777" w:rsidTr="006B75B7">
        <w:trPr>
          <w:trHeight w:val="238"/>
        </w:trPr>
        <w:tc>
          <w:tcPr>
            <w:tcW w:w="1818" w:type="dxa"/>
            <w:vAlign w:val="center"/>
          </w:tcPr>
          <w:p w14:paraId="487E2824" w14:textId="100E4DAA" w:rsidR="00541BBE" w:rsidRPr="006B75B7" w:rsidRDefault="00541BB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EQ128</w:t>
            </w:r>
          </w:p>
        </w:tc>
        <w:tc>
          <w:tcPr>
            <w:tcW w:w="5670" w:type="dxa"/>
            <w:vAlign w:val="center"/>
          </w:tcPr>
          <w:p w14:paraId="2AD6D827" w14:textId="419FFC62" w:rsidR="00541BBE" w:rsidRPr="006B75B7" w:rsidRDefault="00541BB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 xml:space="preserve">REL607 </w:t>
            </w:r>
            <w:r w:rsidR="00446F1D" w:rsidRPr="006B75B7">
              <w:rPr>
                <w:rFonts w:ascii="Times New Roman" w:eastAsia="Times New Roman" w:hAnsi="Times New Roman" w:cs="Times New Roman"/>
                <w:color w:val="000000"/>
                <w:sz w:val="22"/>
                <w:szCs w:val="22"/>
              </w:rPr>
              <w:t>Ara</w:t>
            </w:r>
            <w:r w:rsidR="00446F1D" w:rsidRPr="006B75B7">
              <w:rPr>
                <w:rFonts w:ascii="Times New Roman" w:eastAsia="Times New Roman" w:hAnsi="Times New Roman" w:cs="Times New Roman"/>
                <w:color w:val="000000"/>
                <w:sz w:val="22"/>
                <w:szCs w:val="22"/>
                <w:vertAlign w:val="superscript"/>
              </w:rPr>
              <w:t>+</w:t>
            </w:r>
            <w:r w:rsidR="00446F1D" w:rsidRPr="006B75B7">
              <w:rPr>
                <w:rFonts w:ascii="Times New Roman" w:eastAsia="Times New Roman" w:hAnsi="Times New Roman" w:cs="Times New Roman"/>
                <w:color w:val="000000"/>
                <w:sz w:val="22"/>
                <w:szCs w:val="22"/>
              </w:rPr>
              <w:t>,</w:t>
            </w:r>
            <w:r w:rsidR="00446F1D" w:rsidRPr="006B75B7">
              <w:rPr>
                <w:rFonts w:ascii="Times New Roman" w:eastAsia="Times New Roman" w:hAnsi="Times New Roman" w:cs="Times New Roman"/>
                <w:color w:val="000000"/>
                <w:sz w:val="22"/>
                <w:szCs w:val="22"/>
                <w:vertAlign w:val="subscript"/>
              </w:rPr>
              <w:t xml:space="preserve"> </w:t>
            </w:r>
            <w:proofErr w:type="spellStart"/>
            <w:r w:rsidRPr="006B75B7">
              <w:rPr>
                <w:rFonts w:ascii="Times New Roman" w:eastAsia="Times New Roman" w:hAnsi="Times New Roman" w:cs="Times New Roman"/>
                <w:i/>
                <w:color w:val="000000"/>
                <w:sz w:val="22"/>
                <w:szCs w:val="22"/>
              </w:rPr>
              <w:t>iclR</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0F2F194D" w14:textId="40ED3513" w:rsidR="00541BBE" w:rsidRPr="006B75B7" w:rsidRDefault="00541BB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541BBE" w:rsidRPr="00954753" w14:paraId="65EBB2C4" w14:textId="77777777" w:rsidTr="006B75B7">
        <w:trPr>
          <w:trHeight w:val="238"/>
        </w:trPr>
        <w:tc>
          <w:tcPr>
            <w:tcW w:w="1818" w:type="dxa"/>
            <w:vAlign w:val="center"/>
          </w:tcPr>
          <w:p w14:paraId="0D2708B9" w14:textId="36454A53" w:rsidR="00541BBE" w:rsidRPr="006B75B7" w:rsidRDefault="00541BB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EQ129</w:t>
            </w:r>
          </w:p>
        </w:tc>
        <w:tc>
          <w:tcPr>
            <w:tcW w:w="5670" w:type="dxa"/>
            <w:vAlign w:val="center"/>
          </w:tcPr>
          <w:p w14:paraId="2D866000" w14:textId="324E3F86" w:rsidR="00541BBE" w:rsidRPr="006B75B7" w:rsidRDefault="00541BB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 xml:space="preserve">REL607 </w:t>
            </w:r>
            <w:r w:rsidR="00446F1D" w:rsidRPr="006B75B7">
              <w:rPr>
                <w:rFonts w:ascii="Times New Roman" w:eastAsia="Times New Roman" w:hAnsi="Times New Roman" w:cs="Times New Roman"/>
                <w:color w:val="000000"/>
                <w:sz w:val="22"/>
                <w:szCs w:val="22"/>
              </w:rPr>
              <w:t>Ara</w:t>
            </w:r>
            <w:r w:rsidR="00446F1D" w:rsidRPr="006B75B7">
              <w:rPr>
                <w:rFonts w:ascii="Times New Roman" w:eastAsia="Times New Roman" w:hAnsi="Times New Roman" w:cs="Times New Roman"/>
                <w:color w:val="000000"/>
                <w:sz w:val="22"/>
                <w:szCs w:val="22"/>
                <w:vertAlign w:val="superscript"/>
              </w:rPr>
              <w:t>+</w:t>
            </w:r>
            <w:proofErr w:type="gramStart"/>
            <w:r w:rsidR="00446F1D" w:rsidRPr="006B75B7">
              <w:rPr>
                <w:rFonts w:ascii="Times New Roman" w:eastAsia="Times New Roman" w:hAnsi="Times New Roman" w:cs="Times New Roman"/>
                <w:color w:val="000000"/>
                <w:sz w:val="22"/>
                <w:szCs w:val="22"/>
              </w:rPr>
              <w:t xml:space="preserve">, </w:t>
            </w:r>
            <w:r w:rsidR="00446F1D" w:rsidRPr="006B75B7">
              <w:rPr>
                <w:rFonts w:ascii="Times New Roman" w:eastAsia="Times New Roman" w:hAnsi="Times New Roman" w:cs="Times New Roman"/>
                <w:color w:val="000000"/>
                <w:sz w:val="22"/>
                <w:szCs w:val="22"/>
                <w:vertAlign w:val="subscript"/>
              </w:rPr>
              <w:t xml:space="preserve"> </w:t>
            </w:r>
            <w:proofErr w:type="spellStart"/>
            <w:r w:rsidRPr="006B75B7">
              <w:rPr>
                <w:rFonts w:ascii="Times New Roman" w:eastAsia="Times New Roman" w:hAnsi="Times New Roman" w:cs="Times New Roman"/>
                <w:i/>
                <w:color w:val="000000"/>
                <w:sz w:val="22"/>
                <w:szCs w:val="22"/>
              </w:rPr>
              <w:t>arcB</w:t>
            </w:r>
            <w:proofErr w:type="spellEnd"/>
            <w:proofErr w:type="gram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171D9BB8" w14:textId="6719FDC8" w:rsidR="00541BBE" w:rsidRPr="006B75B7" w:rsidRDefault="00541BB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541BBE" w:rsidRPr="00954753" w14:paraId="6F6831E9" w14:textId="77777777" w:rsidTr="006B75B7">
        <w:trPr>
          <w:trHeight w:val="238"/>
        </w:trPr>
        <w:tc>
          <w:tcPr>
            <w:tcW w:w="1818" w:type="dxa"/>
            <w:vAlign w:val="center"/>
          </w:tcPr>
          <w:p w14:paraId="4EE7D4A8" w14:textId="4E1EEF39" w:rsidR="00541BBE" w:rsidRPr="006B75B7" w:rsidRDefault="00541BB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EQ131</w:t>
            </w:r>
          </w:p>
        </w:tc>
        <w:tc>
          <w:tcPr>
            <w:tcW w:w="5670" w:type="dxa"/>
            <w:vAlign w:val="center"/>
          </w:tcPr>
          <w:p w14:paraId="2ED62027" w14:textId="1F4C4242" w:rsidR="00541BBE" w:rsidRPr="006B75B7" w:rsidRDefault="00541BBE" w:rsidP="002F4277">
            <w:pP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 xml:space="preserve">REL607 </w:t>
            </w:r>
            <w:r w:rsidR="00446F1D" w:rsidRPr="006B75B7">
              <w:rPr>
                <w:rFonts w:ascii="Times New Roman" w:eastAsia="Times New Roman" w:hAnsi="Times New Roman" w:cs="Times New Roman"/>
                <w:color w:val="000000"/>
                <w:sz w:val="22"/>
                <w:szCs w:val="22"/>
              </w:rPr>
              <w:t>Ara</w:t>
            </w:r>
            <w:r w:rsidR="00446F1D" w:rsidRPr="006B75B7">
              <w:rPr>
                <w:rFonts w:ascii="Times New Roman" w:eastAsia="Times New Roman" w:hAnsi="Times New Roman" w:cs="Times New Roman"/>
                <w:color w:val="000000"/>
                <w:sz w:val="22"/>
                <w:szCs w:val="22"/>
                <w:vertAlign w:val="superscript"/>
              </w:rPr>
              <w:t>+</w:t>
            </w:r>
            <w:r w:rsidR="00446F1D"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iclR</w:t>
            </w:r>
            <w:proofErr w:type="spellEnd"/>
            <w:r w:rsidRPr="006B75B7">
              <w:rPr>
                <w:rFonts w:ascii="Times New Roman" w:eastAsia="Times New Roman" w:hAnsi="Times New Roman" w:cs="Times New Roman"/>
                <w:color w:val="000000"/>
                <w:sz w:val="22"/>
                <w:szCs w:val="22"/>
              </w:rPr>
              <w:t xml:space="preserve">, </w:t>
            </w:r>
            <w:proofErr w:type="spellStart"/>
            <w:r w:rsidRPr="006B75B7">
              <w:rPr>
                <w:rFonts w:ascii="Times New Roman" w:eastAsia="Times New Roman" w:hAnsi="Times New Roman" w:cs="Times New Roman"/>
                <w:i/>
                <w:color w:val="000000"/>
                <w:sz w:val="22"/>
                <w:szCs w:val="22"/>
              </w:rPr>
              <w:t>arcB</w:t>
            </w:r>
            <w:proofErr w:type="spellEnd"/>
            <w:r w:rsidRPr="006B75B7">
              <w:rPr>
                <w:rFonts w:ascii="Times New Roman" w:eastAsia="Times New Roman" w:hAnsi="Times New Roman" w:cs="Times New Roman"/>
                <w:i/>
                <w:color w:val="000000"/>
                <w:sz w:val="22"/>
                <w:szCs w:val="22"/>
              </w:rPr>
              <w:t>,</w:t>
            </w:r>
            <w:r w:rsidRPr="006B75B7">
              <w:rPr>
                <w:rFonts w:ascii="Times New Roman" w:eastAsia="Times New Roman" w:hAnsi="Times New Roman" w:cs="Times New Roman"/>
                <w:color w:val="000000"/>
                <w:sz w:val="22"/>
                <w:szCs w:val="22"/>
              </w:rPr>
              <w:t xml:space="preserve"> </w:t>
            </w:r>
            <w:proofErr w:type="spellStart"/>
            <w:r w:rsidRPr="006B75B7">
              <w:rPr>
                <w:rFonts w:ascii="Times New Roman" w:hAnsi="Times New Roman" w:cs="Times New Roman"/>
                <w:sz w:val="22"/>
                <w:szCs w:val="22"/>
              </w:rPr>
              <w:t>Cit</w:t>
            </w:r>
            <w:proofErr w:type="spellEnd"/>
            <w:r w:rsidRPr="006B75B7">
              <w:rPr>
                <w:rFonts w:ascii="Times New Roman" w:hAnsi="Times New Roman" w:cs="Times New Roman"/>
                <w:color w:val="000000"/>
                <w:sz w:val="22"/>
                <w:szCs w:val="22"/>
                <w:vertAlign w:val="superscript"/>
              </w:rPr>
              <w:t>–</w:t>
            </w:r>
          </w:p>
        </w:tc>
        <w:tc>
          <w:tcPr>
            <w:tcW w:w="2088" w:type="dxa"/>
            <w:vAlign w:val="center"/>
          </w:tcPr>
          <w:p w14:paraId="679C39F4" w14:textId="6B29C05D" w:rsidR="00541BBE" w:rsidRPr="006B75B7" w:rsidRDefault="00541BB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5C4CA479" w14:textId="77777777" w:rsidTr="006B75B7">
        <w:trPr>
          <w:trHeight w:val="323"/>
        </w:trPr>
        <w:tc>
          <w:tcPr>
            <w:tcW w:w="1818" w:type="dxa"/>
            <w:vAlign w:val="center"/>
          </w:tcPr>
          <w:p w14:paraId="6A7F5BC9" w14:textId="77777777" w:rsidR="001E48EE" w:rsidRPr="006B75B7" w:rsidRDefault="001E48EE" w:rsidP="002F4277">
            <w:pPr>
              <w:jc w:val="center"/>
              <w:rPr>
                <w:rFonts w:ascii="Times New Roman" w:eastAsia="Times New Roman" w:hAnsi="Times New Roman" w:cs="Times New Roman"/>
                <w:b/>
                <w:color w:val="000000"/>
                <w:sz w:val="22"/>
                <w:szCs w:val="22"/>
              </w:rPr>
            </w:pPr>
            <w:r w:rsidRPr="006B75B7">
              <w:rPr>
                <w:rFonts w:ascii="Times New Roman" w:eastAsia="Times New Roman" w:hAnsi="Times New Roman" w:cs="Times New Roman"/>
                <w:b/>
                <w:color w:val="000000"/>
                <w:sz w:val="22"/>
                <w:szCs w:val="22"/>
              </w:rPr>
              <w:t>Plasmid</w:t>
            </w:r>
          </w:p>
        </w:tc>
        <w:tc>
          <w:tcPr>
            <w:tcW w:w="5670" w:type="dxa"/>
            <w:vAlign w:val="center"/>
          </w:tcPr>
          <w:p w14:paraId="32F13112" w14:textId="77777777" w:rsidR="001E48EE" w:rsidRPr="006B75B7" w:rsidRDefault="001E48EE" w:rsidP="002F4277">
            <w:pPr>
              <w:jc w:val="center"/>
              <w:rPr>
                <w:rFonts w:ascii="Times New Roman" w:eastAsia="Times New Roman" w:hAnsi="Times New Roman" w:cs="Times New Roman"/>
                <w:b/>
                <w:color w:val="000000"/>
                <w:sz w:val="22"/>
                <w:szCs w:val="22"/>
              </w:rPr>
            </w:pPr>
            <w:r w:rsidRPr="006B75B7">
              <w:rPr>
                <w:rFonts w:ascii="Times New Roman" w:hAnsi="Times New Roman" w:cs="Times New Roman"/>
                <w:b/>
                <w:sz w:val="22"/>
                <w:szCs w:val="22"/>
              </w:rPr>
              <w:t>Relevant characteristic</w:t>
            </w:r>
          </w:p>
        </w:tc>
        <w:tc>
          <w:tcPr>
            <w:tcW w:w="2088" w:type="dxa"/>
            <w:vAlign w:val="center"/>
          </w:tcPr>
          <w:p w14:paraId="69F44D76" w14:textId="77777777" w:rsidR="001E48EE" w:rsidRPr="006B75B7" w:rsidRDefault="001E48EE" w:rsidP="00095D52">
            <w:pPr>
              <w:jc w:val="center"/>
              <w:rPr>
                <w:rFonts w:ascii="Times New Roman" w:hAnsi="Times New Roman" w:cs="Times New Roman"/>
                <w:b/>
                <w:sz w:val="22"/>
                <w:szCs w:val="22"/>
              </w:rPr>
            </w:pPr>
            <w:r w:rsidRPr="006B75B7">
              <w:rPr>
                <w:rFonts w:ascii="Times New Roman" w:hAnsi="Times New Roman" w:cs="Times New Roman"/>
                <w:b/>
                <w:sz w:val="22"/>
                <w:szCs w:val="22"/>
              </w:rPr>
              <w:t>Reference</w:t>
            </w:r>
          </w:p>
        </w:tc>
      </w:tr>
      <w:tr w:rsidR="001E48EE" w:rsidRPr="00954753" w14:paraId="4FA0789C" w14:textId="77777777" w:rsidTr="006B75B7">
        <w:trPr>
          <w:trHeight w:val="238"/>
        </w:trPr>
        <w:tc>
          <w:tcPr>
            <w:tcW w:w="1818" w:type="dxa"/>
            <w:vAlign w:val="center"/>
          </w:tcPr>
          <w:p w14:paraId="034E926C" w14:textId="77777777" w:rsidR="001E48EE" w:rsidRPr="006B75B7" w:rsidRDefault="001E48EE" w:rsidP="002F4277">
            <w:pPr>
              <w:jc w:val="cente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gltA1</w:t>
            </w:r>
            <w:proofErr w:type="gramEnd"/>
            <w:r w:rsidRPr="006B75B7">
              <w:rPr>
                <w:rFonts w:ascii="Times New Roman" w:eastAsia="Times New Roman" w:hAnsi="Times New Roman" w:cs="Times New Roman"/>
                <w:color w:val="000000"/>
                <w:sz w:val="22"/>
                <w:szCs w:val="22"/>
              </w:rPr>
              <w:t>-pKO3</w:t>
            </w:r>
          </w:p>
        </w:tc>
        <w:tc>
          <w:tcPr>
            <w:tcW w:w="5670" w:type="dxa"/>
            <w:vAlign w:val="center"/>
          </w:tcPr>
          <w:p w14:paraId="7853F240"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pKO3</w:t>
            </w:r>
            <w:proofErr w:type="gramEnd"/>
            <w:r w:rsidRPr="006B75B7">
              <w:rPr>
                <w:rFonts w:ascii="Times New Roman" w:eastAsia="Times New Roman" w:hAnsi="Times New Roman" w:cs="Times New Roman"/>
                <w:color w:val="000000"/>
                <w:sz w:val="22"/>
                <w:szCs w:val="22"/>
              </w:rPr>
              <w:t xml:space="preserve"> derivative for introduction of </w:t>
            </w:r>
            <w:r w:rsidRPr="006B75B7">
              <w:rPr>
                <w:rFonts w:ascii="Times New Roman" w:eastAsia="Times New Roman" w:hAnsi="Times New Roman" w:cs="Times New Roman"/>
                <w:i/>
                <w:color w:val="000000"/>
                <w:sz w:val="22"/>
                <w:szCs w:val="22"/>
              </w:rPr>
              <w:t>gltA1</w:t>
            </w:r>
            <w:r w:rsidRPr="006B75B7">
              <w:rPr>
                <w:rFonts w:ascii="Times New Roman" w:eastAsia="Times New Roman" w:hAnsi="Times New Roman" w:cs="Times New Roman"/>
                <w:color w:val="000000"/>
                <w:sz w:val="22"/>
                <w:szCs w:val="22"/>
              </w:rPr>
              <w:t>(A258T) mutation</w:t>
            </w:r>
          </w:p>
        </w:tc>
        <w:tc>
          <w:tcPr>
            <w:tcW w:w="2088" w:type="dxa"/>
            <w:vAlign w:val="center"/>
          </w:tcPr>
          <w:p w14:paraId="47818A39"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1F28005D" w14:textId="77777777" w:rsidTr="006B75B7">
        <w:trPr>
          <w:trHeight w:val="224"/>
        </w:trPr>
        <w:tc>
          <w:tcPr>
            <w:tcW w:w="1818" w:type="dxa"/>
            <w:vAlign w:val="center"/>
          </w:tcPr>
          <w:p w14:paraId="5A3FD296" w14:textId="77777777" w:rsidR="001E48EE" w:rsidRPr="006B75B7" w:rsidRDefault="001E48EE" w:rsidP="002F4277">
            <w:pPr>
              <w:jc w:val="cente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gltA</w:t>
            </w:r>
            <w:r w:rsidRPr="006B75B7">
              <w:rPr>
                <w:rFonts w:ascii="Times New Roman" w:eastAsia="Times New Roman" w:hAnsi="Times New Roman" w:cs="Times New Roman"/>
                <w:color w:val="000000"/>
                <w:sz w:val="22"/>
                <w:szCs w:val="22"/>
                <w:vertAlign w:val="superscript"/>
              </w:rPr>
              <w:t>wt</w:t>
            </w:r>
            <w:proofErr w:type="gramEnd"/>
            <w:r w:rsidRPr="006B75B7">
              <w:rPr>
                <w:rFonts w:ascii="Times New Roman" w:eastAsia="Times New Roman" w:hAnsi="Times New Roman" w:cs="Times New Roman"/>
                <w:color w:val="000000"/>
                <w:sz w:val="22"/>
                <w:szCs w:val="22"/>
              </w:rPr>
              <w:t>-pKO3</w:t>
            </w:r>
          </w:p>
        </w:tc>
        <w:tc>
          <w:tcPr>
            <w:tcW w:w="5670" w:type="dxa"/>
            <w:vAlign w:val="center"/>
          </w:tcPr>
          <w:p w14:paraId="5D7E9D22"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pKO3</w:t>
            </w:r>
            <w:proofErr w:type="gramEnd"/>
            <w:r w:rsidRPr="006B75B7">
              <w:rPr>
                <w:rFonts w:ascii="Times New Roman" w:eastAsia="Times New Roman" w:hAnsi="Times New Roman" w:cs="Times New Roman"/>
                <w:color w:val="000000"/>
                <w:sz w:val="22"/>
                <w:szCs w:val="22"/>
              </w:rPr>
              <w:t xml:space="preserve"> derivative for introduction of </w:t>
            </w:r>
            <w:proofErr w:type="spellStart"/>
            <w:r w:rsidRPr="006B75B7">
              <w:rPr>
                <w:rFonts w:ascii="Times New Roman" w:eastAsia="Times New Roman" w:hAnsi="Times New Roman" w:cs="Times New Roman"/>
                <w:i/>
                <w:color w:val="000000"/>
                <w:sz w:val="22"/>
                <w:szCs w:val="22"/>
              </w:rPr>
              <w:t>gltA</w:t>
            </w:r>
            <w:r w:rsidRPr="006B75B7">
              <w:rPr>
                <w:rFonts w:ascii="Times New Roman" w:eastAsia="Times New Roman" w:hAnsi="Times New Roman" w:cs="Times New Roman"/>
                <w:i/>
                <w:color w:val="000000"/>
                <w:sz w:val="22"/>
                <w:szCs w:val="22"/>
                <w:vertAlign w:val="superscript"/>
              </w:rPr>
              <w:t>wt</w:t>
            </w:r>
            <w:proofErr w:type="spellEnd"/>
            <w:r w:rsidRPr="006B75B7">
              <w:rPr>
                <w:rFonts w:ascii="Times New Roman" w:eastAsia="Times New Roman" w:hAnsi="Times New Roman" w:cs="Times New Roman"/>
                <w:color w:val="000000"/>
                <w:sz w:val="22"/>
                <w:szCs w:val="22"/>
              </w:rPr>
              <w:t xml:space="preserve"> (A258) mutation</w:t>
            </w:r>
          </w:p>
        </w:tc>
        <w:tc>
          <w:tcPr>
            <w:tcW w:w="2088" w:type="dxa"/>
            <w:vAlign w:val="center"/>
          </w:tcPr>
          <w:p w14:paraId="5D5EF69E"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7AB28C12" w14:textId="77777777" w:rsidTr="006B75B7">
        <w:trPr>
          <w:trHeight w:val="238"/>
        </w:trPr>
        <w:tc>
          <w:tcPr>
            <w:tcW w:w="1818" w:type="dxa"/>
            <w:vAlign w:val="center"/>
          </w:tcPr>
          <w:p w14:paraId="5CA2B804" w14:textId="77777777" w:rsidR="001E48EE" w:rsidRPr="006B75B7" w:rsidRDefault="001E48EE" w:rsidP="002F4277">
            <w:pPr>
              <w:jc w:val="cente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iclR</w:t>
            </w:r>
            <w:proofErr w:type="gramEnd"/>
            <w:r w:rsidRPr="006B75B7">
              <w:rPr>
                <w:rFonts w:ascii="Times New Roman" w:eastAsia="Times New Roman" w:hAnsi="Times New Roman" w:cs="Times New Roman"/>
                <w:color w:val="000000"/>
                <w:sz w:val="22"/>
                <w:szCs w:val="22"/>
              </w:rPr>
              <w:t>-pKO3</w:t>
            </w:r>
          </w:p>
        </w:tc>
        <w:tc>
          <w:tcPr>
            <w:tcW w:w="5670" w:type="dxa"/>
            <w:vAlign w:val="center"/>
          </w:tcPr>
          <w:p w14:paraId="697A4F30"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pKO3</w:t>
            </w:r>
            <w:proofErr w:type="gramEnd"/>
            <w:r w:rsidRPr="006B75B7">
              <w:rPr>
                <w:rFonts w:ascii="Times New Roman" w:eastAsia="Times New Roman" w:hAnsi="Times New Roman" w:cs="Times New Roman"/>
                <w:color w:val="000000"/>
                <w:sz w:val="22"/>
                <w:szCs w:val="22"/>
              </w:rPr>
              <w:t xml:space="preserve"> derivative for introduction of </w:t>
            </w:r>
            <w:proofErr w:type="spellStart"/>
            <w:r w:rsidRPr="006B75B7">
              <w:rPr>
                <w:rFonts w:ascii="Times New Roman" w:eastAsia="Times New Roman" w:hAnsi="Times New Roman" w:cs="Times New Roman"/>
                <w:i/>
                <w:color w:val="000000"/>
                <w:sz w:val="22"/>
                <w:szCs w:val="22"/>
              </w:rPr>
              <w:t>iclR</w:t>
            </w:r>
            <w:proofErr w:type="spellEnd"/>
            <w:r w:rsidRPr="006B75B7">
              <w:rPr>
                <w:rFonts w:ascii="Times New Roman" w:eastAsia="Times New Roman" w:hAnsi="Times New Roman" w:cs="Times New Roman"/>
                <w:color w:val="000000"/>
                <w:sz w:val="22"/>
                <w:szCs w:val="22"/>
              </w:rPr>
              <w:t xml:space="preserve"> (L201R) mutation</w:t>
            </w:r>
          </w:p>
        </w:tc>
        <w:tc>
          <w:tcPr>
            <w:tcW w:w="2088" w:type="dxa"/>
            <w:vAlign w:val="center"/>
          </w:tcPr>
          <w:p w14:paraId="143CC732"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381F5A9A" w14:textId="77777777" w:rsidTr="006B75B7">
        <w:trPr>
          <w:trHeight w:val="224"/>
        </w:trPr>
        <w:tc>
          <w:tcPr>
            <w:tcW w:w="1818" w:type="dxa"/>
            <w:vAlign w:val="center"/>
          </w:tcPr>
          <w:p w14:paraId="2EB4969C" w14:textId="77777777" w:rsidR="001E48EE" w:rsidRPr="006B75B7" w:rsidRDefault="001E48EE" w:rsidP="002F4277">
            <w:pPr>
              <w:jc w:val="cente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arcB</w:t>
            </w:r>
            <w:proofErr w:type="gramEnd"/>
            <w:r w:rsidRPr="006B75B7">
              <w:rPr>
                <w:rFonts w:ascii="Times New Roman" w:eastAsia="Times New Roman" w:hAnsi="Times New Roman" w:cs="Times New Roman"/>
                <w:color w:val="000000"/>
                <w:sz w:val="22"/>
                <w:szCs w:val="22"/>
              </w:rPr>
              <w:t>-pKO3</w:t>
            </w:r>
          </w:p>
        </w:tc>
        <w:tc>
          <w:tcPr>
            <w:tcW w:w="5670" w:type="dxa"/>
            <w:vAlign w:val="center"/>
          </w:tcPr>
          <w:p w14:paraId="6102B31D"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pKO3</w:t>
            </w:r>
            <w:proofErr w:type="gramEnd"/>
            <w:r w:rsidRPr="006B75B7">
              <w:rPr>
                <w:rFonts w:ascii="Times New Roman" w:eastAsia="Times New Roman" w:hAnsi="Times New Roman" w:cs="Times New Roman"/>
                <w:color w:val="000000"/>
                <w:sz w:val="22"/>
                <w:szCs w:val="22"/>
              </w:rPr>
              <w:t xml:space="preserve"> derivative for introduction of </w:t>
            </w:r>
            <w:proofErr w:type="spellStart"/>
            <w:r w:rsidRPr="006B75B7">
              <w:rPr>
                <w:rFonts w:ascii="Times New Roman" w:eastAsia="Times New Roman" w:hAnsi="Times New Roman" w:cs="Times New Roman"/>
                <w:i/>
                <w:color w:val="000000"/>
                <w:sz w:val="22"/>
                <w:szCs w:val="22"/>
              </w:rPr>
              <w:t>arcB</w:t>
            </w:r>
            <w:proofErr w:type="spellEnd"/>
            <w:r w:rsidRPr="006B75B7">
              <w:rPr>
                <w:rFonts w:ascii="Times New Roman" w:eastAsia="Times New Roman" w:hAnsi="Times New Roman" w:cs="Times New Roman"/>
                <w:color w:val="000000"/>
                <w:sz w:val="22"/>
                <w:szCs w:val="22"/>
              </w:rPr>
              <w:t xml:space="preserve"> (Q79L) mutation</w:t>
            </w:r>
          </w:p>
        </w:tc>
        <w:tc>
          <w:tcPr>
            <w:tcW w:w="2088" w:type="dxa"/>
            <w:vAlign w:val="center"/>
          </w:tcPr>
          <w:p w14:paraId="3F9E5493"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7D3A71EA" w14:textId="77777777" w:rsidTr="006B75B7">
        <w:trPr>
          <w:trHeight w:val="238"/>
        </w:trPr>
        <w:tc>
          <w:tcPr>
            <w:tcW w:w="1818" w:type="dxa"/>
            <w:vAlign w:val="center"/>
          </w:tcPr>
          <w:p w14:paraId="25E39F90" w14:textId="77777777" w:rsidR="001E48EE" w:rsidRPr="006B75B7" w:rsidRDefault="001E48EE" w:rsidP="002F4277">
            <w:pPr>
              <w:jc w:val="center"/>
              <w:rPr>
                <w:rFonts w:ascii="Times New Roman" w:eastAsia="Times New Roman" w:hAnsi="Times New Roman" w:cs="Times New Roman"/>
                <w:color w:val="000000"/>
                <w:sz w:val="22"/>
                <w:szCs w:val="22"/>
              </w:rPr>
            </w:pPr>
            <w:proofErr w:type="spellStart"/>
            <w:proofErr w:type="gramStart"/>
            <w:r w:rsidRPr="006B75B7">
              <w:rPr>
                <w:rFonts w:ascii="Times New Roman" w:eastAsia="Times New Roman" w:hAnsi="Times New Roman" w:cs="Times New Roman"/>
                <w:color w:val="000000"/>
                <w:sz w:val="22"/>
                <w:szCs w:val="22"/>
              </w:rPr>
              <w:t>pCitT</w:t>
            </w:r>
            <w:proofErr w:type="spellEnd"/>
            <w:proofErr w:type="gramEnd"/>
          </w:p>
        </w:tc>
        <w:tc>
          <w:tcPr>
            <w:tcW w:w="5670" w:type="dxa"/>
            <w:vAlign w:val="center"/>
          </w:tcPr>
          <w:p w14:paraId="286D1415"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pSB3K3</w:t>
            </w:r>
            <w:proofErr w:type="gramEnd"/>
            <w:r w:rsidRPr="006B75B7">
              <w:rPr>
                <w:rFonts w:ascii="Times New Roman" w:eastAsia="Times New Roman" w:hAnsi="Times New Roman" w:cs="Times New Roman"/>
                <w:color w:val="000000"/>
                <w:sz w:val="22"/>
                <w:szCs w:val="22"/>
              </w:rPr>
              <w:t xml:space="preserve"> derivative containing </w:t>
            </w:r>
            <w:proofErr w:type="spellStart"/>
            <w:r w:rsidRPr="006B75B7">
              <w:rPr>
                <w:rFonts w:ascii="Times New Roman" w:eastAsia="Times New Roman" w:hAnsi="Times New Roman" w:cs="Times New Roman"/>
                <w:i/>
                <w:color w:val="000000"/>
                <w:sz w:val="22"/>
                <w:szCs w:val="22"/>
              </w:rPr>
              <w:t>rnk</w:t>
            </w:r>
            <w:r w:rsidRPr="006B75B7">
              <w:rPr>
                <w:rFonts w:ascii="Times New Roman" w:eastAsia="Times New Roman" w:hAnsi="Times New Roman" w:cs="Times New Roman"/>
                <w:color w:val="000000"/>
                <w:sz w:val="22"/>
                <w:szCs w:val="22"/>
              </w:rPr>
              <w:t>-</w:t>
            </w:r>
            <w:r w:rsidRPr="006B75B7">
              <w:rPr>
                <w:rFonts w:ascii="Times New Roman" w:eastAsia="Times New Roman" w:hAnsi="Times New Roman" w:cs="Times New Roman"/>
                <w:i/>
                <w:color w:val="000000"/>
                <w:sz w:val="22"/>
                <w:szCs w:val="22"/>
              </w:rPr>
              <w:t>citT</w:t>
            </w:r>
            <w:proofErr w:type="spellEnd"/>
            <w:r w:rsidRPr="006B75B7">
              <w:rPr>
                <w:rFonts w:ascii="Times New Roman" w:eastAsia="Times New Roman" w:hAnsi="Times New Roman" w:cs="Times New Roman"/>
                <w:color w:val="000000"/>
                <w:sz w:val="22"/>
                <w:szCs w:val="22"/>
              </w:rPr>
              <w:t xml:space="preserve"> mutation</w:t>
            </w:r>
          </w:p>
        </w:tc>
        <w:tc>
          <w:tcPr>
            <w:tcW w:w="2088" w:type="dxa"/>
            <w:vAlign w:val="center"/>
          </w:tcPr>
          <w:p w14:paraId="7BA82904" w14:textId="59EA8CFA"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fldChar w:fldCharType="begin" w:fldLock="1"/>
            </w:r>
            <w:r w:rsidR="002F4277" w:rsidRPr="006B75B7">
              <w:rPr>
                <w:rFonts w:ascii="Times New Roman" w:hAnsi="Times New Roman" w:cs="Times New Roman"/>
                <w:sz w:val="22"/>
                <w:szCs w:val="22"/>
              </w:rPr>
              <w:instrText>ADDIN CSL_CITATION { "citationItems" : [ { "id" : "ITEM-1", "itemData" : { "DOI" : "10.1073/pnas.1314561111", "ISBN" : "1314561111", "ISSN" : "1091-6490", "PMID" : "24379390", "abstract" : "Evolutionary innovations often arise from complex genetic and ecological interactions, which can make it challenging to understand retrospectively how a novel trait arose. In a long-term experiment, Escherichia coli gained the ability to use abundant citrate (Cit(+)) in the growth medium after \u223c31,500 generations of evolution. Exploiting this previously untapped resource was highly beneficial: later Cit(+) variants achieve a much higher population density in this environment. All Cit(+) individuals share a mutation that activates aerobic expression of the citT citrate transporter, but this mutation confers only an extremely weak Cit(+) phenotype on its own. To determine which of the other &gt;70 mutations in early Cit(+) clones were needed to take full advantage of citrate, we developed a recursive genomewide recombination and sequencing method (REGRES) and performed genetic backcrosses to purge mutations not required for Cit(+) from an evolved strain. We discovered a mutation that increased expression of the dctA C4-dicarboxylate transporter greatly enhanced the Cit(+) phenotype after it evolved. Surprisingly, strains containing just the citT and dctA mutations fully use citrate, indicating that earlier mutations thought to have potentiated the initial evolution of Cit(+) are not required for expression of the refined version of this trait. Instead, this metabolic innovation may be contingent on a genetic background, and possibly ecological context, that enabled citT mutants to persist among competitors long enough to obtain dctA or equivalent mutations that conferred an overwhelming advantage. More generally, refinement of an emergent trait from a rudimentary form may be crucial to its evolutionary success.", "author" : [ { "dropping-particle" : "", "family" : "Quandt", "given" : "Erik M", "non-dropping-particle" : "", "parse-names" : false, "suffix" : "" }, { "dropping-particle" : "", "family" : "Deatherage", "given" : "Daniel E", "non-dropping-particle" : "", "parse-names" : false, "suffix" : "" }, { "dropping-particle" : "", "family" : "Ellington", "given" : "Andrew D", "non-dropping-particle" : "", "parse-names" : false, "suffix" : "" }, { "dropping-particle" : "", "family" : "Georgiou", "given" : "George", "non-dropping-particle" : "", "parse-names" : false, "suffix" : "" }, { "dropping-particle" : "", "family" : "Barrick", "given" : "Jeffrey E", "non-dropping-particle" : "", "parse-names" : false, "suffix" : "" } ], "container-title" : "Proceedings of the National Academy of Sciences of the United States of America", "id" : "ITEM-1", "issue" : "6", "issued" : { "date-parts" : [ [ "2014", "2" ] ] }, "page" : "2217-22", "title" : "Recursive genomewide recombination and sequencing reveals a key refinement step in the evolution of a metabolic innovation in &lt;i&gt;Escherichia coli&lt;/i&gt;.", "type" : "article-journal", "volume" : "111" }, "uris" : [ "http://www.mendeley.com/documents/?uuid=30c21dd9-8cd3-4044-9d05-6dc6ab6b6677" ] } ], "mendeley" : { "formattedCitation" : "(Quandt et al., 2014)", "plainTextFormattedCitation" : "(Quandt et al., 2014)", "previouslyFormattedCitation" : "(3)" }, "properties" : { "noteIndex" : 0 }, "schema" : "https://github.com/citation-style-language/schema/raw/master/csl-citation.json" }</w:instrText>
            </w:r>
            <w:r w:rsidRPr="006B75B7">
              <w:rPr>
                <w:rFonts w:ascii="Times New Roman" w:hAnsi="Times New Roman" w:cs="Times New Roman"/>
                <w:sz w:val="22"/>
                <w:szCs w:val="22"/>
              </w:rPr>
              <w:fldChar w:fldCharType="separate"/>
            </w:r>
            <w:r w:rsidR="002F4277" w:rsidRPr="006B75B7">
              <w:rPr>
                <w:rFonts w:ascii="Times New Roman" w:hAnsi="Times New Roman" w:cs="Times New Roman"/>
                <w:noProof/>
                <w:sz w:val="22"/>
                <w:szCs w:val="22"/>
              </w:rPr>
              <w:t>(Quandt et al., 2014)</w:t>
            </w:r>
            <w:r w:rsidRPr="006B75B7">
              <w:rPr>
                <w:rFonts w:ascii="Times New Roman" w:hAnsi="Times New Roman" w:cs="Times New Roman"/>
                <w:sz w:val="22"/>
                <w:szCs w:val="22"/>
              </w:rPr>
              <w:fldChar w:fldCharType="end"/>
            </w:r>
          </w:p>
        </w:tc>
      </w:tr>
      <w:tr w:rsidR="001E48EE" w:rsidRPr="00954753" w14:paraId="59CF0338" w14:textId="77777777" w:rsidTr="006B75B7">
        <w:trPr>
          <w:trHeight w:val="224"/>
        </w:trPr>
        <w:tc>
          <w:tcPr>
            <w:tcW w:w="1818" w:type="dxa"/>
            <w:vAlign w:val="center"/>
          </w:tcPr>
          <w:p w14:paraId="46311AC3"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-gltA-pET28b</w:t>
            </w:r>
          </w:p>
        </w:tc>
        <w:tc>
          <w:tcPr>
            <w:tcW w:w="5670" w:type="dxa"/>
            <w:vAlign w:val="center"/>
          </w:tcPr>
          <w:p w14:paraId="64DC9550"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pET28b</w:t>
            </w:r>
            <w:proofErr w:type="gramEnd"/>
            <w:r w:rsidRPr="006B75B7">
              <w:rPr>
                <w:rFonts w:ascii="Times New Roman" w:eastAsia="Times New Roman" w:hAnsi="Times New Roman" w:cs="Times New Roman"/>
                <w:color w:val="000000"/>
                <w:sz w:val="22"/>
                <w:szCs w:val="22"/>
              </w:rPr>
              <w:t xml:space="preserve"> derivative for inducible expression of 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 xml:space="preserve">-WT </w:t>
            </w:r>
            <w:proofErr w:type="spellStart"/>
            <w:r w:rsidRPr="006B75B7">
              <w:rPr>
                <w:rFonts w:ascii="Times New Roman" w:eastAsia="Times New Roman" w:hAnsi="Times New Roman" w:cs="Times New Roman"/>
                <w:color w:val="000000"/>
                <w:sz w:val="22"/>
                <w:szCs w:val="22"/>
              </w:rPr>
              <w:t>GltA</w:t>
            </w:r>
            <w:proofErr w:type="spellEnd"/>
            <w:r w:rsidRPr="006B75B7">
              <w:rPr>
                <w:rFonts w:ascii="Times New Roman" w:eastAsia="Times New Roman" w:hAnsi="Times New Roman" w:cs="Times New Roman"/>
                <w:color w:val="000000"/>
                <w:sz w:val="22"/>
                <w:szCs w:val="22"/>
              </w:rPr>
              <w:t xml:space="preserve"> protein</w:t>
            </w:r>
          </w:p>
        </w:tc>
        <w:tc>
          <w:tcPr>
            <w:tcW w:w="2088" w:type="dxa"/>
            <w:vAlign w:val="center"/>
          </w:tcPr>
          <w:p w14:paraId="7D58FC2B"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06DA4FBC" w14:textId="77777777" w:rsidTr="006B75B7">
        <w:trPr>
          <w:trHeight w:val="461"/>
        </w:trPr>
        <w:tc>
          <w:tcPr>
            <w:tcW w:w="1818" w:type="dxa"/>
            <w:vAlign w:val="center"/>
          </w:tcPr>
          <w:p w14:paraId="75BB5016"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w:t>
            </w:r>
            <w:proofErr w:type="gramStart"/>
            <w:r w:rsidRPr="006B75B7">
              <w:rPr>
                <w:rFonts w:ascii="Times New Roman" w:eastAsia="Times New Roman" w:hAnsi="Times New Roman" w:cs="Times New Roman"/>
                <w:color w:val="000000"/>
                <w:sz w:val="22"/>
                <w:szCs w:val="22"/>
              </w:rPr>
              <w:t>gltA(</w:t>
            </w:r>
            <w:proofErr w:type="gramEnd"/>
            <w:r w:rsidRPr="006B75B7">
              <w:rPr>
                <w:rFonts w:ascii="Times New Roman" w:eastAsia="Times New Roman" w:hAnsi="Times New Roman" w:cs="Times New Roman"/>
                <w:color w:val="000000"/>
                <w:sz w:val="22"/>
                <w:szCs w:val="22"/>
              </w:rPr>
              <w:t>A258T)-pET28b</w:t>
            </w:r>
          </w:p>
        </w:tc>
        <w:tc>
          <w:tcPr>
            <w:tcW w:w="5670" w:type="dxa"/>
            <w:vAlign w:val="center"/>
          </w:tcPr>
          <w:p w14:paraId="2DFC468B"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pET28b</w:t>
            </w:r>
            <w:proofErr w:type="gramEnd"/>
            <w:r w:rsidRPr="006B75B7">
              <w:rPr>
                <w:rFonts w:ascii="Times New Roman" w:eastAsia="Times New Roman" w:hAnsi="Times New Roman" w:cs="Times New Roman"/>
                <w:color w:val="000000"/>
                <w:sz w:val="22"/>
                <w:szCs w:val="22"/>
              </w:rPr>
              <w:t xml:space="preserve"> derivative for inducible expression of 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-GltA(A258T) protein</w:t>
            </w:r>
          </w:p>
        </w:tc>
        <w:tc>
          <w:tcPr>
            <w:tcW w:w="2088" w:type="dxa"/>
            <w:vAlign w:val="center"/>
          </w:tcPr>
          <w:p w14:paraId="422B0136"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7FEDCADD" w14:textId="77777777" w:rsidTr="006B75B7">
        <w:trPr>
          <w:trHeight w:val="474"/>
        </w:trPr>
        <w:tc>
          <w:tcPr>
            <w:tcW w:w="1818" w:type="dxa"/>
            <w:vAlign w:val="center"/>
          </w:tcPr>
          <w:p w14:paraId="00318DFB"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w:t>
            </w:r>
            <w:proofErr w:type="gramStart"/>
            <w:r w:rsidRPr="006B75B7">
              <w:rPr>
                <w:rFonts w:ascii="Times New Roman" w:eastAsia="Times New Roman" w:hAnsi="Times New Roman" w:cs="Times New Roman"/>
                <w:color w:val="000000"/>
                <w:sz w:val="22"/>
                <w:szCs w:val="22"/>
              </w:rPr>
              <w:t>gltA(</w:t>
            </w:r>
            <w:proofErr w:type="gramEnd"/>
            <w:r w:rsidRPr="006B75B7">
              <w:rPr>
                <w:rFonts w:ascii="Times New Roman" w:eastAsia="Times New Roman" w:hAnsi="Times New Roman" w:cs="Times New Roman"/>
                <w:color w:val="000000"/>
                <w:sz w:val="22"/>
                <w:szCs w:val="22"/>
              </w:rPr>
              <w:t>A258T, A162V)-pET28b</w:t>
            </w:r>
          </w:p>
        </w:tc>
        <w:tc>
          <w:tcPr>
            <w:tcW w:w="5670" w:type="dxa"/>
            <w:vAlign w:val="center"/>
          </w:tcPr>
          <w:p w14:paraId="08208FE2"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pET28b</w:t>
            </w:r>
            <w:proofErr w:type="gramEnd"/>
            <w:r w:rsidRPr="006B75B7">
              <w:rPr>
                <w:rFonts w:ascii="Times New Roman" w:eastAsia="Times New Roman" w:hAnsi="Times New Roman" w:cs="Times New Roman"/>
                <w:color w:val="000000"/>
                <w:sz w:val="22"/>
                <w:szCs w:val="22"/>
              </w:rPr>
              <w:t xml:space="preserve"> derivative for inducible expression of 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-GltA(A258T, A162V) protein</w:t>
            </w:r>
          </w:p>
        </w:tc>
        <w:tc>
          <w:tcPr>
            <w:tcW w:w="2088" w:type="dxa"/>
            <w:vAlign w:val="center"/>
          </w:tcPr>
          <w:p w14:paraId="643C7F55"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r w:rsidR="001E48EE" w:rsidRPr="00954753" w14:paraId="14384E50" w14:textId="77777777" w:rsidTr="006B75B7">
        <w:trPr>
          <w:trHeight w:val="474"/>
        </w:trPr>
        <w:tc>
          <w:tcPr>
            <w:tcW w:w="1818" w:type="dxa"/>
            <w:vAlign w:val="center"/>
          </w:tcPr>
          <w:p w14:paraId="608C7FE3" w14:textId="77777777" w:rsidR="001E48EE" w:rsidRPr="006B75B7" w:rsidRDefault="001E48EE" w:rsidP="002F4277">
            <w:pPr>
              <w:jc w:val="center"/>
              <w:rPr>
                <w:rFonts w:ascii="Times New Roman" w:eastAsia="Times New Roman" w:hAnsi="Times New Roman" w:cs="Times New Roman"/>
                <w:color w:val="000000"/>
                <w:sz w:val="22"/>
                <w:szCs w:val="22"/>
              </w:rPr>
            </w:pPr>
            <w:r w:rsidRPr="006B75B7">
              <w:rPr>
                <w:rFonts w:ascii="Times New Roman" w:eastAsia="Times New Roman" w:hAnsi="Times New Roman" w:cs="Times New Roman"/>
                <w:color w:val="000000"/>
                <w:sz w:val="22"/>
                <w:szCs w:val="22"/>
              </w:rPr>
              <w:t>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w:t>
            </w:r>
            <w:proofErr w:type="gramStart"/>
            <w:r w:rsidRPr="006B75B7">
              <w:rPr>
                <w:rFonts w:ascii="Times New Roman" w:eastAsia="Times New Roman" w:hAnsi="Times New Roman" w:cs="Times New Roman"/>
                <w:color w:val="000000"/>
                <w:sz w:val="22"/>
                <w:szCs w:val="22"/>
              </w:rPr>
              <w:t>gltA(</w:t>
            </w:r>
            <w:proofErr w:type="gramEnd"/>
            <w:r w:rsidRPr="006B75B7">
              <w:rPr>
                <w:rFonts w:ascii="Times New Roman" w:eastAsia="Times New Roman" w:hAnsi="Times New Roman" w:cs="Times New Roman"/>
                <w:color w:val="000000"/>
                <w:sz w:val="22"/>
                <w:szCs w:val="22"/>
              </w:rPr>
              <w:t>A258T, A124T)-pET28b</w:t>
            </w:r>
          </w:p>
        </w:tc>
        <w:tc>
          <w:tcPr>
            <w:tcW w:w="5670" w:type="dxa"/>
            <w:vAlign w:val="center"/>
          </w:tcPr>
          <w:p w14:paraId="09130E32" w14:textId="77777777" w:rsidR="001E48EE" w:rsidRPr="006B75B7" w:rsidRDefault="001E48EE" w:rsidP="002F4277">
            <w:pPr>
              <w:rPr>
                <w:rFonts w:ascii="Times New Roman" w:eastAsia="Times New Roman" w:hAnsi="Times New Roman" w:cs="Times New Roman"/>
                <w:color w:val="000000"/>
                <w:sz w:val="22"/>
                <w:szCs w:val="22"/>
              </w:rPr>
            </w:pPr>
            <w:proofErr w:type="gramStart"/>
            <w:r w:rsidRPr="006B75B7">
              <w:rPr>
                <w:rFonts w:ascii="Times New Roman" w:eastAsia="Times New Roman" w:hAnsi="Times New Roman" w:cs="Times New Roman"/>
                <w:color w:val="000000"/>
                <w:sz w:val="22"/>
                <w:szCs w:val="22"/>
              </w:rPr>
              <w:t>pET28b</w:t>
            </w:r>
            <w:proofErr w:type="gramEnd"/>
            <w:r w:rsidRPr="006B75B7">
              <w:rPr>
                <w:rFonts w:ascii="Times New Roman" w:eastAsia="Times New Roman" w:hAnsi="Times New Roman" w:cs="Times New Roman"/>
                <w:color w:val="000000"/>
                <w:sz w:val="22"/>
                <w:szCs w:val="22"/>
              </w:rPr>
              <w:t xml:space="preserve"> derivative for inducible expression of His</w:t>
            </w:r>
            <w:r w:rsidRPr="006B75B7">
              <w:rPr>
                <w:rFonts w:ascii="Times New Roman" w:eastAsia="Times New Roman" w:hAnsi="Times New Roman" w:cs="Times New Roman"/>
                <w:color w:val="000000"/>
                <w:sz w:val="22"/>
                <w:szCs w:val="22"/>
                <w:vertAlign w:val="subscript"/>
              </w:rPr>
              <w:t>6</w:t>
            </w:r>
            <w:r w:rsidRPr="006B75B7">
              <w:rPr>
                <w:rFonts w:ascii="Times New Roman" w:eastAsia="Times New Roman" w:hAnsi="Times New Roman" w:cs="Times New Roman"/>
                <w:color w:val="000000"/>
                <w:sz w:val="22"/>
                <w:szCs w:val="22"/>
              </w:rPr>
              <w:t>-GltA(A258T,A124T) protein</w:t>
            </w:r>
          </w:p>
        </w:tc>
        <w:tc>
          <w:tcPr>
            <w:tcW w:w="2088" w:type="dxa"/>
            <w:vAlign w:val="center"/>
          </w:tcPr>
          <w:p w14:paraId="3B1448C4" w14:textId="77777777" w:rsidR="001E48EE" w:rsidRPr="006B75B7" w:rsidRDefault="001E48EE" w:rsidP="00095D52">
            <w:pPr>
              <w:jc w:val="center"/>
              <w:rPr>
                <w:rFonts w:ascii="Times New Roman" w:hAnsi="Times New Roman" w:cs="Times New Roman"/>
                <w:sz w:val="22"/>
                <w:szCs w:val="22"/>
              </w:rPr>
            </w:pPr>
            <w:r w:rsidRPr="006B75B7">
              <w:rPr>
                <w:rFonts w:ascii="Times New Roman" w:hAnsi="Times New Roman" w:cs="Times New Roman"/>
                <w:sz w:val="22"/>
                <w:szCs w:val="22"/>
              </w:rPr>
              <w:t>This work</w:t>
            </w:r>
          </w:p>
        </w:tc>
      </w:tr>
    </w:tbl>
    <w:p w14:paraId="0944C84B" w14:textId="3A9C8CC4" w:rsidR="00986E91" w:rsidRPr="00457691" w:rsidRDefault="00986E91" w:rsidP="002F4277">
      <w:pPr>
        <w:pStyle w:val="NormalWeb"/>
        <w:ind w:left="640" w:hanging="640"/>
        <w:divId w:val="47579890"/>
        <w:rPr>
          <w:rFonts w:eastAsia="Times New Roman"/>
          <w:bCs/>
          <w:color w:val="000000"/>
        </w:rPr>
      </w:pPr>
    </w:p>
    <w:sectPr w:rsidR="00986E91" w:rsidRPr="00457691" w:rsidSect="00C21C9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grammar="clean"/>
  <w:defaultTabStop w:val="720"/>
  <w:evenAndOddHeaders/>
  <w:drawingGridHorizontalSpacing w:val="120"/>
  <w:drawingGridVerticalSpacing w:val="1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C99"/>
    <w:rsid w:val="00003B31"/>
    <w:rsid w:val="00007210"/>
    <w:rsid w:val="00007770"/>
    <w:rsid w:val="0002210A"/>
    <w:rsid w:val="00024FFC"/>
    <w:rsid w:val="0002614B"/>
    <w:rsid w:val="00032B82"/>
    <w:rsid w:val="00045788"/>
    <w:rsid w:val="000665FF"/>
    <w:rsid w:val="0007052E"/>
    <w:rsid w:val="00080C20"/>
    <w:rsid w:val="00083CB6"/>
    <w:rsid w:val="00095D52"/>
    <w:rsid w:val="000B61B2"/>
    <w:rsid w:val="000E547B"/>
    <w:rsid w:val="000F130E"/>
    <w:rsid w:val="00115C07"/>
    <w:rsid w:val="001424EE"/>
    <w:rsid w:val="001C51DA"/>
    <w:rsid w:val="001C64FC"/>
    <w:rsid w:val="001D117E"/>
    <w:rsid w:val="001D4103"/>
    <w:rsid w:val="001E1B13"/>
    <w:rsid w:val="001E48EE"/>
    <w:rsid w:val="00235648"/>
    <w:rsid w:val="0026404D"/>
    <w:rsid w:val="0026430A"/>
    <w:rsid w:val="002C3A44"/>
    <w:rsid w:val="002E48CA"/>
    <w:rsid w:val="002E69BF"/>
    <w:rsid w:val="002F4277"/>
    <w:rsid w:val="00316088"/>
    <w:rsid w:val="003224E4"/>
    <w:rsid w:val="003528F0"/>
    <w:rsid w:val="00354169"/>
    <w:rsid w:val="003648CD"/>
    <w:rsid w:val="00364D28"/>
    <w:rsid w:val="00366089"/>
    <w:rsid w:val="003660C4"/>
    <w:rsid w:val="003719DD"/>
    <w:rsid w:val="003906E8"/>
    <w:rsid w:val="003956E7"/>
    <w:rsid w:val="003A1B40"/>
    <w:rsid w:val="003A383D"/>
    <w:rsid w:val="003B65FD"/>
    <w:rsid w:val="003C3F69"/>
    <w:rsid w:val="003C41D4"/>
    <w:rsid w:val="003D4787"/>
    <w:rsid w:val="00426D71"/>
    <w:rsid w:val="004369F1"/>
    <w:rsid w:val="00446F1D"/>
    <w:rsid w:val="00446F6C"/>
    <w:rsid w:val="00457691"/>
    <w:rsid w:val="0046505C"/>
    <w:rsid w:val="00480ACD"/>
    <w:rsid w:val="0048345D"/>
    <w:rsid w:val="00490492"/>
    <w:rsid w:val="004947BD"/>
    <w:rsid w:val="00494EAA"/>
    <w:rsid w:val="0049747A"/>
    <w:rsid w:val="004B58E2"/>
    <w:rsid w:val="00500847"/>
    <w:rsid w:val="005170E3"/>
    <w:rsid w:val="005372A4"/>
    <w:rsid w:val="0054177D"/>
    <w:rsid w:val="00541BBE"/>
    <w:rsid w:val="00546316"/>
    <w:rsid w:val="00553235"/>
    <w:rsid w:val="00592B97"/>
    <w:rsid w:val="005B729C"/>
    <w:rsid w:val="005D13F0"/>
    <w:rsid w:val="005F383B"/>
    <w:rsid w:val="005F5BA6"/>
    <w:rsid w:val="006003D5"/>
    <w:rsid w:val="00612BA4"/>
    <w:rsid w:val="00621112"/>
    <w:rsid w:val="00624342"/>
    <w:rsid w:val="006265D3"/>
    <w:rsid w:val="00626BEE"/>
    <w:rsid w:val="00641140"/>
    <w:rsid w:val="0066787E"/>
    <w:rsid w:val="0067389B"/>
    <w:rsid w:val="006779E1"/>
    <w:rsid w:val="006835B1"/>
    <w:rsid w:val="00691628"/>
    <w:rsid w:val="006A5507"/>
    <w:rsid w:val="006B59E1"/>
    <w:rsid w:val="006B72E5"/>
    <w:rsid w:val="006B75B7"/>
    <w:rsid w:val="006C0B7B"/>
    <w:rsid w:val="006D1A1E"/>
    <w:rsid w:val="006D3748"/>
    <w:rsid w:val="006E6A00"/>
    <w:rsid w:val="006F1DB0"/>
    <w:rsid w:val="006F7832"/>
    <w:rsid w:val="006F7B3A"/>
    <w:rsid w:val="00704FDD"/>
    <w:rsid w:val="00741EB4"/>
    <w:rsid w:val="007722A6"/>
    <w:rsid w:val="007C2784"/>
    <w:rsid w:val="007E2044"/>
    <w:rsid w:val="007E471E"/>
    <w:rsid w:val="00802BDE"/>
    <w:rsid w:val="00820472"/>
    <w:rsid w:val="008236C1"/>
    <w:rsid w:val="00833B46"/>
    <w:rsid w:val="00846C26"/>
    <w:rsid w:val="008531B5"/>
    <w:rsid w:val="00876B34"/>
    <w:rsid w:val="00877584"/>
    <w:rsid w:val="008A2E3F"/>
    <w:rsid w:val="0091109D"/>
    <w:rsid w:val="00913242"/>
    <w:rsid w:val="009229F5"/>
    <w:rsid w:val="009328A8"/>
    <w:rsid w:val="00940269"/>
    <w:rsid w:val="00955DEC"/>
    <w:rsid w:val="00977D00"/>
    <w:rsid w:val="00986E91"/>
    <w:rsid w:val="009A0A45"/>
    <w:rsid w:val="009B3CE4"/>
    <w:rsid w:val="009B6C64"/>
    <w:rsid w:val="009C541C"/>
    <w:rsid w:val="009E1688"/>
    <w:rsid w:val="009E4360"/>
    <w:rsid w:val="009E5EBD"/>
    <w:rsid w:val="00A0365F"/>
    <w:rsid w:val="00A10A44"/>
    <w:rsid w:val="00A15A89"/>
    <w:rsid w:val="00A342B0"/>
    <w:rsid w:val="00A7757B"/>
    <w:rsid w:val="00AA4BEC"/>
    <w:rsid w:val="00AA5D4C"/>
    <w:rsid w:val="00AB59A4"/>
    <w:rsid w:val="00AC3DC7"/>
    <w:rsid w:val="00AE1789"/>
    <w:rsid w:val="00AF1566"/>
    <w:rsid w:val="00B36EB4"/>
    <w:rsid w:val="00B46CCC"/>
    <w:rsid w:val="00B52F54"/>
    <w:rsid w:val="00B541F9"/>
    <w:rsid w:val="00B675C1"/>
    <w:rsid w:val="00B72A96"/>
    <w:rsid w:val="00B770F6"/>
    <w:rsid w:val="00B85C49"/>
    <w:rsid w:val="00BA5BAC"/>
    <w:rsid w:val="00BA5C77"/>
    <w:rsid w:val="00BC046E"/>
    <w:rsid w:val="00BC54E5"/>
    <w:rsid w:val="00BC5F00"/>
    <w:rsid w:val="00BC7617"/>
    <w:rsid w:val="00C21C99"/>
    <w:rsid w:val="00C3261D"/>
    <w:rsid w:val="00C40556"/>
    <w:rsid w:val="00C50BBA"/>
    <w:rsid w:val="00C63E1E"/>
    <w:rsid w:val="00C66D08"/>
    <w:rsid w:val="00C91175"/>
    <w:rsid w:val="00CA1AFE"/>
    <w:rsid w:val="00CB7326"/>
    <w:rsid w:val="00CD60B3"/>
    <w:rsid w:val="00D25729"/>
    <w:rsid w:val="00D331C6"/>
    <w:rsid w:val="00D8256A"/>
    <w:rsid w:val="00D9152E"/>
    <w:rsid w:val="00DA19CC"/>
    <w:rsid w:val="00DC121E"/>
    <w:rsid w:val="00DD6064"/>
    <w:rsid w:val="00DD6202"/>
    <w:rsid w:val="00DE69DE"/>
    <w:rsid w:val="00DF7BF1"/>
    <w:rsid w:val="00E05CD2"/>
    <w:rsid w:val="00E2075F"/>
    <w:rsid w:val="00E454F1"/>
    <w:rsid w:val="00E5706D"/>
    <w:rsid w:val="00E57A75"/>
    <w:rsid w:val="00E63726"/>
    <w:rsid w:val="00EA4050"/>
    <w:rsid w:val="00EA7F6B"/>
    <w:rsid w:val="00EC48A6"/>
    <w:rsid w:val="00ED66E6"/>
    <w:rsid w:val="00EE53A3"/>
    <w:rsid w:val="00EE6AFB"/>
    <w:rsid w:val="00F045FB"/>
    <w:rsid w:val="00F064BC"/>
    <w:rsid w:val="00F06AF8"/>
    <w:rsid w:val="00F108B4"/>
    <w:rsid w:val="00F33234"/>
    <w:rsid w:val="00F403B1"/>
    <w:rsid w:val="00F579A9"/>
    <w:rsid w:val="00F64DBA"/>
    <w:rsid w:val="00FA172C"/>
    <w:rsid w:val="00FC47DA"/>
    <w:rsid w:val="00FD4536"/>
    <w:rsid w:val="00FD4EA4"/>
    <w:rsid w:val="00FE16C2"/>
    <w:rsid w:val="00FF1D2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03C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1D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next w:val="Normal"/>
    <w:rsid w:val="001C51DA"/>
    <w:pPr>
      <w:spacing w:line="480" w:lineRule="auto"/>
      <w:ind w:left="360" w:right="360"/>
    </w:pPr>
  </w:style>
  <w:style w:type="character" w:customStyle="1" w:styleId="P1">
    <w:name w:val="P1"/>
    <w:basedOn w:val="DefaultParagraphFont"/>
    <w:rsid w:val="005372A4"/>
    <w:rPr>
      <w:color w:val="FFFFFF"/>
      <w:bdr w:val="none" w:sz="0" w:space="0" w:color="auto"/>
      <w:shd w:val="solid" w:color="0000FF" w:fill="auto"/>
    </w:rPr>
  </w:style>
  <w:style w:type="character" w:styleId="CommentReference">
    <w:name w:val="annotation reference"/>
    <w:uiPriority w:val="99"/>
    <w:semiHidden/>
    <w:unhideWhenUsed/>
    <w:rsid w:val="005B729C"/>
    <w:rPr>
      <w:sz w:val="18"/>
      <w:szCs w:val="18"/>
    </w:rPr>
  </w:style>
  <w:style w:type="paragraph" w:styleId="CommentText">
    <w:name w:val="annotation text"/>
    <w:basedOn w:val="Normal"/>
    <w:link w:val="CommentTextChar"/>
    <w:uiPriority w:val="99"/>
    <w:semiHidden/>
    <w:unhideWhenUsed/>
    <w:rsid w:val="005B729C"/>
    <w:rPr>
      <w:rFonts w:ascii="Cambria" w:eastAsia="MS Mincho" w:hAnsi="Cambria" w:cs="Times New Roman"/>
      <w:szCs w:val="24"/>
      <w:lang w:eastAsia="en-US"/>
    </w:rPr>
  </w:style>
  <w:style w:type="character" w:customStyle="1" w:styleId="CommentTextChar">
    <w:name w:val="Comment Text Char"/>
    <w:basedOn w:val="DefaultParagraphFont"/>
    <w:link w:val="CommentText"/>
    <w:uiPriority w:val="99"/>
    <w:semiHidden/>
    <w:rsid w:val="005B729C"/>
    <w:rPr>
      <w:rFonts w:ascii="Cambria" w:eastAsia="MS Mincho" w:hAnsi="Cambria" w:cs="Times New Roman"/>
      <w:sz w:val="24"/>
      <w:szCs w:val="24"/>
      <w:lang w:eastAsia="en-US"/>
    </w:rPr>
  </w:style>
  <w:style w:type="paragraph" w:styleId="BalloonText">
    <w:name w:val="Balloon Text"/>
    <w:basedOn w:val="Normal"/>
    <w:link w:val="BalloonTextChar"/>
    <w:uiPriority w:val="99"/>
    <w:semiHidden/>
    <w:unhideWhenUsed/>
    <w:rsid w:val="005B72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729C"/>
    <w:rPr>
      <w:rFonts w:ascii="Lucida Grande" w:hAnsi="Lucida Grande" w:cs="Lucida Grande"/>
      <w:sz w:val="18"/>
      <w:szCs w:val="18"/>
    </w:rPr>
  </w:style>
  <w:style w:type="table" w:styleId="TableGrid">
    <w:name w:val="Table Grid"/>
    <w:basedOn w:val="TableNormal"/>
    <w:uiPriority w:val="59"/>
    <w:rsid w:val="001E48EE"/>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E48EE"/>
    <w:pPr>
      <w:spacing w:before="100" w:beforeAutospacing="1" w:after="100" w:afterAutospacing="1"/>
    </w:pPr>
    <w:rPr>
      <w:rFonts w:ascii="Times New Roman" w:hAnsi="Times New Roman" w:cs="Times New Roman"/>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1D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next w:val="Normal"/>
    <w:rsid w:val="001C51DA"/>
    <w:pPr>
      <w:spacing w:line="480" w:lineRule="auto"/>
      <w:ind w:left="360" w:right="360"/>
    </w:pPr>
  </w:style>
  <w:style w:type="character" w:customStyle="1" w:styleId="P1">
    <w:name w:val="P1"/>
    <w:basedOn w:val="DefaultParagraphFont"/>
    <w:rsid w:val="005372A4"/>
    <w:rPr>
      <w:color w:val="FFFFFF"/>
      <w:bdr w:val="none" w:sz="0" w:space="0" w:color="auto"/>
      <w:shd w:val="solid" w:color="0000FF" w:fill="auto"/>
    </w:rPr>
  </w:style>
  <w:style w:type="character" w:styleId="CommentReference">
    <w:name w:val="annotation reference"/>
    <w:uiPriority w:val="99"/>
    <w:semiHidden/>
    <w:unhideWhenUsed/>
    <w:rsid w:val="005B729C"/>
    <w:rPr>
      <w:sz w:val="18"/>
      <w:szCs w:val="18"/>
    </w:rPr>
  </w:style>
  <w:style w:type="paragraph" w:styleId="CommentText">
    <w:name w:val="annotation text"/>
    <w:basedOn w:val="Normal"/>
    <w:link w:val="CommentTextChar"/>
    <w:uiPriority w:val="99"/>
    <w:semiHidden/>
    <w:unhideWhenUsed/>
    <w:rsid w:val="005B729C"/>
    <w:rPr>
      <w:rFonts w:ascii="Cambria" w:eastAsia="MS Mincho" w:hAnsi="Cambria" w:cs="Times New Roman"/>
      <w:szCs w:val="24"/>
      <w:lang w:eastAsia="en-US"/>
    </w:rPr>
  </w:style>
  <w:style w:type="character" w:customStyle="1" w:styleId="CommentTextChar">
    <w:name w:val="Comment Text Char"/>
    <w:basedOn w:val="DefaultParagraphFont"/>
    <w:link w:val="CommentText"/>
    <w:uiPriority w:val="99"/>
    <w:semiHidden/>
    <w:rsid w:val="005B729C"/>
    <w:rPr>
      <w:rFonts w:ascii="Cambria" w:eastAsia="MS Mincho" w:hAnsi="Cambria" w:cs="Times New Roman"/>
      <w:sz w:val="24"/>
      <w:szCs w:val="24"/>
      <w:lang w:eastAsia="en-US"/>
    </w:rPr>
  </w:style>
  <w:style w:type="paragraph" w:styleId="BalloonText">
    <w:name w:val="Balloon Text"/>
    <w:basedOn w:val="Normal"/>
    <w:link w:val="BalloonTextChar"/>
    <w:uiPriority w:val="99"/>
    <w:semiHidden/>
    <w:unhideWhenUsed/>
    <w:rsid w:val="005B72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729C"/>
    <w:rPr>
      <w:rFonts w:ascii="Lucida Grande" w:hAnsi="Lucida Grande" w:cs="Lucida Grande"/>
      <w:sz w:val="18"/>
      <w:szCs w:val="18"/>
    </w:rPr>
  </w:style>
  <w:style w:type="table" w:styleId="TableGrid">
    <w:name w:val="Table Grid"/>
    <w:basedOn w:val="TableNormal"/>
    <w:uiPriority w:val="59"/>
    <w:rsid w:val="001E48EE"/>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E48EE"/>
    <w:pPr>
      <w:spacing w:before="100" w:beforeAutospacing="1" w:after="100" w:afterAutospacing="1"/>
    </w:pPr>
    <w:rPr>
      <w:rFonts w:ascii="Times New Roman" w:hAnsi="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79890">
      <w:bodyDiv w:val="1"/>
      <w:marLeft w:val="0"/>
      <w:marRight w:val="0"/>
      <w:marTop w:val="0"/>
      <w:marBottom w:val="0"/>
      <w:divBdr>
        <w:top w:val="none" w:sz="0" w:space="0" w:color="auto"/>
        <w:left w:val="none" w:sz="0" w:space="0" w:color="auto"/>
        <w:bottom w:val="none" w:sz="0" w:space="0" w:color="auto"/>
        <w:right w:val="none" w:sz="0" w:space="0" w:color="auto"/>
      </w:divBdr>
      <w:divsChild>
        <w:div w:id="372190256">
          <w:marLeft w:val="0"/>
          <w:marRight w:val="0"/>
          <w:marTop w:val="0"/>
          <w:marBottom w:val="0"/>
          <w:divBdr>
            <w:top w:val="none" w:sz="0" w:space="0" w:color="auto"/>
            <w:left w:val="none" w:sz="0" w:space="0" w:color="auto"/>
            <w:bottom w:val="none" w:sz="0" w:space="0" w:color="auto"/>
            <w:right w:val="none" w:sz="0" w:space="0" w:color="auto"/>
          </w:divBdr>
        </w:div>
      </w:divsChild>
    </w:div>
    <w:div w:id="473716086">
      <w:bodyDiv w:val="1"/>
      <w:marLeft w:val="0"/>
      <w:marRight w:val="0"/>
      <w:marTop w:val="0"/>
      <w:marBottom w:val="0"/>
      <w:divBdr>
        <w:top w:val="none" w:sz="0" w:space="0" w:color="auto"/>
        <w:left w:val="none" w:sz="0" w:space="0" w:color="auto"/>
        <w:bottom w:val="none" w:sz="0" w:space="0" w:color="auto"/>
        <w:right w:val="none" w:sz="0" w:space="0" w:color="auto"/>
      </w:divBdr>
    </w:div>
    <w:div w:id="903683330">
      <w:bodyDiv w:val="1"/>
      <w:marLeft w:val="0"/>
      <w:marRight w:val="0"/>
      <w:marTop w:val="0"/>
      <w:marBottom w:val="0"/>
      <w:divBdr>
        <w:top w:val="none" w:sz="0" w:space="0" w:color="auto"/>
        <w:left w:val="none" w:sz="0" w:space="0" w:color="auto"/>
        <w:bottom w:val="none" w:sz="0" w:space="0" w:color="auto"/>
        <w:right w:val="none" w:sz="0" w:space="0" w:color="auto"/>
      </w:divBdr>
    </w:div>
    <w:div w:id="979461736">
      <w:bodyDiv w:val="1"/>
      <w:marLeft w:val="0"/>
      <w:marRight w:val="0"/>
      <w:marTop w:val="0"/>
      <w:marBottom w:val="0"/>
      <w:divBdr>
        <w:top w:val="none" w:sz="0" w:space="0" w:color="auto"/>
        <w:left w:val="none" w:sz="0" w:space="0" w:color="auto"/>
        <w:bottom w:val="none" w:sz="0" w:space="0" w:color="auto"/>
        <w:right w:val="none" w:sz="0" w:space="0" w:color="auto"/>
      </w:divBdr>
    </w:div>
    <w:div w:id="1206912350">
      <w:bodyDiv w:val="1"/>
      <w:marLeft w:val="0"/>
      <w:marRight w:val="0"/>
      <w:marTop w:val="0"/>
      <w:marBottom w:val="0"/>
      <w:divBdr>
        <w:top w:val="none" w:sz="0" w:space="0" w:color="auto"/>
        <w:left w:val="none" w:sz="0" w:space="0" w:color="auto"/>
        <w:bottom w:val="none" w:sz="0" w:space="0" w:color="auto"/>
        <w:right w:val="none" w:sz="0" w:space="0" w:color="auto"/>
      </w:divBdr>
    </w:div>
    <w:div w:id="1336953969">
      <w:bodyDiv w:val="1"/>
      <w:marLeft w:val="0"/>
      <w:marRight w:val="0"/>
      <w:marTop w:val="0"/>
      <w:marBottom w:val="0"/>
      <w:divBdr>
        <w:top w:val="none" w:sz="0" w:space="0" w:color="auto"/>
        <w:left w:val="none" w:sz="0" w:space="0" w:color="auto"/>
        <w:bottom w:val="none" w:sz="0" w:space="0" w:color="auto"/>
        <w:right w:val="none" w:sz="0" w:space="0" w:color="auto"/>
      </w:divBdr>
    </w:div>
    <w:div w:id="20282923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2193</Words>
  <Characters>12506</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Barrick</dc:creator>
  <cp:lastModifiedBy>Jeffrey Barrick</cp:lastModifiedBy>
  <cp:revision>8</cp:revision>
  <cp:lastPrinted>2015-06-10T21:54:00Z</cp:lastPrinted>
  <dcterms:created xsi:type="dcterms:W3CDTF">2015-06-08T19:33:00Z</dcterms:created>
  <dcterms:modified xsi:type="dcterms:W3CDTF">2015-10-09T15:23:00Z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equandt@gmail.com@www.mendeley.com</vt:lpwstr>
  </property>
  <property fmtid="{D5CDD505-2E9C-101B-9397-08002B2CF9AE}" pid="4" name="Mendeley Citation Style_1">
    <vt:lpwstr>http://www.zotero.org/styles/cell</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http://www.zotero.org/styles/cell</vt:lpwstr>
  </property>
  <property fmtid="{D5CDD505-2E9C-101B-9397-08002B2CF9AE}" pid="12" name="Mendeley Recent Style Name 3_1">
    <vt:lpwstr>Cell</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http://www.zotero.org/styles/pnas</vt:lpwstr>
  </property>
  <property fmtid="{D5CDD505-2E9C-101B-9397-08002B2CF9AE}" pid="24" name="Mendeley Recent Style Name 9_1">
    <vt:lpwstr>Proceedings of the National Academy of Sciences of the United States of America</vt:lpwstr>
  </property>
</Properties>
</file>