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3818"/>
        <w:gridCol w:w="2976"/>
        <w:gridCol w:w="2926"/>
      </w:tblGrid>
      <w:tr w:rsidR="00F102CC" w14:paraId="737D6F7F" w14:textId="77777777" w:rsidTr="005F14F7">
        <w:trPr>
          <w:trHeight w:val="425"/>
        </w:trPr>
        <w:tc>
          <w:tcPr>
            <w:tcW w:w="381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97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2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5F14F7">
        <w:trPr>
          <w:trHeight w:val="1047"/>
        </w:trPr>
        <w:tc>
          <w:tcPr>
            <w:tcW w:w="381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976"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6215EDC" w:rsidR="00F102CC" w:rsidRPr="003D5AF6" w:rsidRDefault="006727C0">
            <w:pPr>
              <w:rPr>
                <w:rFonts w:ascii="Noto Sans" w:eastAsia="Noto Sans" w:hAnsi="Noto Sans" w:cs="Noto Sans"/>
                <w:bCs/>
                <w:color w:val="434343"/>
                <w:sz w:val="18"/>
                <w:szCs w:val="18"/>
              </w:rPr>
            </w:pPr>
            <w:r w:rsidRPr="006727C0">
              <w:rPr>
                <w:rFonts w:ascii="Noto Sans" w:eastAsia="Noto Sans" w:hAnsi="Noto Sans" w:cs="Noto Sans"/>
                <w:bCs/>
                <w:color w:val="434343"/>
                <w:sz w:val="18"/>
                <w:szCs w:val="18"/>
              </w:rPr>
              <w:t>Materials and methods section</w:t>
            </w:r>
          </w:p>
        </w:tc>
        <w:tc>
          <w:tcPr>
            <w:tcW w:w="2926"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445435" w:rsidR="00F102CC" w:rsidRPr="003D5AF6" w:rsidRDefault="006B7E1A">
            <w:pPr>
              <w:rPr>
                <w:rFonts w:ascii="Noto Sans" w:eastAsia="Noto Sans" w:hAnsi="Noto Sans" w:cs="Noto Sans"/>
                <w:bCs/>
                <w:color w:val="434343"/>
                <w:sz w:val="18"/>
                <w:szCs w:val="18"/>
              </w:rPr>
            </w:pPr>
            <w:r w:rsidRPr="00A7041A">
              <w:t>Not applicable, no newly created materials in this study</w:t>
            </w:r>
          </w:p>
        </w:tc>
      </w:tr>
      <w:tr w:rsidR="00F102CC" w14:paraId="7791599D" w14:textId="77777777" w:rsidTr="005F14F7">
        <w:trPr>
          <w:trHeight w:val="425"/>
        </w:trPr>
        <w:tc>
          <w:tcPr>
            <w:tcW w:w="3818"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976"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26"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5F14F7">
        <w:trPr>
          <w:trHeight w:val="425"/>
        </w:trPr>
        <w:tc>
          <w:tcPr>
            <w:tcW w:w="381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97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2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5F14F7">
        <w:trPr>
          <w:trHeight w:val="605"/>
        </w:trPr>
        <w:tc>
          <w:tcPr>
            <w:tcW w:w="381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976"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15EA33" w:rsidR="00F102CC" w:rsidRPr="003D5AF6" w:rsidRDefault="00CD588F">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c>
          <w:tcPr>
            <w:tcW w:w="2926"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B721C69" w:rsidR="00F102CC" w:rsidRPr="003D5AF6" w:rsidRDefault="008854C8">
            <w:pPr>
              <w:rPr>
                <w:rFonts w:ascii="Noto Sans" w:eastAsia="Noto Sans" w:hAnsi="Noto Sans" w:cs="Noto Sans"/>
                <w:bCs/>
                <w:color w:val="434343"/>
                <w:sz w:val="18"/>
                <w:szCs w:val="18"/>
              </w:rPr>
            </w:pPr>
            <w:r w:rsidRPr="00A7041A">
              <w:t>N/A</w:t>
            </w:r>
          </w:p>
        </w:tc>
      </w:tr>
      <w:tr w:rsidR="00F102CC" w14:paraId="448FB7EC"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976"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26"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5F14F7">
        <w:trPr>
          <w:trHeight w:val="42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5F14F7">
        <w:trPr>
          <w:trHeight w:val="579"/>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4630AE6" w:rsidR="00F102CC" w:rsidRPr="003D5AF6" w:rsidRDefault="006727C0">
            <w:pPr>
              <w:rPr>
                <w:rFonts w:ascii="Noto Sans" w:eastAsia="Noto Sans" w:hAnsi="Noto Sans" w:cs="Noto Sans" w:hint="eastAsia"/>
                <w:bCs/>
                <w:color w:val="434343"/>
                <w:sz w:val="18"/>
                <w:szCs w:val="18"/>
                <w:lang w:eastAsia="zh-CN"/>
              </w:rPr>
            </w:pPr>
            <w:r w:rsidRPr="006727C0">
              <w:t>Materials and methods section</w:t>
            </w:r>
          </w:p>
        </w:tc>
        <w:tc>
          <w:tcPr>
            <w:tcW w:w="2926"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DED31C" w:rsidR="00F102CC" w:rsidRPr="003D5AF6" w:rsidRDefault="008854C8">
            <w:pPr>
              <w:rPr>
                <w:rFonts w:ascii="Noto Sans" w:eastAsia="Noto Sans" w:hAnsi="Noto Sans" w:cs="Noto Sans"/>
                <w:bCs/>
                <w:color w:val="434343"/>
                <w:sz w:val="18"/>
                <w:szCs w:val="18"/>
              </w:rPr>
            </w:pPr>
            <w:r w:rsidRPr="00A7041A">
              <w:t>All sequencing data are available at GEO accession number GSE248413.</w:t>
            </w:r>
          </w:p>
        </w:tc>
      </w:tr>
      <w:tr w:rsidR="00F102CC" w14:paraId="465EA241" w14:textId="77777777" w:rsidTr="005F14F7">
        <w:trPr>
          <w:trHeight w:val="485"/>
        </w:trPr>
        <w:tc>
          <w:tcPr>
            <w:tcW w:w="3818"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976"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2926"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5F14F7">
        <w:trPr>
          <w:trHeight w:val="42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5F14F7">
        <w:trPr>
          <w:trHeight w:val="990"/>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362592F" w:rsidR="00F102CC" w:rsidRPr="003D5AF6" w:rsidRDefault="00CD588F">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c>
          <w:tcPr>
            <w:tcW w:w="2926"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33A253" w:rsidR="00F102CC" w:rsidRPr="003D5AF6" w:rsidRDefault="008854C8">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r>
      <w:tr w:rsidR="00F102CC" w14:paraId="7D69208A" w14:textId="77777777" w:rsidTr="005F14F7">
        <w:trPr>
          <w:trHeight w:val="605"/>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0E7300F" w:rsidR="00F102CC" w:rsidRPr="003D5AF6" w:rsidRDefault="008854C8">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c>
          <w:tcPr>
            <w:tcW w:w="2926"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2B641F" w:rsidR="00F102CC" w:rsidRPr="003D5AF6" w:rsidRDefault="008854C8">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r>
      <w:tr w:rsidR="00F102CC" w14:paraId="6599BE28"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976"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26"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5F14F7">
        <w:trPr>
          <w:trHeight w:val="42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5F14F7">
        <w:trPr>
          <w:trHeight w:val="1095"/>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EF23A9" w:rsidR="00F102CC" w:rsidRPr="003D5AF6" w:rsidRDefault="006727C0">
            <w:pPr>
              <w:rPr>
                <w:rFonts w:ascii="Noto Sans" w:eastAsia="Noto Sans" w:hAnsi="Noto Sans" w:cs="Noto Sans" w:hint="eastAsia"/>
                <w:bCs/>
                <w:color w:val="434343"/>
                <w:sz w:val="18"/>
                <w:szCs w:val="18"/>
                <w:lang w:eastAsia="zh-CN"/>
              </w:rPr>
            </w:pPr>
            <w:r w:rsidRPr="006727C0">
              <w:t>Materials and methods section (Animals, treatment and tissues subsection)</w:t>
            </w:r>
            <w:r>
              <w:rPr>
                <w:rFonts w:hint="eastAsia"/>
                <w:lang w:eastAsia="zh-CN"/>
              </w:rPr>
              <w:t>.</w:t>
            </w:r>
          </w:p>
        </w:tc>
        <w:tc>
          <w:tcPr>
            <w:tcW w:w="2926"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B18D3E2" w:rsidR="00F102CC" w:rsidRPr="003D5AF6" w:rsidRDefault="008854C8">
            <w:pPr>
              <w:rPr>
                <w:rFonts w:ascii="Noto Sans" w:eastAsia="Noto Sans" w:hAnsi="Noto Sans" w:cs="Noto Sans"/>
                <w:bCs/>
                <w:color w:val="434343"/>
                <w:sz w:val="18"/>
                <w:szCs w:val="18"/>
              </w:rPr>
            </w:pPr>
            <w:r w:rsidRPr="00A7041A">
              <w:t>Norway brown male rats (12 months old and 1-month old) were acquired from Charles River (Beijing).</w:t>
            </w:r>
          </w:p>
        </w:tc>
      </w:tr>
      <w:tr w:rsidR="0091615B" w14:paraId="6BA0CC77" w14:textId="77777777" w:rsidTr="005F14F7">
        <w:trPr>
          <w:trHeight w:val="668"/>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1615B" w:rsidRDefault="0091615B" w:rsidP="0091615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75F95B6" w:rsidR="0091615B" w:rsidRPr="003D5AF6" w:rsidRDefault="0091615B" w:rsidP="0091615B">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c>
          <w:tcPr>
            <w:tcW w:w="2926"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C3DAB9" w:rsidR="0091615B" w:rsidRPr="003D5AF6" w:rsidRDefault="0091615B" w:rsidP="0091615B">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r>
      <w:tr w:rsidR="0091615B" w14:paraId="639E7FE9"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12D0DBA2" w14:textId="77777777" w:rsidR="0091615B" w:rsidRPr="003D5AF6" w:rsidRDefault="0091615B" w:rsidP="0091615B">
            <w:pPr>
              <w:rPr>
                <w:rFonts w:ascii="Noto Sans" w:eastAsia="Noto Sans" w:hAnsi="Noto Sans" w:cs="Noto Sans"/>
                <w:b/>
                <w:color w:val="434343"/>
                <w:sz w:val="16"/>
                <w:szCs w:val="16"/>
              </w:rPr>
            </w:pPr>
          </w:p>
        </w:tc>
        <w:tc>
          <w:tcPr>
            <w:tcW w:w="2976" w:type="dxa"/>
            <w:tcBorders>
              <w:top w:val="nil"/>
              <w:left w:val="nil"/>
              <w:bottom w:val="single" w:sz="8" w:space="0" w:color="000000"/>
              <w:right w:val="nil"/>
            </w:tcBorders>
            <w:tcMar>
              <w:top w:w="100" w:type="dxa"/>
              <w:left w:w="100" w:type="dxa"/>
              <w:bottom w:w="100" w:type="dxa"/>
              <w:right w:w="100" w:type="dxa"/>
            </w:tcMar>
          </w:tcPr>
          <w:p w14:paraId="718686A1" w14:textId="77777777" w:rsidR="0091615B" w:rsidRDefault="0091615B" w:rsidP="0091615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26" w:type="dxa"/>
            <w:tcBorders>
              <w:top w:val="nil"/>
              <w:left w:val="nil"/>
              <w:bottom w:val="single" w:sz="8" w:space="0" w:color="000000"/>
              <w:right w:val="nil"/>
            </w:tcBorders>
            <w:tcMar>
              <w:top w:w="100" w:type="dxa"/>
              <w:left w:w="100" w:type="dxa"/>
              <w:bottom w:w="100" w:type="dxa"/>
              <w:right w:w="100" w:type="dxa"/>
            </w:tcMar>
          </w:tcPr>
          <w:p w14:paraId="50E7B1D8" w14:textId="77777777" w:rsidR="0091615B" w:rsidRDefault="0091615B" w:rsidP="0091615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615B" w14:paraId="18855AA1" w14:textId="77777777" w:rsidTr="005F14F7">
        <w:trPr>
          <w:trHeight w:val="42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1615B" w:rsidRDefault="0091615B" w:rsidP="0091615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1615B" w:rsidRDefault="0091615B" w:rsidP="009161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1615B" w:rsidRDefault="0091615B" w:rsidP="009161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615B" w14:paraId="648DA1AA" w14:textId="77777777" w:rsidTr="005F14F7">
        <w:trPr>
          <w:trHeight w:val="728"/>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1615B" w:rsidRDefault="0091615B" w:rsidP="0091615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8FF1EDD" w:rsidR="0091615B" w:rsidRPr="003D5AF6" w:rsidRDefault="0091615B" w:rsidP="0091615B">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c>
          <w:tcPr>
            <w:tcW w:w="2926"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9B7C83" w:rsidR="0091615B" w:rsidRPr="003D5AF6" w:rsidRDefault="0091615B" w:rsidP="0091615B">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r>
      <w:tr w:rsidR="0091615B" w14:paraId="5468CA71" w14:textId="77777777" w:rsidTr="005F14F7">
        <w:trPr>
          <w:trHeight w:val="574"/>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1615B" w:rsidRDefault="0091615B" w:rsidP="0091615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E4FE384" w:rsidR="0091615B" w:rsidRPr="003D5AF6" w:rsidRDefault="0091615B" w:rsidP="0091615B">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c>
          <w:tcPr>
            <w:tcW w:w="2926"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81305D" w:rsidR="0091615B" w:rsidRPr="003D5AF6" w:rsidRDefault="0091615B" w:rsidP="0091615B">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r>
      <w:tr w:rsidR="0091615B" w14:paraId="7D75567E"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532B269E" w14:textId="77777777" w:rsidR="0091615B" w:rsidRPr="003D5AF6" w:rsidRDefault="0091615B" w:rsidP="0091615B">
            <w:pPr>
              <w:spacing w:line="225" w:lineRule="auto"/>
              <w:rPr>
                <w:rFonts w:ascii="Noto Sans" w:eastAsia="Noto Sans" w:hAnsi="Noto Sans" w:cs="Noto Sans"/>
                <w:b/>
                <w:color w:val="434343"/>
                <w:sz w:val="16"/>
                <w:szCs w:val="16"/>
              </w:rPr>
            </w:pPr>
          </w:p>
        </w:tc>
        <w:tc>
          <w:tcPr>
            <w:tcW w:w="2976" w:type="dxa"/>
            <w:tcBorders>
              <w:top w:val="nil"/>
              <w:left w:val="nil"/>
              <w:bottom w:val="single" w:sz="8" w:space="0" w:color="000000"/>
              <w:right w:val="nil"/>
            </w:tcBorders>
            <w:tcMar>
              <w:top w:w="100" w:type="dxa"/>
              <w:left w:w="100" w:type="dxa"/>
              <w:bottom w:w="100" w:type="dxa"/>
              <w:right w:w="100" w:type="dxa"/>
            </w:tcMar>
          </w:tcPr>
          <w:p w14:paraId="397565DF" w14:textId="77777777" w:rsidR="0091615B" w:rsidRDefault="0091615B" w:rsidP="0091615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26" w:type="dxa"/>
            <w:tcBorders>
              <w:top w:val="nil"/>
              <w:left w:val="nil"/>
              <w:bottom w:val="single" w:sz="8" w:space="0" w:color="000000"/>
              <w:right w:val="nil"/>
            </w:tcBorders>
            <w:tcMar>
              <w:top w:w="100" w:type="dxa"/>
              <w:left w:w="100" w:type="dxa"/>
              <w:bottom w:w="100" w:type="dxa"/>
              <w:right w:w="100" w:type="dxa"/>
            </w:tcMar>
          </w:tcPr>
          <w:p w14:paraId="67D1FA1F" w14:textId="77777777" w:rsidR="0091615B" w:rsidRDefault="0091615B" w:rsidP="0091615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615B" w14:paraId="1AC6616D" w14:textId="77777777" w:rsidTr="005F14F7">
        <w:trPr>
          <w:trHeight w:val="63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1615B" w:rsidRDefault="0091615B" w:rsidP="009161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1615B" w:rsidRDefault="0091615B" w:rsidP="0091615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29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1615B" w:rsidRDefault="0091615B" w:rsidP="009161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615B" w14:paraId="0A22D679" w14:textId="77777777" w:rsidTr="005F14F7">
        <w:trPr>
          <w:trHeight w:val="471"/>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1615B" w:rsidRDefault="0091615B" w:rsidP="0091615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9D839FC" w:rsidR="0091615B" w:rsidRPr="003D5AF6" w:rsidRDefault="0091615B" w:rsidP="0091615B">
            <w:pPr>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c>
          <w:tcPr>
            <w:tcW w:w="2926"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99E765" w:rsidR="0091615B" w:rsidRDefault="0091615B" w:rsidP="0091615B">
            <w:pPr>
              <w:rPr>
                <w:rFonts w:ascii="Noto Sans" w:eastAsia="Noto Sans" w:hAnsi="Noto Sans" w:cs="Noto Sans"/>
                <w:b/>
                <w:color w:val="434343"/>
                <w:sz w:val="18"/>
                <w:szCs w:val="18"/>
              </w:rPr>
            </w:pPr>
            <w:r w:rsidRPr="00CD588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3818"/>
        <w:gridCol w:w="2976"/>
        <w:gridCol w:w="2896"/>
      </w:tblGrid>
      <w:tr w:rsidR="00F102CC" w14:paraId="449C5579" w14:textId="77777777" w:rsidTr="005F14F7">
        <w:trPr>
          <w:trHeight w:val="470"/>
        </w:trPr>
        <w:tc>
          <w:tcPr>
            <w:tcW w:w="381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97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89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5F14F7">
        <w:trPr>
          <w:trHeight w:val="606"/>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C408138" w:rsidR="00F102CC" w:rsidRPr="003D5AF6" w:rsidRDefault="00D10DE6">
            <w:pPr>
              <w:spacing w:line="225" w:lineRule="auto"/>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976"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896"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5F14F7">
        <w:trPr>
          <w:trHeight w:val="42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89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5F14F7">
        <w:trPr>
          <w:trHeight w:val="515"/>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1AA394F" w:rsidR="00F102CC" w:rsidRPr="003D5AF6" w:rsidRDefault="00D10DE6">
            <w:pPr>
              <w:spacing w:line="225" w:lineRule="auto"/>
              <w:rPr>
                <w:rFonts w:ascii="Noto Sans" w:eastAsia="Noto Sans" w:hAnsi="Noto Sans" w:cs="Noto Sans"/>
                <w:bCs/>
                <w:color w:val="434343"/>
                <w:sz w:val="18"/>
                <w:szCs w:val="18"/>
              </w:rPr>
            </w:pPr>
            <w:r w:rsidRPr="00CD588F">
              <w:rPr>
                <w:rFonts w:ascii="Noto Sans" w:eastAsia="Noto Sans" w:hAnsi="Noto Sans" w:cs="Noto Sans"/>
                <w:bCs/>
                <w:color w:val="434343"/>
                <w:sz w:val="18"/>
                <w:szCs w:val="18"/>
              </w:rPr>
              <w:t>N/A</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976"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896"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5F14F7">
        <w:trPr>
          <w:trHeight w:val="63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289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5F14F7">
        <w:trPr>
          <w:trHeight w:val="349"/>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9B29E1E" w:rsidR="00F102CC" w:rsidRPr="006727C0" w:rsidRDefault="006727C0">
            <w:pPr>
              <w:spacing w:line="225" w:lineRule="auto"/>
              <w:rPr>
                <w:rFonts w:ascii="Noto Sans" w:hAnsi="Noto Sans" w:cs="Noto Sans" w:hint="eastAsia"/>
                <w:bCs/>
                <w:color w:val="434343"/>
                <w:sz w:val="18"/>
                <w:szCs w:val="18"/>
                <w:lang w:eastAsia="zh-CN"/>
              </w:rPr>
            </w:pPr>
            <w:r w:rsidRPr="006727C0">
              <w:rPr>
                <w:rFonts w:ascii="Noto Sans" w:eastAsia="Noto Sans" w:hAnsi="Noto Sans" w:cs="Noto Sans"/>
                <w:bCs/>
                <w:color w:val="434343"/>
                <w:sz w:val="18"/>
                <w:szCs w:val="18"/>
              </w:rPr>
              <w:t>Materials and methods section (Animals, treatment and tissues subsection)</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3801DB8" w:rsidR="00F102CC" w:rsidRPr="003D5AF6" w:rsidRDefault="0091615B">
            <w:pPr>
              <w:spacing w:line="225" w:lineRule="auto"/>
              <w:rPr>
                <w:rFonts w:ascii="Noto Sans" w:eastAsia="Noto Sans" w:hAnsi="Noto Sans" w:cs="Noto Sans"/>
                <w:bCs/>
                <w:color w:val="434343"/>
                <w:sz w:val="18"/>
                <w:szCs w:val="18"/>
              </w:rPr>
            </w:pPr>
            <w:r w:rsidRPr="00A7041A">
              <w:t>No formal sample size calculation was performed (not done). The sample size was determined based on preliminary experiments</w:t>
            </w:r>
            <w:r>
              <w:rPr>
                <w:rFonts w:hint="eastAsia"/>
                <w:lang w:eastAsia="zh-CN"/>
              </w:rPr>
              <w:t xml:space="preserve"> </w:t>
            </w:r>
            <w:r w:rsidRPr="00A7041A">
              <w:t>with 4 rats per group (O group, O.T group, Y group) sufficient to support the statistical power of snRNA-seq and hormone detection.</w:t>
            </w:r>
          </w:p>
        </w:tc>
      </w:tr>
      <w:tr w:rsidR="00F102CC" w14:paraId="640B934F" w14:textId="77777777" w:rsidTr="005F14F7">
        <w:trPr>
          <w:trHeight w:val="361"/>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448CD54" w:rsidR="00F102CC" w:rsidRPr="003D5AF6" w:rsidRDefault="00242EB4">
            <w:pPr>
              <w:spacing w:line="225" w:lineRule="auto"/>
              <w:rPr>
                <w:rFonts w:ascii="Noto Sans" w:eastAsia="Noto Sans" w:hAnsi="Noto Sans" w:cs="Noto Sans"/>
                <w:bCs/>
                <w:color w:val="434343"/>
                <w:sz w:val="18"/>
                <w:szCs w:val="18"/>
              </w:rPr>
            </w:pPr>
            <w:r w:rsidRPr="00242EB4">
              <w:rPr>
                <w:rFonts w:ascii="Noto Sans" w:eastAsia="Noto Sans" w:hAnsi="Noto Sans" w:cs="Noto Sans"/>
                <w:bCs/>
                <w:color w:val="434343"/>
                <w:sz w:val="18"/>
                <w:szCs w:val="18"/>
              </w:rPr>
              <w:t>Materials and methods section (Animals, treatment and tissues subsection)</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3E79DEB" w:rsidR="00F102CC" w:rsidRDefault="0091615B">
            <w:pPr>
              <w:spacing w:line="225" w:lineRule="auto"/>
              <w:rPr>
                <w:rFonts w:ascii="Noto Sans" w:eastAsia="Noto Sans" w:hAnsi="Noto Sans" w:cs="Noto Sans"/>
                <w:b/>
                <w:color w:val="434343"/>
                <w:sz w:val="18"/>
                <w:szCs w:val="18"/>
              </w:rPr>
            </w:pPr>
            <w:r w:rsidRPr="00A7041A">
              <w:t>Aged rats were randomly allocated into control and 17α-estradiol-treated groups.</w:t>
            </w:r>
          </w:p>
        </w:tc>
      </w:tr>
      <w:tr w:rsidR="00F102CC" w14:paraId="6EEAB134" w14:textId="77777777" w:rsidTr="005F14F7">
        <w:trPr>
          <w:trHeight w:val="373"/>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934A033" w:rsidR="00F102CC" w:rsidRPr="003D5AF6" w:rsidRDefault="00242EB4">
            <w:pPr>
              <w:spacing w:line="225" w:lineRule="auto"/>
              <w:rPr>
                <w:rFonts w:ascii="Noto Sans" w:eastAsia="Noto Sans" w:hAnsi="Noto Sans" w:cs="Noto Sans"/>
                <w:bCs/>
                <w:color w:val="434343"/>
                <w:sz w:val="18"/>
                <w:szCs w:val="18"/>
              </w:rPr>
            </w:pPr>
            <w:r w:rsidRPr="00242EB4">
              <w:rPr>
                <w:rFonts w:ascii="Noto Sans" w:eastAsia="Noto Sans" w:hAnsi="Noto Sans" w:cs="Noto Sans"/>
                <w:bCs/>
                <w:color w:val="434343"/>
                <w:sz w:val="18"/>
                <w:szCs w:val="18"/>
              </w:rPr>
              <w:t>Materials and methods section</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E107BAB" w:rsidR="00F102CC" w:rsidRPr="003D5AF6" w:rsidRDefault="0091615B">
            <w:pPr>
              <w:spacing w:line="225" w:lineRule="auto"/>
              <w:rPr>
                <w:rFonts w:ascii="Noto Sans" w:eastAsia="Noto Sans" w:hAnsi="Noto Sans" w:cs="Noto Sans"/>
                <w:bCs/>
                <w:color w:val="434343"/>
                <w:sz w:val="18"/>
                <w:szCs w:val="18"/>
              </w:rPr>
            </w:pPr>
            <w:r w:rsidRPr="00A7041A">
              <w:t>Blinding was not implemented (not done).</w:t>
            </w:r>
            <w:r w:rsidRPr="00A7041A">
              <w:t xml:space="preserve"> </w:t>
            </w:r>
            <w:r w:rsidRPr="00A7041A">
              <w:t>Since experimental groups were distinguished by hormone treatment (identifiable via treatment protocols), and data collection (e.g., serum detection, HE staining) had no subjective bias, blinding design was not conducted.</w:t>
            </w:r>
          </w:p>
        </w:tc>
      </w:tr>
      <w:tr w:rsidR="00F102CC" w14:paraId="0AB73282" w14:textId="77777777" w:rsidTr="005F14F7">
        <w:trPr>
          <w:trHeight w:val="398"/>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A5A2116" w:rsidR="00F102CC" w:rsidRPr="003D5AF6" w:rsidRDefault="005F14F7">
            <w:pPr>
              <w:spacing w:line="225" w:lineRule="auto"/>
              <w:rPr>
                <w:rFonts w:ascii="Noto Sans" w:eastAsia="Noto Sans" w:hAnsi="Noto Sans" w:cs="Noto Sans"/>
                <w:bCs/>
                <w:color w:val="434343"/>
                <w:sz w:val="18"/>
                <w:szCs w:val="18"/>
              </w:rPr>
            </w:pPr>
            <w:r w:rsidRPr="005F14F7">
              <w:rPr>
                <w:rFonts w:ascii="Noto Sans" w:eastAsia="Noto Sans" w:hAnsi="Noto Sans" w:cs="Noto Sans"/>
                <w:bCs/>
                <w:color w:val="434343"/>
                <w:sz w:val="18"/>
                <w:szCs w:val="18"/>
              </w:rPr>
              <w:t>Materials and methods section and Figure legends</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3C77313" w:rsidR="00F102CC" w:rsidRPr="0091615B" w:rsidRDefault="0091615B">
            <w:pPr>
              <w:spacing w:line="225" w:lineRule="auto"/>
              <w:rPr>
                <w:rFonts w:ascii="Noto Sans" w:hAnsi="Noto Sans" w:cs="Noto Sans" w:hint="eastAsia"/>
                <w:bCs/>
                <w:color w:val="434343"/>
                <w:sz w:val="18"/>
                <w:szCs w:val="18"/>
                <w:lang w:eastAsia="zh-CN"/>
              </w:rPr>
            </w:pPr>
            <w:r w:rsidRPr="00A7041A">
              <w:t>No pre-established inclusion/exclusion criteria for animals; healthy Norway brown male rats were selected based on the study design.</w:t>
            </w:r>
          </w:p>
        </w:tc>
      </w:tr>
      <w:tr w:rsidR="00F102CC" w14:paraId="14D7061B" w14:textId="77777777" w:rsidTr="005F14F7">
        <w:trPr>
          <w:trHeight w:val="425"/>
        </w:trPr>
        <w:tc>
          <w:tcPr>
            <w:tcW w:w="3818"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976"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896"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5F14F7">
        <w:trPr>
          <w:trHeight w:val="425"/>
        </w:trPr>
        <w:tc>
          <w:tcPr>
            <w:tcW w:w="381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97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89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5F14F7">
        <w:trPr>
          <w:trHeight w:val="650"/>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0B885F7" w:rsidR="00F102CC" w:rsidRPr="005F14F7" w:rsidRDefault="005F14F7">
            <w:pPr>
              <w:spacing w:line="225" w:lineRule="auto"/>
              <w:rPr>
                <w:rFonts w:ascii="Noto Sans" w:eastAsia="Noto Sans" w:hAnsi="Noto Sans" w:cs="Noto Sans"/>
                <w:color w:val="434343"/>
                <w:sz w:val="18"/>
                <w:szCs w:val="18"/>
              </w:rPr>
            </w:pPr>
            <w:r w:rsidRPr="005F14F7">
              <w:rPr>
                <w:rFonts w:ascii="Noto Sans" w:eastAsia="Noto Sans" w:hAnsi="Noto Sans" w:cs="Noto Sans"/>
                <w:color w:val="434343"/>
                <w:sz w:val="18"/>
                <w:szCs w:val="18"/>
              </w:rPr>
              <w:t>Materials and methods section (Enzyme immunoassays, snRNA-seq data processing subsection) and Figure legends (e.g., Figure 5E, 7B)</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4410989" w:rsidR="00F102CC" w:rsidRPr="003D5AF6" w:rsidRDefault="0091615B">
            <w:pPr>
              <w:spacing w:line="225" w:lineRule="auto"/>
              <w:rPr>
                <w:rFonts w:ascii="Noto Sans" w:eastAsia="Noto Sans" w:hAnsi="Noto Sans" w:cs="Noto Sans"/>
                <w:bCs/>
                <w:color w:val="434343"/>
                <w:sz w:val="18"/>
                <w:szCs w:val="18"/>
              </w:rPr>
            </w:pPr>
            <w:r w:rsidRPr="00A7041A">
              <w:t>Biological replicates: At the animal level - 4 independent rats per group; For snRNA-seq - 2 hypothalamic sample pools in O group, 3 sample pools each in Y and O.T groups (each pool from 1 rat); For hormone detection (ELISA) - serum from 3 rats per group, with 2 technical replicates per sample.</w:t>
            </w:r>
          </w:p>
        </w:tc>
      </w:tr>
      <w:tr w:rsidR="00F102CC" w14:paraId="3646923A" w14:textId="77777777" w:rsidTr="005F14F7">
        <w:trPr>
          <w:trHeight w:val="385"/>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7BF6A34" w:rsidR="00F102CC" w:rsidRPr="003D5AF6" w:rsidRDefault="005F14F7">
            <w:pPr>
              <w:spacing w:line="225" w:lineRule="auto"/>
              <w:rPr>
                <w:rFonts w:ascii="Noto Sans" w:eastAsia="Noto Sans" w:hAnsi="Noto Sans" w:cs="Noto Sans" w:hint="eastAsia"/>
                <w:bCs/>
                <w:color w:val="434343"/>
                <w:sz w:val="18"/>
                <w:szCs w:val="18"/>
                <w:lang w:eastAsia="zh-CN"/>
              </w:rPr>
            </w:pPr>
            <w:r w:rsidRPr="005F14F7">
              <w:rPr>
                <w:color w:val="434343"/>
                <w:sz w:val="18"/>
                <w:szCs w:val="18"/>
              </w:rPr>
              <w:t>Materials and methods section and Figure legends</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61BB0A" w:rsidR="00F102CC" w:rsidRPr="003D5AF6" w:rsidRDefault="0091615B">
            <w:pPr>
              <w:spacing w:line="225" w:lineRule="auto"/>
              <w:rPr>
                <w:rFonts w:ascii="Noto Sans" w:eastAsia="Noto Sans" w:hAnsi="Noto Sans" w:cs="Noto Sans"/>
                <w:bCs/>
                <w:color w:val="434343"/>
                <w:sz w:val="18"/>
                <w:szCs w:val="18"/>
              </w:rPr>
            </w:pPr>
            <w:r w:rsidRPr="00A7041A">
              <w:t>Biological replicates include independent rats per group and hypothalamic sample pools from individual rats; Technical replicates refer to 2 repeated detections of each serum sample in ELISA.</w:t>
            </w:r>
          </w:p>
        </w:tc>
      </w:tr>
      <w:tr w:rsidR="00F102CC" w14:paraId="7376923B"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976"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896"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5F14F7">
        <w:trPr>
          <w:trHeight w:val="42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89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5F14F7">
        <w:trPr>
          <w:trHeight w:val="784"/>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CA84B58" w:rsidR="00F102CC" w:rsidRDefault="00DA59DB">
            <w:pPr>
              <w:spacing w:line="225" w:lineRule="auto"/>
              <w:rPr>
                <w:rFonts w:ascii="Noto Sans" w:eastAsia="Noto Sans" w:hAnsi="Noto Sans" w:cs="Noto Sans"/>
                <w:b/>
                <w:color w:val="434343"/>
                <w:sz w:val="18"/>
                <w:szCs w:val="18"/>
              </w:rPr>
            </w:pPr>
            <w:r w:rsidRPr="00DA59DB">
              <w:rPr>
                <w:rFonts w:ascii="Noto Sans" w:eastAsia="Noto Sans" w:hAnsi="Noto Sans" w:cs="Noto Sans"/>
                <w:b/>
                <w:bCs/>
                <w:color w:val="434343"/>
                <w:sz w:val="18"/>
                <w:szCs w:val="18"/>
              </w:rPr>
              <w:t>N/A</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CD54606" w:rsidR="00F102CC" w:rsidRPr="003D5AF6" w:rsidRDefault="00DA0566">
            <w:pPr>
              <w:spacing w:line="225" w:lineRule="auto"/>
              <w:rPr>
                <w:rFonts w:ascii="Noto Sans" w:eastAsia="Noto Sans" w:hAnsi="Noto Sans" w:cs="Noto Sans"/>
                <w:bCs/>
                <w:color w:val="434343"/>
                <w:sz w:val="18"/>
                <w:szCs w:val="18"/>
              </w:rPr>
            </w:pPr>
            <w:r w:rsidRPr="00DA59DB">
              <w:rPr>
                <w:rFonts w:ascii="Noto Sans" w:eastAsia="Noto Sans" w:hAnsi="Noto Sans" w:cs="Noto Sans"/>
                <w:b/>
                <w:bCs/>
                <w:color w:val="434343"/>
                <w:sz w:val="18"/>
                <w:szCs w:val="18"/>
              </w:rPr>
              <w:t>N/A</w:t>
            </w:r>
          </w:p>
        </w:tc>
      </w:tr>
      <w:tr w:rsidR="00F102CC" w14:paraId="76515406" w14:textId="77777777" w:rsidTr="005F14F7">
        <w:trPr>
          <w:trHeight w:val="975"/>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54C6352" w:rsidR="00F102CC" w:rsidRPr="003D5AF6" w:rsidRDefault="005F14F7">
            <w:pPr>
              <w:spacing w:line="225" w:lineRule="auto"/>
              <w:rPr>
                <w:rFonts w:ascii="Noto Sans" w:eastAsia="Noto Sans" w:hAnsi="Noto Sans" w:cs="Noto Sans"/>
                <w:bCs/>
                <w:color w:val="434343"/>
                <w:sz w:val="18"/>
                <w:szCs w:val="18"/>
              </w:rPr>
            </w:pPr>
            <w:r w:rsidRPr="005F14F7">
              <w:t>Materials and methods section (Animals, treatment and tissues subsection)</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AC3215E" w:rsidR="00F102CC" w:rsidRPr="003D5AF6" w:rsidRDefault="00DA0566">
            <w:pPr>
              <w:spacing w:line="225" w:lineRule="auto"/>
              <w:rPr>
                <w:rFonts w:ascii="Noto Sans" w:eastAsia="Noto Sans" w:hAnsi="Noto Sans" w:cs="Noto Sans"/>
                <w:bCs/>
                <w:color w:val="434343"/>
                <w:sz w:val="18"/>
                <w:szCs w:val="18"/>
              </w:rPr>
            </w:pPr>
            <w:r w:rsidRPr="00A7041A">
              <w:t>All animal procedures were reviewed and approved by the Institutional Animal Care and Use Committee at Nantong University (approval number: S20210225-012).</w:t>
            </w:r>
          </w:p>
        </w:tc>
      </w:tr>
      <w:tr w:rsidR="00F102CC" w14:paraId="5D62888E" w14:textId="77777777" w:rsidTr="005F14F7">
        <w:trPr>
          <w:trHeight w:val="889"/>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0DA960E9" w:rsidR="00F102CC" w:rsidRPr="003D5AF6" w:rsidRDefault="00DA59DB">
            <w:pPr>
              <w:spacing w:line="225" w:lineRule="auto"/>
              <w:rPr>
                <w:rFonts w:ascii="Noto Sans" w:eastAsia="Noto Sans" w:hAnsi="Noto Sans" w:cs="Noto Sans"/>
                <w:bCs/>
                <w:color w:val="434343"/>
                <w:sz w:val="18"/>
                <w:szCs w:val="18"/>
              </w:rPr>
            </w:pPr>
            <w:r w:rsidRPr="00DA59DB">
              <w:rPr>
                <w:rFonts w:ascii="Noto Sans" w:eastAsia="Noto Sans" w:hAnsi="Noto Sans" w:cs="Noto Sans"/>
                <w:b/>
                <w:bCs/>
                <w:color w:val="434343"/>
                <w:sz w:val="18"/>
                <w:szCs w:val="18"/>
              </w:rPr>
              <w:t>N/A</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CEC48FD" w:rsidR="00F102CC" w:rsidRPr="003D5AF6" w:rsidRDefault="00DA0566">
            <w:pPr>
              <w:spacing w:line="225" w:lineRule="auto"/>
              <w:rPr>
                <w:rFonts w:ascii="Noto Sans" w:eastAsia="Noto Sans" w:hAnsi="Noto Sans" w:cs="Noto Sans"/>
                <w:bCs/>
                <w:color w:val="434343"/>
                <w:sz w:val="18"/>
                <w:szCs w:val="18"/>
              </w:rPr>
            </w:pPr>
            <w:r w:rsidRPr="00DA59DB">
              <w:rPr>
                <w:rFonts w:ascii="Noto Sans" w:eastAsia="Noto Sans" w:hAnsi="Noto Sans" w:cs="Noto Sans"/>
                <w:b/>
                <w:bCs/>
                <w:color w:val="434343"/>
                <w:sz w:val="18"/>
                <w:szCs w:val="18"/>
              </w:rPr>
              <w:t>N/A</w:t>
            </w:r>
          </w:p>
        </w:tc>
      </w:tr>
      <w:tr w:rsidR="00F102CC" w14:paraId="79A7C842"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976"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896"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5F14F7">
        <w:trPr>
          <w:trHeight w:val="42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89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5F14F7">
        <w:trPr>
          <w:trHeight w:val="875"/>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411EB8B3" w:rsidR="00F102CC" w:rsidRPr="003D5AF6" w:rsidRDefault="00A063CE">
            <w:pPr>
              <w:spacing w:line="225" w:lineRule="auto"/>
              <w:rPr>
                <w:rFonts w:ascii="Noto Sans" w:eastAsia="Noto Sans" w:hAnsi="Noto Sans" w:cs="Noto Sans"/>
                <w:bCs/>
                <w:color w:val="434343"/>
                <w:sz w:val="18"/>
                <w:szCs w:val="18"/>
              </w:rPr>
            </w:pPr>
            <w:r w:rsidRPr="00DA59DB">
              <w:rPr>
                <w:rFonts w:ascii="Noto Sans" w:eastAsia="Noto Sans" w:hAnsi="Noto Sans" w:cs="Noto Sans"/>
                <w:b/>
                <w:bCs/>
                <w:color w:val="434343"/>
                <w:sz w:val="18"/>
                <w:szCs w:val="18"/>
              </w:rPr>
              <w:t>N/A</w:t>
            </w:r>
          </w:p>
        </w:tc>
        <w:tc>
          <w:tcPr>
            <w:tcW w:w="2896"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FB918EF" w:rsidR="00F102CC" w:rsidRPr="003D5AF6" w:rsidRDefault="00DA0566">
            <w:pPr>
              <w:spacing w:line="225" w:lineRule="auto"/>
              <w:rPr>
                <w:rFonts w:ascii="Noto Sans" w:eastAsia="Noto Sans" w:hAnsi="Noto Sans" w:cs="Noto Sans"/>
                <w:bCs/>
                <w:color w:val="434343"/>
                <w:sz w:val="18"/>
                <w:szCs w:val="18"/>
              </w:rPr>
            </w:pPr>
            <w:r w:rsidRPr="00DA59DB">
              <w:rPr>
                <w:rFonts w:ascii="Noto Sans" w:eastAsia="Noto Sans" w:hAnsi="Noto Sans" w:cs="Noto Sans"/>
                <w:b/>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3818"/>
        <w:gridCol w:w="2976"/>
        <w:gridCol w:w="2911"/>
      </w:tblGrid>
      <w:tr w:rsidR="00F102CC" w14:paraId="34F8292A" w14:textId="77777777" w:rsidTr="005F14F7">
        <w:trPr>
          <w:trHeight w:val="425"/>
        </w:trPr>
        <w:tc>
          <w:tcPr>
            <w:tcW w:w="381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297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1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5F14F7">
        <w:trPr>
          <w:trHeight w:val="1060"/>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67AA8F8" w:rsidR="00F102CC" w:rsidRPr="003D5AF6" w:rsidRDefault="005F14F7">
            <w:pPr>
              <w:spacing w:line="225" w:lineRule="auto"/>
              <w:rPr>
                <w:rFonts w:ascii="Noto Sans" w:eastAsia="Noto Sans" w:hAnsi="Noto Sans" w:cs="Noto Sans"/>
                <w:bCs/>
                <w:color w:val="434343"/>
                <w:sz w:val="18"/>
                <w:szCs w:val="18"/>
              </w:rPr>
            </w:pPr>
            <w:r w:rsidRPr="00A7041A">
              <w:t>Materials and methods section (Statistics subsection)</w:t>
            </w:r>
          </w:p>
        </w:tc>
        <w:tc>
          <w:tcPr>
            <w:tcW w:w="2911"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998FAB6" w:rsidR="00F102CC" w:rsidRPr="003D5AF6" w:rsidRDefault="005F14F7">
            <w:pPr>
              <w:spacing w:line="225" w:lineRule="auto"/>
              <w:rPr>
                <w:rFonts w:ascii="Noto Sans" w:eastAsia="Noto Sans" w:hAnsi="Noto Sans" w:cs="Noto Sans"/>
                <w:bCs/>
                <w:color w:val="434343"/>
                <w:sz w:val="18"/>
                <w:szCs w:val="18"/>
              </w:rPr>
            </w:pPr>
            <w:r w:rsidRPr="00A7041A">
              <w:t>No pre-established exclusion criteria were set. No samples or data points were omitted from the analysis (no attrition or intentional exclusion).</w:t>
            </w:r>
          </w:p>
        </w:tc>
      </w:tr>
      <w:tr w:rsidR="00F102CC" w14:paraId="3864D7CC"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2976"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11"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5F14F7">
        <w:trPr>
          <w:trHeight w:val="42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5F14F7">
        <w:trPr>
          <w:trHeight w:val="419"/>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6A007D35" w14:textId="5F1B21D5" w:rsidR="00A063CE" w:rsidRPr="00A063CE" w:rsidRDefault="005F14F7" w:rsidP="00A063CE">
            <w:pPr>
              <w:numPr>
                <w:ilvl w:val="0"/>
                <w:numId w:val="5"/>
              </w:numPr>
              <w:spacing w:line="225" w:lineRule="auto"/>
              <w:rPr>
                <w:rFonts w:ascii="Noto Sans" w:eastAsia="Noto Sans" w:hAnsi="Noto Sans" w:cs="Noto Sans"/>
                <w:bCs/>
                <w:color w:val="434343"/>
                <w:sz w:val="18"/>
                <w:szCs w:val="18"/>
              </w:rPr>
            </w:pPr>
            <w:r w:rsidRPr="00A7041A">
              <w:t>Materials and methods section (Statistics subsection)</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2911"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CFEC618" w:rsidR="00F102CC" w:rsidRPr="003D5AF6" w:rsidRDefault="005F14F7">
            <w:pPr>
              <w:spacing w:line="225" w:lineRule="auto"/>
              <w:rPr>
                <w:rFonts w:ascii="Noto Sans" w:eastAsia="Noto Sans" w:hAnsi="Noto Sans" w:cs="Noto Sans"/>
                <w:bCs/>
                <w:color w:val="434343"/>
                <w:sz w:val="18"/>
                <w:szCs w:val="18"/>
              </w:rPr>
            </w:pPr>
            <w:r w:rsidRPr="00A7041A">
              <w:t>1. Pearson correlation coefficient: Analyzes linear relationships (e.g., OXPHOS subunits vs. pathways, TFs vs. signaling networks); p &lt; 0.05. Ideal for continuous variables to quantify co-expression reliably.</w:t>
            </w:r>
            <w:r w:rsidRPr="00A7041A">
              <w:br/>
              <w:t>2. Fast Wilcoxon rank sum test: Compares O/O.T/Y groups for snRNA-seq data (e.g., gene expression, cell proportions); ≥15 cells/group. Non-parametric, avoids normality assumptions for skewed single-cell data.</w:t>
            </w:r>
            <w:r w:rsidRPr="00A7041A">
              <w:br/>
              <w:t>3. auROC analysis: Evaluates discriminative ability of signatures/pathways (e.g., top synaptic pathways). Intuitive AUC ranking identifies key group-distinguishing features.</w:t>
            </w:r>
            <w:r w:rsidRPr="00A7041A">
              <w:br/>
              <w:t>4. FindMarkers (bimod test): Identifies DEGs (e.g., O.T vs. O in Crh neurons); filters: min.pct=0.1, logfc=0.25. Suits snRNA-seq’s bimodal "on/off" expression to detect meaningful differences.</w:t>
            </w:r>
            <w:r w:rsidRPr="00A7041A">
              <w:br/>
              <w:t xml:space="preserve">5. WebGestalt (GO enrichment): Enriches DEGs for GO terms; FDR &lt; 0.05. </w:t>
            </w:r>
            <w:r w:rsidRPr="00A7041A">
              <w:lastRenderedPageBreak/>
              <w:t>Reduces false positives via FDR correction, validates DEG biological relevance.</w:t>
            </w:r>
            <w:r w:rsidRPr="00A7041A">
              <w:br/>
              <w:t>6. Univariate Linear Model (ulm, decoupleR): Scores TF/pathway activity (e.g., top 25 TFs in Oxt neurons). Standardizes quantification for cross-group comparison.</w:t>
            </w:r>
            <w:r w:rsidRPr="00A7041A">
              <w:br/>
              <w:t>7. Augur (cell prioritization): Prioritizes responsive neuron subtypes (e.g., top 20 neuropeptide-secreting subtypes); ≥6 cells/subcluster. AUC-based, optimized for snRNA-seq to focus on key cells.</w:t>
            </w:r>
            <w:r w:rsidRPr="00A7041A">
              <w:br/>
              <w:t>8. MR methods (IVW/MR Egger): Analyzes OXT/GNRH1-endocrine trait causality; excludes weak instruments (F&lt;10); IVW p&lt;0.05. Multi-methods ensure robustness (IVW for efficiency, MR Egger for pleiotropy).</w:t>
            </w:r>
            <w:r w:rsidRPr="00A7041A">
              <w:br/>
              <w:t>9. Two-tailed unpaired t-test: Compares serum/plasma hormone levels (e.g., Crh, testosterone). Suits normally distributed, independent samples for simple 2-group comparison.</w:t>
            </w:r>
            <w:r w:rsidRPr="00A7041A">
              <w:br/>
              <w:t>10. Harmony (batch correction): Removes snRNA-seq technical variation. Ensures group differences reflect biology, not artifacts.</w:t>
            </w:r>
            <w:r w:rsidRPr="00A7041A">
              <w:br/>
              <w:t>11. Descriptive stats (mean/SD): Summarizes data (e.g., testis inflammation index, pathway expression). Clarifies central tendency/variability for easy interpretation.</w:t>
            </w:r>
          </w:p>
        </w:tc>
      </w:tr>
      <w:tr w:rsidR="00F102CC" w14:paraId="208D42A1"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2976"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11"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5F14F7">
        <w:trPr>
          <w:trHeight w:val="42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5F14F7">
        <w:trPr>
          <w:trHeight w:val="829"/>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C68FE84" w:rsidR="00F102CC" w:rsidRPr="003D5AF6" w:rsidRDefault="005F14F7">
            <w:pPr>
              <w:spacing w:line="225" w:lineRule="auto"/>
              <w:rPr>
                <w:rFonts w:ascii="Noto Sans" w:eastAsia="Noto Sans" w:hAnsi="Noto Sans" w:cs="Noto Sans" w:hint="eastAsia"/>
                <w:bCs/>
                <w:color w:val="434343"/>
                <w:sz w:val="18"/>
                <w:szCs w:val="18"/>
                <w:lang w:eastAsia="zh-CN"/>
              </w:rPr>
            </w:pPr>
            <w:r w:rsidRPr="00A7041A">
              <w:t>Materials and methods section</w:t>
            </w:r>
            <w:r w:rsidRPr="00DD7869">
              <w:t xml:space="preserve"> </w:t>
            </w:r>
          </w:p>
        </w:tc>
        <w:tc>
          <w:tcPr>
            <w:tcW w:w="2911"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2F8BD76" w:rsidR="00F102CC" w:rsidRPr="003D5AF6" w:rsidRDefault="005F14F7">
            <w:pPr>
              <w:spacing w:line="225" w:lineRule="auto"/>
              <w:rPr>
                <w:rFonts w:ascii="Noto Sans" w:eastAsia="Noto Sans" w:hAnsi="Noto Sans" w:cs="Noto Sans"/>
                <w:bCs/>
                <w:color w:val="434343"/>
                <w:sz w:val="18"/>
                <w:szCs w:val="18"/>
              </w:rPr>
            </w:pPr>
            <w:r w:rsidRPr="00DD7869">
              <w:t xml:space="preserve">All </w:t>
            </w:r>
            <w:r>
              <w:rPr>
                <w:rFonts w:hint="eastAsia"/>
              </w:rPr>
              <w:t xml:space="preserve">sequencing </w:t>
            </w:r>
            <w:r w:rsidRPr="00DD7869">
              <w:t xml:space="preserve">data are available at </w:t>
            </w:r>
            <w:bookmarkStart w:id="2" w:name="OLE_LINK1"/>
            <w:r w:rsidRPr="00DD7869">
              <w:t>GEO accession number GSE248413</w:t>
            </w:r>
            <w:bookmarkEnd w:id="2"/>
            <w:r>
              <w:rPr>
                <w:rFonts w:hint="eastAsia"/>
                <w:lang w:eastAsia="zh-CN"/>
              </w:rPr>
              <w:t>.</w:t>
            </w:r>
          </w:p>
        </w:tc>
      </w:tr>
      <w:tr w:rsidR="00F102CC" w14:paraId="2BD96493" w14:textId="77777777" w:rsidTr="005F14F7">
        <w:trPr>
          <w:trHeight w:val="875"/>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C235D64" w:rsidR="00F102CC" w:rsidRPr="003D5AF6" w:rsidRDefault="005F14F7">
            <w:pPr>
              <w:spacing w:line="225" w:lineRule="auto"/>
              <w:rPr>
                <w:rFonts w:ascii="Noto Sans" w:eastAsia="Noto Sans" w:hAnsi="Noto Sans" w:cs="Noto Sans" w:hint="eastAsia"/>
                <w:bCs/>
                <w:color w:val="434343"/>
                <w:sz w:val="18"/>
                <w:szCs w:val="18"/>
                <w:lang w:eastAsia="zh-CN"/>
              </w:rPr>
            </w:pPr>
            <w:r w:rsidRPr="00A7041A">
              <w:t>Materials and methods section</w:t>
            </w:r>
          </w:p>
        </w:tc>
        <w:tc>
          <w:tcPr>
            <w:tcW w:w="2911"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53B9B5A" w:rsidR="00F102CC" w:rsidRPr="003D5AF6" w:rsidRDefault="005F14F7">
            <w:pPr>
              <w:spacing w:line="225" w:lineRule="auto"/>
              <w:rPr>
                <w:rFonts w:ascii="Noto Sans" w:eastAsia="Noto Sans" w:hAnsi="Noto Sans" w:cs="Noto Sans"/>
                <w:bCs/>
                <w:color w:val="434343"/>
                <w:sz w:val="18"/>
                <w:szCs w:val="18"/>
              </w:rPr>
            </w:pPr>
            <w:r w:rsidRPr="00DD7869">
              <w:t>GEO accession number GSE248413</w:t>
            </w:r>
          </w:p>
        </w:tc>
      </w:tr>
      <w:tr w:rsidR="00F102CC" w14:paraId="194458A2" w14:textId="77777777" w:rsidTr="005F14F7">
        <w:trPr>
          <w:trHeight w:val="706"/>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1F3686A" w:rsidR="00F102CC" w:rsidRPr="003D5AF6" w:rsidRDefault="00714DC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2911"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5F14F7">
        <w:trPr>
          <w:trHeight w:val="425"/>
        </w:trPr>
        <w:tc>
          <w:tcPr>
            <w:tcW w:w="3818"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2976"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911"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5F14F7">
        <w:trPr>
          <w:trHeight w:val="635"/>
        </w:trPr>
        <w:tc>
          <w:tcPr>
            <w:tcW w:w="381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297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5F14F7">
        <w:trPr>
          <w:trHeight w:val="1341"/>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1F9A46A" w:rsidR="00F102CC" w:rsidRPr="003D5AF6" w:rsidRDefault="00714DC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2911"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3174DBE" w:rsidR="00F102CC" w:rsidRPr="003D5AF6" w:rsidRDefault="007B1E0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5F14F7">
        <w:trPr>
          <w:trHeight w:val="1080"/>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12564A6" w:rsidR="00F102CC" w:rsidRPr="003D5AF6" w:rsidRDefault="00714DCF">
            <w:pPr>
              <w:spacing w:line="225" w:lineRule="auto"/>
              <w:rPr>
                <w:rFonts w:ascii="Noto Sans" w:eastAsia="Noto Sans" w:hAnsi="Noto Sans" w:cs="Noto Sans"/>
                <w:bCs/>
                <w:color w:val="434343"/>
              </w:rPr>
            </w:pPr>
            <w:r>
              <w:rPr>
                <w:rFonts w:ascii="Noto Sans" w:eastAsia="Noto Sans" w:hAnsi="Noto Sans" w:cs="Noto Sans"/>
                <w:b/>
                <w:color w:val="434343"/>
                <w:sz w:val="18"/>
                <w:szCs w:val="18"/>
              </w:rPr>
              <w:t>N/A</w:t>
            </w:r>
          </w:p>
        </w:tc>
        <w:tc>
          <w:tcPr>
            <w:tcW w:w="2911"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00E37C7" w:rsidR="00F102CC" w:rsidRPr="003D5AF6" w:rsidRDefault="007B1E0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rsidTr="005F14F7">
        <w:trPr>
          <w:trHeight w:val="720"/>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429334F5" w:rsidR="00F102CC" w:rsidRPr="003D5AF6" w:rsidRDefault="00714DC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2911"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C7ED19D" w:rsidR="00F102CC" w:rsidRPr="003D5AF6" w:rsidRDefault="007B1E0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3818"/>
        <w:gridCol w:w="2835"/>
        <w:gridCol w:w="141"/>
        <w:gridCol w:w="2881"/>
      </w:tblGrid>
      <w:tr w:rsidR="00F102CC" w14:paraId="6C39CD19" w14:textId="77777777" w:rsidTr="006B7E1A">
        <w:trPr>
          <w:trHeight w:val="500"/>
        </w:trPr>
        <w:tc>
          <w:tcPr>
            <w:tcW w:w="381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2976" w:type="dxa"/>
            <w:gridSpan w:val="2"/>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88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6B7E1A">
        <w:trPr>
          <w:trHeight w:val="915"/>
        </w:trPr>
        <w:tc>
          <w:tcPr>
            <w:tcW w:w="38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FA5C71D" w:rsidR="00F102CC" w:rsidRPr="00714DCF" w:rsidRDefault="006B7E1A" w:rsidP="006B7E1A">
            <w:pPr>
              <w:spacing w:line="225" w:lineRule="auto"/>
              <w:rPr>
                <w:rFonts w:ascii="Noto Sans" w:eastAsia="Noto Sans" w:hAnsi="Noto Sans" w:cs="Noto Sans" w:hint="eastAsia"/>
                <w:bCs/>
                <w:color w:val="434343"/>
                <w:sz w:val="18"/>
                <w:szCs w:val="18"/>
              </w:rPr>
            </w:pPr>
            <w:r w:rsidRPr="00A7041A">
              <w:t>Materials and methods section and Supporting materials</w:t>
            </w:r>
          </w:p>
        </w:tc>
        <w:tc>
          <w:tcPr>
            <w:tcW w:w="302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6BCD60D" w14:textId="77777777" w:rsidR="006B7E1A" w:rsidRPr="00714DCF" w:rsidRDefault="006B7E1A" w:rsidP="006B7E1A">
            <w:pPr>
              <w:spacing w:line="225" w:lineRule="auto"/>
              <w:rPr>
                <w:rFonts w:ascii="Noto Sans" w:eastAsia="Noto Sans" w:hAnsi="Noto Sans" w:cs="Noto Sans"/>
                <w:bCs/>
                <w:color w:val="434343"/>
                <w:sz w:val="18"/>
                <w:szCs w:val="18"/>
              </w:rPr>
            </w:pPr>
            <w:r w:rsidRPr="00714DCF">
              <w:rPr>
                <w:rFonts w:ascii="Noto Sans" w:eastAsia="Noto Sans" w:hAnsi="Noto Sans" w:cs="Noto Sans"/>
                <w:b/>
                <w:bCs/>
                <w:color w:val="434343"/>
                <w:sz w:val="18"/>
                <w:szCs w:val="18"/>
              </w:rPr>
              <w:t>Adherence to relevant guidelines</w:t>
            </w:r>
            <w:r w:rsidRPr="00714DCF">
              <w:rPr>
                <w:rFonts w:ascii="Noto Sans" w:eastAsia="Noto Sans" w:hAnsi="Noto Sans" w:cs="Noto Sans"/>
                <w:bCs/>
                <w:color w:val="434343"/>
                <w:sz w:val="18"/>
                <w:szCs w:val="18"/>
              </w:rPr>
              <w:t>:</w:t>
            </w:r>
          </w:p>
          <w:p w14:paraId="556C786E" w14:textId="77777777" w:rsidR="006B7E1A" w:rsidRPr="00714DCF" w:rsidRDefault="006B7E1A" w:rsidP="006B7E1A">
            <w:pPr>
              <w:numPr>
                <w:ilvl w:val="1"/>
                <w:numId w:val="7"/>
              </w:numPr>
              <w:spacing w:line="225" w:lineRule="auto"/>
              <w:rPr>
                <w:rFonts w:ascii="Noto Sans" w:eastAsia="Noto Sans" w:hAnsi="Noto Sans" w:cs="Noto Sans"/>
                <w:bCs/>
                <w:color w:val="434343"/>
                <w:sz w:val="18"/>
                <w:szCs w:val="18"/>
              </w:rPr>
            </w:pPr>
            <w:r w:rsidRPr="00714DCF">
              <w:rPr>
                <w:rFonts w:ascii="Noto Sans" w:eastAsia="Noto Sans" w:hAnsi="Noto Sans" w:cs="Noto Sans"/>
                <w:b/>
                <w:bCs/>
                <w:color w:val="434343"/>
                <w:sz w:val="18"/>
                <w:szCs w:val="18"/>
              </w:rPr>
              <w:t>ARRIVE guidelines (Animal Research: Reporting of In Vivo Experiments)</w:t>
            </w:r>
            <w:r w:rsidRPr="00714DCF">
              <w:rPr>
                <w:rFonts w:ascii="Noto Sans" w:eastAsia="Noto Sans" w:hAnsi="Noto Sans" w:cs="Noto Sans"/>
                <w:bCs/>
                <w:color w:val="434343"/>
                <w:sz w:val="18"/>
                <w:szCs w:val="18"/>
              </w:rPr>
              <w:t>: Followed. Details include clear description of animal sources (Charles River, Beijing), grouping (O, O.T, Y) and treatment (17α-estradiol dose, duration), sample collection (hypothalami, testes, serum) with standardization (blood collected 9:00–9:30 a.m. to minimize hormone fluctuation), euthanasia method (CO</w:t>
            </w:r>
            <w:r w:rsidRPr="00714DCF">
              <w:rPr>
                <w:rFonts w:ascii="Cambria Math" w:eastAsia="Noto Sans" w:hAnsi="Cambria Math" w:cs="Cambria Math"/>
                <w:bCs/>
                <w:color w:val="434343"/>
                <w:sz w:val="18"/>
                <w:szCs w:val="18"/>
              </w:rPr>
              <w:t>₂</w:t>
            </w:r>
            <w:r w:rsidRPr="00714DCF">
              <w:rPr>
                <w:rFonts w:ascii="Noto Sans" w:eastAsia="Noto Sans" w:hAnsi="Noto Sans" w:cs="Noto Sans"/>
                <w:bCs/>
                <w:color w:val="434343"/>
                <w:sz w:val="18"/>
                <w:szCs w:val="18"/>
              </w:rPr>
              <w:t xml:space="preserve">), and ethical approval (Institutional </w:t>
            </w:r>
            <w:r w:rsidRPr="00714DCF">
              <w:rPr>
                <w:rFonts w:ascii="Noto Sans" w:eastAsia="Noto Sans" w:hAnsi="Noto Sans" w:cs="Noto Sans"/>
                <w:bCs/>
                <w:color w:val="434343"/>
                <w:sz w:val="18"/>
                <w:szCs w:val="18"/>
              </w:rPr>
              <w:lastRenderedPageBreak/>
              <w:t>Animal Care and Use Committee of Nantong University, approval number: S20210225-012)—all align with ARRIVE requirements for transparent reporting of animal experiments.</w:t>
            </w:r>
          </w:p>
          <w:p w14:paraId="3D54E748" w14:textId="77777777" w:rsidR="006B7E1A" w:rsidRPr="00714DCF" w:rsidRDefault="006B7E1A" w:rsidP="006B7E1A">
            <w:pPr>
              <w:numPr>
                <w:ilvl w:val="1"/>
                <w:numId w:val="8"/>
              </w:numPr>
              <w:spacing w:line="225" w:lineRule="auto"/>
              <w:rPr>
                <w:rFonts w:ascii="Noto Sans" w:eastAsia="Noto Sans" w:hAnsi="Noto Sans" w:cs="Noto Sans"/>
                <w:bCs/>
                <w:color w:val="434343"/>
                <w:sz w:val="18"/>
                <w:szCs w:val="18"/>
              </w:rPr>
            </w:pPr>
            <w:r w:rsidRPr="00714DCF">
              <w:rPr>
                <w:rFonts w:ascii="Noto Sans" w:eastAsia="Noto Sans" w:hAnsi="Noto Sans" w:cs="Noto Sans"/>
                <w:b/>
                <w:bCs/>
                <w:color w:val="434343"/>
                <w:sz w:val="18"/>
                <w:szCs w:val="18"/>
              </w:rPr>
              <w:t>MIBBI (Minimum Information for Biological and Biomedical Investigations)</w:t>
            </w:r>
            <w:r w:rsidRPr="00714DCF">
              <w:rPr>
                <w:rFonts w:ascii="Noto Sans" w:eastAsia="Noto Sans" w:hAnsi="Noto Sans" w:cs="Noto Sans"/>
                <w:bCs/>
                <w:color w:val="434343"/>
                <w:sz w:val="18"/>
                <w:szCs w:val="18"/>
              </w:rPr>
              <w:t>: Partially followed. Key experimental details are reported, including reagent sources (e.g., ELISA kits from Raybiotech, Enzyme-linked Biotechnology), snRNA-seq protocols (10X Chromium platform, Illumina HiSeq™ 4000 sequencing), and data analysis tools (Cell Ranger, Seurat, TwoSampleMR)—meeting MIBBI’s minimum information standards for reproducibility.</w:t>
            </w:r>
          </w:p>
          <w:p w14:paraId="7D398E64" w14:textId="77777777" w:rsidR="006B7E1A" w:rsidRPr="00714DCF" w:rsidRDefault="006B7E1A" w:rsidP="006B7E1A">
            <w:pPr>
              <w:numPr>
                <w:ilvl w:val="1"/>
                <w:numId w:val="9"/>
              </w:numPr>
              <w:spacing w:line="225" w:lineRule="auto"/>
              <w:rPr>
                <w:rFonts w:ascii="Noto Sans" w:eastAsia="Noto Sans" w:hAnsi="Noto Sans" w:cs="Noto Sans"/>
                <w:bCs/>
                <w:color w:val="434343"/>
                <w:sz w:val="18"/>
                <w:szCs w:val="18"/>
              </w:rPr>
            </w:pPr>
            <w:r w:rsidRPr="00714DCF">
              <w:rPr>
                <w:rFonts w:ascii="Noto Sans" w:eastAsia="Noto Sans" w:hAnsi="Noto Sans" w:cs="Noto Sans"/>
                <w:b/>
                <w:bCs/>
                <w:color w:val="434343"/>
                <w:sz w:val="18"/>
                <w:szCs w:val="18"/>
              </w:rPr>
              <w:t>Other guidelines (ICMJE, STRANGE, CONSORT, PRISMA)</w:t>
            </w:r>
            <w:r w:rsidRPr="00714DCF">
              <w:rPr>
                <w:rFonts w:ascii="Noto Sans" w:eastAsia="Noto Sans" w:hAnsi="Noto Sans" w:cs="Noto Sans"/>
                <w:bCs/>
                <w:color w:val="434343"/>
                <w:sz w:val="18"/>
                <w:szCs w:val="18"/>
              </w:rPr>
              <w:t>: Not applicable. ICMJE focuses on clinical trial authorship/disclosure, STRANGE on study sample representativeness (less relevant for controlled animal studies), and CONSORT/PRISMA on randomized trials/systematic reviews—none match the study’s animal-based and omics research design.</w:t>
            </w:r>
          </w:p>
          <w:p w14:paraId="69B93BA4" w14:textId="0522CE96" w:rsidR="00F102CC" w:rsidRPr="006B7E1A"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8F3F" w14:textId="77777777" w:rsidR="009B5B26" w:rsidRDefault="009B5B26">
      <w:r>
        <w:separator/>
      </w:r>
    </w:p>
  </w:endnote>
  <w:endnote w:type="continuationSeparator" w:id="0">
    <w:p w14:paraId="0A6FB3DA" w14:textId="77777777" w:rsidR="009B5B26" w:rsidRDefault="009B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F650" w14:textId="77777777" w:rsidR="009B5B26" w:rsidRDefault="009B5B26">
      <w:r>
        <w:separator/>
      </w:r>
    </w:p>
  </w:footnote>
  <w:footnote w:type="continuationSeparator" w:id="0">
    <w:p w14:paraId="2AD1F00B" w14:textId="77777777" w:rsidR="009B5B26" w:rsidRDefault="009B5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81048E"/>
    <w:multiLevelType w:val="multilevel"/>
    <w:tmpl w:val="BB18FFD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96339E"/>
    <w:multiLevelType w:val="multilevel"/>
    <w:tmpl w:val="BDEE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0"/>
  </w:num>
  <w:num w:numId="3" w16cid:durableId="14818306">
    <w:abstractNumId w:val="2"/>
  </w:num>
  <w:num w:numId="4" w16cid:durableId="1349287789">
    <w:abstractNumId w:val="5"/>
  </w:num>
  <w:num w:numId="5" w16cid:durableId="844788599">
    <w:abstractNumId w:val="4"/>
  </w:num>
  <w:num w:numId="6" w16cid:durableId="1354069115">
    <w:abstractNumId w:val="1"/>
  </w:num>
  <w:num w:numId="7" w16cid:durableId="650717021">
    <w:abstractNumId w:val="1"/>
    <w:lvlOverride w:ilvl="1">
      <w:lvl w:ilvl="1">
        <w:numFmt w:val="decimal"/>
        <w:lvlText w:val="%2."/>
        <w:lvlJc w:val="left"/>
      </w:lvl>
    </w:lvlOverride>
  </w:num>
  <w:num w:numId="8" w16cid:durableId="1856143127">
    <w:abstractNumId w:val="1"/>
    <w:lvlOverride w:ilvl="1">
      <w:lvl w:ilvl="1">
        <w:numFmt w:val="decimal"/>
        <w:lvlText w:val="%2."/>
        <w:lvlJc w:val="left"/>
      </w:lvl>
    </w:lvlOverride>
  </w:num>
  <w:num w:numId="9" w16cid:durableId="715469867">
    <w:abstractNumId w:val="1"/>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2EB4"/>
    <w:rsid w:val="003D5AF6"/>
    <w:rsid w:val="00400C53"/>
    <w:rsid w:val="00427975"/>
    <w:rsid w:val="004E2C31"/>
    <w:rsid w:val="005B0259"/>
    <w:rsid w:val="005F14F7"/>
    <w:rsid w:val="006727C0"/>
    <w:rsid w:val="006B7E1A"/>
    <w:rsid w:val="007054B6"/>
    <w:rsid w:val="00714DCF"/>
    <w:rsid w:val="0078687E"/>
    <w:rsid w:val="007B1E0D"/>
    <w:rsid w:val="008854C8"/>
    <w:rsid w:val="0091615B"/>
    <w:rsid w:val="009B5B26"/>
    <w:rsid w:val="009C7B26"/>
    <w:rsid w:val="00A063CE"/>
    <w:rsid w:val="00A11E52"/>
    <w:rsid w:val="00B2483D"/>
    <w:rsid w:val="00BD41E9"/>
    <w:rsid w:val="00C84413"/>
    <w:rsid w:val="00CD588F"/>
    <w:rsid w:val="00D10DE6"/>
    <w:rsid w:val="00DA0566"/>
    <w:rsid w:val="00DA59DB"/>
    <w:rsid w:val="00F0230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2234</Words>
  <Characters>13320</Characters>
  <Application>Microsoft Office Word</Application>
  <DocSecurity>0</DocSecurity>
  <Lines>532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16</cp:revision>
  <dcterms:created xsi:type="dcterms:W3CDTF">2022-02-28T12:21:00Z</dcterms:created>
  <dcterms:modified xsi:type="dcterms:W3CDTF">2025-09-03T14:04:00Z</dcterms:modified>
</cp:coreProperties>
</file>