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r>
              <w:t>Data availability section: Svep1 mouse available from MMRRC (MMRRC:049943-UCD).</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334797D8"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r>
              <w:t>Methods, Immunohistochemistry; antibody details are stated to be in Supplementary Methods.</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74E5EDA1" w:rsidR="00F102CC" w:rsidRPr="003D5AF6" w:rsidRDefault="00F102CC">
            <w:pPr>
              <w:rPr>
                <w:rFonts w:ascii="Noto Sans" w:eastAsia="Noto Sans" w:hAnsi="Noto Sans" w:cs="Noto Sans"/>
                <w:bCs/>
                <w:color w:val="434343"/>
                <w:sz w:val="18"/>
                <w:szCs w:val="18"/>
              </w:rPr>
            </w:pP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Short novel DNA or RNA including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r>
              <w:t>Methods, In situ hybridization (ISH): Svep1 riboprobe primer sequences are provided; gene-specific qPCR primers are referenced to Supplementary Methods.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5C9901C6"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r>
              <w:t>X</w:t>
            </w: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r>
              <w:t>X</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r>
              <w:t>Methods, “Svep1 mutant mice” and “Histology”: mouse strain/allele and embryonic ages are reported; MMRRC accession is given in Data availability.</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3A6FDEB8" w:rsidR="00F102CC" w:rsidRPr="003D5AF6" w:rsidRDefault="00F102CC">
            <w:pPr>
              <w:rPr>
                <w:rFonts w:ascii="Noto Sans" w:eastAsia="Noto Sans" w:hAnsi="Noto Sans" w:cs="Noto Sans"/>
                <w:bCs/>
                <w:color w:val="434343"/>
                <w:sz w:val="18"/>
                <w:szCs w:val="18"/>
              </w:rPr>
            </w:pP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r>
              <w:t>X</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Plants: provide species and strain, ecotype and cultivar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r>
              <w:t>X</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r>
              <w:t>X</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r>
              <w:t>X</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r>
              <w:t>X</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r>
              <w:t>Methods; published methods are cited where applicable (e.g., ISH), with additional details referenced to Supplementary Methods.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1D8DC753" w:rsidR="00F102CC" w:rsidRPr="003D5AF6" w:rsidRDefault="00F102CC">
            <w:pPr>
              <w:spacing w:line="225" w:lineRule="auto"/>
              <w:rPr>
                <w:rFonts w:ascii="Noto Sans" w:eastAsia="Noto Sans" w:hAnsi="Noto Sans" w:cs="Noto Sans"/>
                <w:bCs/>
                <w:color w:val="434343"/>
                <w:sz w:val="18"/>
                <w:szCs w:val="18"/>
              </w:rPr>
            </w:pP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lastRenderedPageBreak/>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For in vivo studies: State whether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Not done. No formal a priori power/sample-size calculation was performed.</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6C46D03" w14:textId="63248328"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Yes. Embryos/samples were randomly assigned to experimental groups/treatments.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DB5D726" w14:textId="0AC884BA" w:rsidR="00F102CC" w:rsidRDefault="00F102CC">
            <w:pPr>
              <w:spacing w:line="225" w:lineRule="auto"/>
              <w:rPr>
                <w:rFonts w:ascii="Noto Sans" w:eastAsia="Noto Sans" w:hAnsi="Noto Sans" w:cs="Noto Sans"/>
                <w:b/>
                <w:color w:val="434343"/>
                <w:sz w:val="18"/>
                <w:szCs w:val="18"/>
              </w:rPr>
            </w:pP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Yes, where feasible. Experiments and image/data analyses were performed blinded to genotype/treatment; however, the pronounced morphological phenotype of Svep1-/- lungs could make genotype apparent in some experiments.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7AE9083" w14:textId="49989C53" w:rsidR="00F102CC" w:rsidRPr="003D5AF6" w:rsidRDefault="00F102CC">
            <w:pPr>
              <w:spacing w:line="225" w:lineRule="auto"/>
              <w:rPr>
                <w:rFonts w:ascii="Noto Sans" w:eastAsia="Noto Sans" w:hAnsi="Noto Sans" w:cs="Noto Sans"/>
                <w:bCs/>
                <w:color w:val="434343"/>
                <w:sz w:val="18"/>
                <w:szCs w:val="18"/>
              </w:rPr>
            </w:pP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No animals, samples, or data points were excluded from the analyses.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057DC8" w14:textId="7EB2044D" w:rsidR="00F102CC" w:rsidRPr="003D5AF6" w:rsidRDefault="00F102CC">
            <w:pPr>
              <w:spacing w:line="225" w:lineRule="auto"/>
              <w:rPr>
                <w:rFonts w:ascii="Noto Sans" w:eastAsia="Noto Sans" w:hAnsi="Noto Sans" w:cs="Noto Sans"/>
                <w:bCs/>
                <w:color w:val="434343"/>
                <w:sz w:val="18"/>
                <w:szCs w:val="18"/>
              </w:rPr>
            </w:pPr>
          </w:p>
        </w:tc>
      </w:tr>
      <w:tr w:rsidR="00F102CC" w14:paraId="14D7061B" w14:textId="77777777">
        <w:trPr>
          <w:trHeight w:val="425"/>
        </w:trPr>
        <w:tc>
          <w:tcPr>
            <w:tcW w:w="5595" w:type="dxa"/>
            <w:tcBorders>
              <w:top w:val="nil"/>
              <w:left w:val="nil"/>
              <w:bottom w:val="nil"/>
              <w:right w:val="nil"/>
            </w:tcBorders>
            <w:shd w:val="clear" w:color="auto" w:fill="auto"/>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shd w:val="clear" w:color="auto" w:fill="auto"/>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shd w:val="clear" w:color="auto" w:fill="auto"/>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Figure legends and source-data files report sample numbers for the individual experiments; manuscript does not provide one global replication statement.</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08BC811" w14:textId="0E5BEA3F"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The n values reported in the figures and source-data files represent independent biological samples/embryos.</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2233BF82" w14:textId="7736387E"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X</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All animals were handled according to approved Institutional Animal Care and Use Committee (IACUC) protocols at Massachusetts General Hospital (protocols #2012N000025/MGH and #2009N000243/MGH).</w:t>
            </w: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7F5B8D86" w14:textId="189E6E70" w:rsidR="00F102CC" w:rsidRPr="003D5AF6" w:rsidRDefault="00F102CC">
            <w:pPr>
              <w:spacing w:line="225" w:lineRule="auto"/>
              <w:rPr>
                <w:rFonts w:ascii="Noto Sans" w:eastAsia="Noto Sans" w:hAnsi="Noto Sans" w:cs="Noto Sans"/>
                <w:bCs/>
                <w:color w:val="434343"/>
                <w:sz w:val="18"/>
                <w:szCs w:val="18"/>
              </w:rPr>
            </w:pP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X</w:t>
            </w:r>
          </w:p>
        </w:tc>
      </w:tr>
      <w:tr w:rsidR="00F102CC" w14:paraId="79A7C842" w14:textId="77777777">
        <w:trPr>
          <w:trHeight w:val="425"/>
        </w:trPr>
        <w:tc>
          <w:tcPr>
            <w:tcW w:w="5595" w:type="dxa"/>
            <w:tcBorders>
              <w:top w:val="nil"/>
              <w:left w:val="nil"/>
              <w:bottom w:val="single" w:sz="8" w:space="0" w:color="000000"/>
              <w:right w:val="nil"/>
            </w:tcBorders>
            <w:shd w:val="clear" w:color="auto" w:fill="auto"/>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shd w:val="clear" w:color="auto" w:fill="auto"/>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shd w:val="clear" w:color="auto" w:fill="auto"/>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the authority granting approval and reference number for the regulatory approval.</w:t>
            </w:r>
          </w:p>
        </w:tc>
        <w:tc>
          <w:tcPr>
            <w:tcW w:w="310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X</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lastRenderedPageBreak/>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No animals, samples, or data points were omitted from the analyses.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F182D3B" w14:textId="332782CB" w:rsidR="00F102CC" w:rsidRPr="003D5AF6" w:rsidRDefault="00F102CC">
            <w:pPr>
              <w:spacing w:line="225" w:lineRule="auto"/>
              <w:rPr>
                <w:rFonts w:ascii="Noto Sans" w:eastAsia="Noto Sans" w:hAnsi="Noto Sans" w:cs="Noto Sans"/>
                <w:bCs/>
                <w:color w:val="434343"/>
                <w:sz w:val="18"/>
                <w:szCs w:val="18"/>
              </w:rPr>
            </w:pPr>
          </w:p>
        </w:tc>
      </w:tr>
      <w:tr w:rsidR="00F102CC" w14:paraId="3864D7CC"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Methods: branching and explant analyses; scRNA-seq analysis; Quantitative PCR. Corresponding figure legends and source-data files specify tests for individual comparisons.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Data availability section.</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Data availability: NCBI GEO accession GSE316115.</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N/A</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shd w:val="clear" w:color="auto" w:fill="auto"/>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shd w:val="clear" w:color="auto" w:fill="auto"/>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shd w:val="clear" w:color="auto" w:fill="auto"/>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N/A — no newly generated essential code is described; analysis software is identified/cited in Methods.</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2A8F5375" w14:textId="22D9E917" w:rsidR="00F102CC" w:rsidRDefault="005B0259">
            <w:pPr>
              <w:rPr>
                <w:rFonts w:ascii="Noto Sans" w:eastAsia="Noto Sans" w:hAnsi="Noto Sans" w:cs="Noto Sans"/>
                <w:color w:val="434343"/>
                <w:sz w:val="18"/>
                <w:szCs w:val="18"/>
              </w:rPr>
            </w:pPr>
            <w:r>
              <w:rPr>
                <w:rFonts w:ascii="Noto Sans" w:eastAsia="Noto Sans" w:hAnsi="Noto Sans" w:cs="Noto Sans"/>
                <w:color w:val="434343"/>
                <w:sz w:val="18"/>
                <w:szCs w:val="18"/>
              </w:rPr>
              <w:t>Where</w:t>
            </w:r>
            <w:r w:rsidR="00427975">
              <w:rPr>
                <w:rFonts w:ascii="Noto Sans" w:eastAsia="Noto Sans" w:hAnsi="Noto Sans" w:cs="Noto Sans"/>
                <w:color w:val="434343"/>
                <w:sz w:val="18"/>
                <w:szCs w:val="18"/>
              </w:rPr>
              <w:t xml:space="preserve"> newly generated code is publicly available, provide accession number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N/A</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Methods: ImageJ, Seurat, Metascape, VLAD, Gene Ontology enrichment, and Morpheus are identified/cited as applicable.</w:t>
            </w:r>
          </w:p>
        </w:tc>
        <w:tc>
          <w:tcPr>
            <w:tcW w:w="97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418D9987" w14:textId="793BC5DE" w:rsidR="00F102CC" w:rsidRPr="003D5AF6" w:rsidRDefault="00F102CC">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lastRenderedPageBreak/>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State if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
              <w:t>This completed MDAR Checklist is provided with the manuscript. No additional community-standard checklist is specified in the manuscript.</w:t>
            </w:r>
          </w:p>
        </w:tc>
        <w:tc>
          <w:tcPr>
            <w:tcW w:w="8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14:paraId="69B93BA4" w14:textId="0522CE96" w:rsidR="00F102CC" w:rsidRPr="003D5AF6" w:rsidRDefault="00F102CC">
            <w:pPr>
              <w:spacing w:line="225" w:lineRule="auto"/>
              <w:rPr>
                <w:rFonts w:ascii="Noto Sans" w:eastAsia="Noto Sans" w:hAnsi="Noto Sans" w:cs="Noto Sans"/>
                <w:bCs/>
                <w:color w:val="434343"/>
                <w:sz w:val="18"/>
                <w:szCs w:val="18"/>
              </w:rPr>
            </w:pP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B600B">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4">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Report exact p-values wherever possible alongside the summary statistics and 95% confidence 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5"/>
      <w:footerReference w:type="default" r:id="rId16"/>
      <w:headerReference w:type="first" r:id="rId17"/>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D307E" w14:textId="77777777" w:rsidR="000B600B" w:rsidRDefault="000B600B">
      <w:r>
        <w:separator/>
      </w:r>
    </w:p>
  </w:endnote>
  <w:endnote w:type="continuationSeparator" w:id="0">
    <w:p w14:paraId="4FBDC3C1" w14:textId="77777777" w:rsidR="000B600B" w:rsidRDefault="000B60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panose1 w:val="020B0604020202020204"/>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8D4CA" w14:textId="77777777" w:rsidR="000B600B" w:rsidRDefault="000B600B">
      <w:r>
        <w:separator/>
      </w:r>
    </w:p>
  </w:footnote>
  <w:footnote w:type="continuationSeparator" w:id="0">
    <w:p w14:paraId="3D012B3B" w14:textId="77777777" w:rsidR="000B600B" w:rsidRDefault="000B60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B600B"/>
    <w:rsid w:val="001B3BCC"/>
    <w:rsid w:val="002209A8"/>
    <w:rsid w:val="003D5AF6"/>
    <w:rsid w:val="00400C53"/>
    <w:rsid w:val="00427975"/>
    <w:rsid w:val="004E2C31"/>
    <w:rsid w:val="005B0259"/>
    <w:rsid w:val="007054B6"/>
    <w:rsid w:val="0078687E"/>
    <w:rsid w:val="009C7B26"/>
    <w:rsid w:val="00A11E52"/>
    <w:rsid w:val="00B2483D"/>
    <w:rsid w:val="00BD41E9"/>
    <w:rsid w:val="00C84413"/>
    <w:rsid w:val="00F102CC"/>
    <w:rsid w:val="00F91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doi.org/10.1038/d41586-020-01751-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7554/eLife.48175"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1410</Words>
  <Characters>8041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Andy Collings</cp:lastModifiedBy>
  <cp:revision>6</cp:revision>
  <dcterms:created xsi:type="dcterms:W3CDTF">2022-02-28T12:21:00Z</dcterms:created>
  <dcterms:modified xsi:type="dcterms:W3CDTF">2024-07-02T16:42:00Z</dcterms:modified>
</cp:coreProperties>
</file>