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0"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0"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0"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0"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0"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CellMar>
          <w:top w:w="100" w:type="dxa"/>
          <w:left w:w="100" w:type="dxa"/>
          <w:bottom w:w="100" w:type="dxa"/>
          <w:right w:w="100" w:type="dxa"/>
        </w:tblCellMar>
        <w:tblLook w:val="0600" w:noHBand="1" w:noVBand="1" w:firstColumn="0" w:lastRow="0" w:lastColumn="0" w:firstRow="0"/>
      </w:tblPr>
      <w:tblGrid>
        <w:gridCol w:w="5550"/>
        <w:gridCol w:w="3075"/>
        <w:gridCol w:w="1095"/>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See "Compilation of life history traits" and "Data access" sections.</w:t>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cPr>
          <w:p>
            <w:pPr>
              <w:pStyle w:val="Normal"/>
              <w:spacing w:lineRule="auto" w:line="218"/>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cPr>
          <w:p>
            <w:pPr>
              <w:pStyle w:val="Normal"/>
              <w:spacing w:lineRule="auto" w:line="218"/>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bottom w:val="single" w:sz="8" w:space="0" w:color="000000"/>
            </w:tcBorders>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0"/>
              <w:bottom w:val="single" w:sz="8" w:space="0" w:color="000000"/>
            </w:tcBorders>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spacing w:lineRule="auto" w:line="218"/>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18"/>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
                <w:bCs/>
                <w:color w:val="434343"/>
                <w:sz w:val="18"/>
                <w:szCs w:val="18"/>
              </w:rPr>
              <w:t>N/A</w:t>
            </w:r>
          </w:p>
        </w:tc>
      </w:tr>
    </w:tbl>
    <w:p>
      <w:pPr>
        <w:pStyle w:val="Normal"/>
        <w:spacing w:lineRule="auto" w:line="220"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CellMar>
          <w:top w:w="100" w:type="dxa"/>
          <w:left w:w="100" w:type="dxa"/>
          <w:bottom w:w="100" w:type="dxa"/>
          <w:right w:w="100" w:type="dxa"/>
        </w:tblCellMar>
        <w:tblLook w:val="0600" w:noHBand="1" w:noVBand="1" w:firstColumn="0" w:lastRow="0" w:lastColumn="0" w:firstRow="0"/>
      </w:tblPr>
      <w:tblGrid>
        <w:gridCol w:w="5595"/>
        <w:gridCol w:w="3102"/>
        <w:gridCol w:w="993"/>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2"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2"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2"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
                <w:bCs/>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2"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2"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0"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CellMar>
          <w:top w:w="100" w:type="dxa"/>
          <w:left w:w="100" w:type="dxa"/>
          <w:bottom w:w="100" w:type="dxa"/>
          <w:right w:w="100" w:type="dxa"/>
        </w:tblCellMar>
        <w:tblLook w:val="0600" w:noHBand="1" w:noVBand="1" w:firstColumn="0" w:lastRow="0" w:lastColumn="0" w:firstRow="0"/>
      </w:tblPr>
      <w:tblGrid>
        <w:gridCol w:w="5562"/>
        <w:gridCol w:w="3166"/>
        <w:gridCol w:w="977"/>
      </w:tblGrid>
      <w:tr>
        <w:trPr>
          <w:trHeight w:val="425" w:hRule="atLeast"/>
        </w:trPr>
        <w:tc>
          <w:tcPr>
            <w:tcW w:w="5562"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6"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Data selection is described in the "Dataset" section (Material and Methods). Filtering criteria to compute dN/dS and perform analyses on a reduced dataset are detailed in the "dN/dS estimation" section (Materials and Methods).</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Phylogenetic independent contrasts (PIC) were used to correct correlations for phylogenetic inertia (Figure </w:t>
            </w:r>
            <w:r>
              <w:rPr>
                <w:rFonts w:eastAsia="Noto Sans" w:cs="Noto Sans" w:ascii="Noto Sans" w:hAnsi="Noto Sans"/>
                <w:bCs/>
                <w:color w:val="434343"/>
                <w:sz w:val="18"/>
                <w:szCs w:val="18"/>
              </w:rPr>
              <w:t>4</w:t>
            </w:r>
            <w:r>
              <w:rPr>
                <w:rFonts w:eastAsia="Noto Sans" w:cs="Noto Sans" w:ascii="Noto Sans" w:hAnsi="Noto Sans"/>
                <w:bCs/>
                <w:color w:val="434343"/>
                <w:sz w:val="18"/>
                <w:szCs w:val="18"/>
              </w:rPr>
              <w:t xml:space="preserve"> - figure supplements 1-</w:t>
            </w:r>
            <w:r>
              <w:rPr>
                <w:rFonts w:eastAsia="Noto Sans" w:cs="Noto Sans" w:ascii="Noto Sans" w:hAnsi="Noto Sans"/>
                <w:bCs/>
                <w:color w:val="434343"/>
                <w:sz w:val="18"/>
                <w:szCs w:val="18"/>
              </w:rPr>
              <w:t>3</w:t>
            </w:r>
            <w:r>
              <w:rPr>
                <w:rFonts w:eastAsia="Noto Sans" w:cs="Noto Sans" w:ascii="Noto Sans" w:hAnsi="Noto Sans"/>
                <w:bCs/>
                <w:color w:val="434343"/>
                <w:sz w:val="18"/>
                <w:szCs w:val="18"/>
              </w:rPr>
              <w:t>; Table</w:t>
            </w:r>
            <w:r>
              <w:rPr>
                <w:rFonts w:eastAsia="Noto Sans" w:cs="Noto Sans" w:ascii="Noto Sans" w:hAnsi="Noto Sans"/>
                <w:bCs/>
                <w:color w:val="434343"/>
                <w:sz w:val="18"/>
                <w:szCs w:val="18"/>
              </w:rPr>
              <w:t>s</w:t>
            </w:r>
            <w:r>
              <w:rPr>
                <w:rFonts w:eastAsia="Noto Sans" w:cs="Noto Sans" w:ascii="Noto Sans" w:hAnsi="Noto Sans"/>
                <w:bCs/>
                <w:color w:val="434343"/>
                <w:sz w:val="18"/>
                <w:szCs w:val="18"/>
              </w:rPr>
              <w:t xml:space="preserve"> 1-</w:t>
            </w:r>
            <w:r>
              <w:rPr>
                <w:rFonts w:eastAsia="Noto Sans" w:cs="Noto Sans" w:ascii="Noto Sans" w:hAnsi="Noto Sans"/>
                <w:bCs/>
                <w:color w:val="434343"/>
                <w:sz w:val="18"/>
                <w:szCs w:val="18"/>
              </w:rPr>
              <w:t>4</w:t>
            </w:r>
            <w:r>
              <w:rPr>
                <w:rFonts w:eastAsia="Noto Sans" w:cs="Noto Sans" w:ascii="Noto Sans" w:hAnsi="Noto Sans"/>
                <w:bCs/>
                <w:color w:val="434343"/>
                <w:sz w:val="18"/>
                <w:szCs w:val="18"/>
              </w:rPr>
              <w:t xml:space="preserve">). To compare different methods of genome size, transposable elements content and dN/dS estimation, Pearson's correlation and Wilcoxon's signed-rank tests were used ("Genome size estimation", "Transposable elements and genome size variation" sections; </w:t>
            </w:r>
            <w:r>
              <w:rPr>
                <w:rFonts w:eastAsia="Noto Sans" w:cs="Noto Sans" w:ascii="Noto Sans" w:hAnsi="Noto Sans"/>
                <w:bCs/>
                <w:color w:val="434343"/>
                <w:sz w:val="18"/>
                <w:szCs w:val="18"/>
              </w:rPr>
              <w:t>Figures 2,3,5,6</w:t>
            </w:r>
            <w:r>
              <w:rPr>
                <w:rFonts w:eastAsia="Noto Sans" w:cs="Noto Sans" w:ascii="Noto Sans" w:hAnsi="Noto Sans"/>
                <w:bCs/>
                <w:color w:val="434343"/>
                <w:sz w:val="18"/>
                <w:szCs w:val="18"/>
              </w:rPr>
              <w:t>). Expected genome sizes were extracted using a Weighted Least Square method (</w:t>
            </w:r>
            <w:r>
              <w:rPr>
                <w:rFonts w:eastAsia="Noto Sans" w:cs="Noto Sans" w:ascii="Noto Sans" w:hAnsi="Noto Sans"/>
                <w:bCs/>
                <w:color w:val="434343"/>
                <w:sz w:val="18"/>
                <w:szCs w:val="18"/>
              </w:rPr>
              <w:t>Figure 2 – source data 1</w:t>
            </w:r>
            <w:r>
              <w:rPr>
                <w:rFonts w:eastAsia="Noto Sans" w:cs="Noto Sans" w:ascii="Noto Sans" w:hAnsi="Noto Sans"/>
                <w:bCs/>
                <w:color w:val="434343"/>
                <w:sz w:val="18"/>
                <w:szCs w:val="18"/>
              </w:rPr>
              <w:t>, section "Genome size estimation").</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7"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See "Compilation of life-history traits" and "Data access"  sections.</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See "Data access" statement.</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See "Compilation of life-history traits" section and "Data access" statement.</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See "Data access" statement.</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rPr>
            </w:pPr>
            <w:r>
              <w:rPr>
                <w:rFonts w:eastAsia="Noto Sans" w:cs="Noto Sans" w:ascii="Noto Sans" w:hAnsi="Noto Sans"/>
                <w:bCs/>
                <w:color w:val="434343"/>
              </w:rPr>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72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0"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0"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0"/>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CellMar>
          <w:top w:w="100" w:type="dxa"/>
          <w:left w:w="100" w:type="dxa"/>
          <w:bottom w:w="100" w:type="dxa"/>
          <w:right w:w="100" w:type="dxa"/>
        </w:tblCellMar>
        <w:tblLook w:val="0600" w:noHBand="1" w:noVBand="1" w:firstColumn="0" w:lastRow="0" w:lastColumn="0" w:firstRow="0"/>
      </w:tblPr>
      <w:tblGrid>
        <w:gridCol w:w="5487"/>
        <w:gridCol w:w="3330"/>
        <w:gridCol w:w="858"/>
      </w:tblGrid>
      <w:tr>
        <w:trPr>
          <w:trHeight w:val="500" w:hRule="atLeast"/>
        </w:trPr>
        <w:tc>
          <w:tcPr>
            <w:tcW w:w="5487"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8"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7"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5505" cy="2540"/>
                <wp:effectExtent l="0" t="0" r="0" b="0"/>
                <wp:docPr id="1" name="Shape1"/>
                <a:graphic xmlns:a="http://schemas.openxmlformats.org/drawingml/2006/main">
                  <a:graphicData uri="http://schemas.microsoft.com/office/word/2010/wordprocessingShape">
                    <wps:wsp>
                      <wps:cNvSpPr/>
                      <wps:spPr>
                        <a:xfrm>
                          <a:off x="0" y="0"/>
                          <a:ext cx="5945040" cy="180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fillcolor="#a0a0a0" stroked="f" style="position:absolute;margin-left:0pt;margin-top:-0.2pt;width:468.05pt;height:0.1pt;mso-position-vertical:top">
                <w10:wrap type="none"/>
                <v:fill o:detectmouseclick="t" type="solid" color2="#5f5f5f"/>
                <v:stroke color="#3465a4" joinstyle="round" endcap="flat"/>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LibreOffice/6.4.7.2$Linux_X86_64 LibreOffice_project/40$Build-2</Application>
  <Pages>5</Pages>
  <Words>1390</Words>
  <Characters>8494</Characters>
  <CharactersWithSpaces>9757</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en-GB</dc:language>
  <cp:lastModifiedBy/>
  <dcterms:modified xsi:type="dcterms:W3CDTF">2025-06-30T16:01:14Z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