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3" w:type="pct"/>
        <w:jc w:val="center"/>
        <w:tblLook w:val="0420" w:firstRow="1" w:lastRow="0" w:firstColumn="0" w:lastColumn="0" w:noHBand="0" w:noVBand="1"/>
      </w:tblPr>
      <w:tblGrid>
        <w:gridCol w:w="2006"/>
        <w:gridCol w:w="1689"/>
        <w:gridCol w:w="1452"/>
        <w:gridCol w:w="1716"/>
        <w:gridCol w:w="1188"/>
        <w:gridCol w:w="1589"/>
      </w:tblGrid>
      <w:tr w:rsidR="00F71F09" w:rsidRPr="007A2D9D" w14:paraId="61F422E4" w14:textId="77777777" w:rsidTr="00F71F09">
        <w:trPr>
          <w:trHeight w:val="340"/>
          <w:tblHeader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2EC5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34489">
              <w:rPr>
                <w:b/>
                <w:bCs/>
                <w:sz w:val="20"/>
                <w:szCs w:val="20"/>
              </w:rPr>
              <w:t xml:space="preserve">Figure 5 - </w:t>
            </w:r>
            <w:r>
              <w:rPr>
                <w:b/>
                <w:bCs/>
                <w:sz w:val="20"/>
                <w:szCs w:val="20"/>
              </w:rPr>
              <w:t>source data 2</w:t>
            </w:r>
            <w:r w:rsidRPr="007A2D9D">
              <w:rPr>
                <w:sz w:val="20"/>
                <w:szCs w:val="20"/>
              </w:rPr>
              <w:t>. Effects of forepaw dexterity and sociality on relative length of the postcruciate sulcus</w:t>
            </w:r>
          </w:p>
        </w:tc>
      </w:tr>
      <w:tr w:rsidR="00F71F09" w:rsidRPr="007A2D9D" w14:paraId="6283C4AA" w14:textId="77777777" w:rsidTr="00F71F09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712C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Predictor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97D9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Reference sulcus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4B34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Hemisphere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EEF9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i/>
                <w:sz w:val="20"/>
                <w:szCs w:val="20"/>
                <w:lang w:val="en-US"/>
              </w:rPr>
              <w:t>F (</w:t>
            </w:r>
            <w:proofErr w:type="spellStart"/>
            <w:r w:rsidRPr="007A2D9D">
              <w:rPr>
                <w:i/>
                <w:sz w:val="20"/>
                <w:szCs w:val="20"/>
                <w:lang w:val="en-US"/>
              </w:rPr>
              <w:t>df</w:t>
            </w:r>
            <w:r w:rsidRPr="007A2D9D">
              <w:rPr>
                <w:i/>
                <w:sz w:val="20"/>
                <w:szCs w:val="20"/>
                <w:vertAlign w:val="subscript"/>
                <w:lang w:val="en-US"/>
              </w:rPr>
              <w:t>num</w:t>
            </w:r>
            <w:proofErr w:type="spellEnd"/>
            <w:r w:rsidRPr="007A2D9D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2D9D">
              <w:rPr>
                <w:i/>
                <w:sz w:val="20"/>
                <w:szCs w:val="20"/>
                <w:lang w:val="en-US"/>
              </w:rPr>
              <w:t>df</w:t>
            </w:r>
            <w:r w:rsidRPr="007A2D9D">
              <w:rPr>
                <w:i/>
                <w:sz w:val="20"/>
                <w:szCs w:val="20"/>
                <w:vertAlign w:val="subscript"/>
                <w:lang w:val="en-US"/>
              </w:rPr>
              <w:t>den</w:t>
            </w:r>
            <w:proofErr w:type="spellEnd"/>
            <w:r w:rsidRPr="007A2D9D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7B36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754D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η²</w:t>
            </w:r>
            <w:r w:rsidRPr="007A2D9D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ₚ</w:t>
            </w:r>
          </w:p>
        </w:tc>
      </w:tr>
      <w:tr w:rsidR="00F71F09" w:rsidRPr="007A2D9D" w14:paraId="11195A76" w14:textId="77777777" w:rsidTr="00F71F09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A8B6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76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5118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CCAE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9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E337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71.71 (1, 22)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6AB4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824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5E4C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.75</w:t>
            </w:r>
          </w:p>
        </w:tc>
      </w:tr>
      <w:tr w:rsidR="00F71F09" w:rsidRPr="007A2D9D" w14:paraId="0BDCC412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13F9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E64A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6C83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D04F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5.28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1DB3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.03150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1BF2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.19</w:t>
            </w:r>
          </w:p>
        </w:tc>
      </w:tr>
      <w:tr w:rsidR="00F71F09" w:rsidRPr="007A2D9D" w14:paraId="135F5EFF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A003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52C7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8544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6DE7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46.79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F57B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633A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.66</w:t>
            </w:r>
          </w:p>
        </w:tc>
      </w:tr>
      <w:tr w:rsidR="00F71F09" w:rsidRPr="007A2D9D" w14:paraId="0CD3F65B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1595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D0C4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CEA9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12F8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3.94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8B50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.05970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4006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.15</w:t>
            </w:r>
          </w:p>
        </w:tc>
      </w:tr>
      <w:tr w:rsidR="00F71F09" w:rsidRPr="007A2D9D" w14:paraId="533BE5F0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C22C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E5E7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B98A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CF42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56.22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CE93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AEB4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.70</w:t>
            </w:r>
          </w:p>
        </w:tc>
      </w:tr>
      <w:tr w:rsidR="00F71F09" w:rsidRPr="007A2D9D" w14:paraId="2B5EFD77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0B05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88B3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F240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5611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4.09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BBB2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.05560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5641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.16</w:t>
            </w:r>
          </w:p>
        </w:tc>
      </w:tr>
      <w:tr w:rsidR="00F71F09" w:rsidRPr="007A2D9D" w14:paraId="79F0AB1A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8FD3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8A6F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BD08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CDB9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52.06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08C0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7FB9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.69</w:t>
            </w:r>
          </w:p>
        </w:tc>
      </w:tr>
      <w:tr w:rsidR="00F71F09" w:rsidRPr="007A2D9D" w14:paraId="47A56DC4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0EEA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F442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6C3C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EEA0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4.72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25C7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.04080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045F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.18</w:t>
            </w:r>
          </w:p>
        </w:tc>
      </w:tr>
      <w:tr w:rsidR="00F71F09" w:rsidRPr="007A2D9D" w14:paraId="72D98C47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D1B5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D249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29F1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B9EB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38.24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757E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25AF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.64</w:t>
            </w:r>
          </w:p>
        </w:tc>
      </w:tr>
      <w:tr w:rsidR="00F71F09" w:rsidRPr="007A2D9D" w14:paraId="14BF59D4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7A9A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34B2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66D4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CEDF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.00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2498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.97190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9E0E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.00</w:t>
            </w:r>
          </w:p>
        </w:tc>
      </w:tr>
      <w:tr w:rsidR="00F71F09" w:rsidRPr="007A2D9D" w14:paraId="0A4FB6EE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CC39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4EA6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E2A9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5B9E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30.57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774B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493D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.59</w:t>
            </w:r>
          </w:p>
        </w:tc>
      </w:tr>
      <w:tr w:rsidR="00F71F09" w:rsidRPr="007A2D9D" w14:paraId="6D52081D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6F0D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0E1A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E71F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4469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.00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5A2B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.96130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FE4A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.00</w:t>
            </w:r>
          </w:p>
        </w:tc>
      </w:tr>
      <w:tr w:rsidR="00F71F09" w:rsidRPr="007A2D9D" w14:paraId="549C72C8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3951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D122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F72A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0316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84.59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545C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2070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.79</w:t>
            </w:r>
          </w:p>
        </w:tc>
      </w:tr>
      <w:tr w:rsidR="00F71F09" w:rsidRPr="007A2D9D" w14:paraId="344FEDFC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3382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B554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2CB5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09BF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.61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D71B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.44400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DDE1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.03</w:t>
            </w:r>
          </w:p>
        </w:tc>
      </w:tr>
      <w:tr w:rsidR="00F71F09" w:rsidRPr="007A2D9D" w14:paraId="37CCBAA2" w14:textId="77777777" w:rsidTr="00F71F09">
        <w:trPr>
          <w:trHeight w:val="3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AFF0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90C2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4502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9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3219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96.33 (1, 22)</w:t>
            </w:r>
          </w:p>
        </w:tc>
        <w:tc>
          <w:tcPr>
            <w:tcW w:w="6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B0CA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&lt; .00001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08B4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.82</w:t>
            </w:r>
          </w:p>
        </w:tc>
      </w:tr>
      <w:tr w:rsidR="00F71F09" w:rsidRPr="007A2D9D" w14:paraId="538556DC" w14:textId="77777777" w:rsidTr="00F71F09">
        <w:trPr>
          <w:trHeight w:val="34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9924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CE13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7A21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2BE9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.04 (1, 22)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875F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.84340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3FC5" w14:textId="77777777" w:rsidR="00F71F09" w:rsidRPr="007A2D9D" w:rsidRDefault="00F71F09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.00</w:t>
            </w:r>
          </w:p>
        </w:tc>
      </w:tr>
      <w:tr w:rsidR="00F71F09" w:rsidRPr="007A2D9D" w14:paraId="782B64AE" w14:textId="77777777" w:rsidTr="00F71F09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1E26" w14:textId="77777777" w:rsidR="00F71F09" w:rsidRPr="007A2D9D" w:rsidRDefault="00F71F09" w:rsidP="00307CC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A2D9D">
              <w:rPr>
                <w:i/>
                <w:iCs/>
                <w:sz w:val="20"/>
                <w:szCs w:val="20"/>
              </w:rPr>
              <w:t>Note</w:t>
            </w:r>
            <w:r w:rsidRPr="007A2D9D">
              <w:rPr>
                <w:sz w:val="20"/>
                <w:szCs w:val="20"/>
              </w:rPr>
              <w:t xml:space="preserve">. Linear models were used to test the effects of two categorical behavioural predictors: forepaw dexterity (low, high) and sociality (solitary, cooperative hunting) on the relative length of the postcruciate sulcus. Models were fit separately for each hemisphere (left, right) and each target-reference sulcus pair. Significant </w:t>
            </w:r>
            <w:r w:rsidRPr="007A2D9D">
              <w:rPr>
                <w:i/>
                <w:iCs/>
                <w:sz w:val="20"/>
                <w:szCs w:val="20"/>
              </w:rPr>
              <w:t>p</w:t>
            </w:r>
            <w:r w:rsidRPr="007A2D9D">
              <w:rPr>
                <w:sz w:val="20"/>
                <w:szCs w:val="20"/>
              </w:rPr>
              <w:t xml:space="preserve">-values (bolded) indicate greater relative sulcal length in species with high dexterity or cooperative hunting behaviour. Proportions of significant results are presented in </w:t>
            </w:r>
            <w:r w:rsidRPr="006E45C1">
              <w:rPr>
                <w:b/>
                <w:bCs/>
                <w:sz w:val="20"/>
                <w:szCs w:val="20"/>
              </w:rPr>
              <w:t>Figure 5 - figure supplement 1</w:t>
            </w:r>
            <w:r w:rsidRPr="007A2D9D">
              <w:rPr>
                <w:sz w:val="20"/>
                <w:szCs w:val="20"/>
              </w:rPr>
              <w:t xml:space="preserve">. P </w:t>
            </w:r>
            <w:proofErr w:type="spellStart"/>
            <w:r w:rsidRPr="007A2D9D">
              <w:rPr>
                <w:i/>
                <w:iCs/>
                <w:sz w:val="20"/>
                <w:szCs w:val="20"/>
              </w:rPr>
              <w:t>df</w:t>
            </w:r>
            <w:r w:rsidRPr="007A2D9D">
              <w:rPr>
                <w:sz w:val="20"/>
                <w:szCs w:val="20"/>
                <w:vertAlign w:val="subscript"/>
              </w:rPr>
              <w:t>num</w:t>
            </w:r>
            <w:proofErr w:type="spellEnd"/>
            <w:r w:rsidRPr="007A2D9D">
              <w:rPr>
                <w:sz w:val="20"/>
                <w:szCs w:val="20"/>
              </w:rPr>
              <w:t xml:space="preserve">, degrees of freedom numerator; </w:t>
            </w:r>
            <w:proofErr w:type="spellStart"/>
            <w:r w:rsidRPr="007A2D9D">
              <w:rPr>
                <w:i/>
                <w:iCs/>
                <w:sz w:val="20"/>
                <w:szCs w:val="20"/>
              </w:rPr>
              <w:t>df</w:t>
            </w:r>
            <w:r w:rsidRPr="007A2D9D">
              <w:rPr>
                <w:sz w:val="20"/>
                <w:szCs w:val="20"/>
                <w:vertAlign w:val="subscript"/>
              </w:rPr>
              <w:t>den</w:t>
            </w:r>
            <w:proofErr w:type="spellEnd"/>
            <w:r w:rsidRPr="007A2D9D">
              <w:rPr>
                <w:sz w:val="20"/>
                <w:szCs w:val="20"/>
              </w:rPr>
              <w:t xml:space="preserve"> degrees of freedom denominator; η²</w:t>
            </w:r>
            <w:r w:rsidRPr="007A2D9D">
              <w:rPr>
                <w:rFonts w:ascii="Segoe UI Symbol" w:hAnsi="Segoe UI Symbol" w:cs="Segoe UI Symbol"/>
                <w:sz w:val="20"/>
                <w:szCs w:val="20"/>
              </w:rPr>
              <w:t>ₚ</w:t>
            </w:r>
            <w:r w:rsidRPr="007A2D9D">
              <w:rPr>
                <w:sz w:val="20"/>
                <w:szCs w:val="20"/>
              </w:rPr>
              <w:t>, partial eta squared</w:t>
            </w:r>
          </w:p>
        </w:tc>
      </w:tr>
    </w:tbl>
    <w:p w14:paraId="74064643" w14:textId="77777777" w:rsidR="00F52BF2" w:rsidRDefault="00F52BF2"/>
    <w:sectPr w:rsidR="00F52B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Times New Roman"/>
    <w:panose1 w:val="020B0604020202020204"/>
    <w:charset w:val="00"/>
    <w:family w:val="swiss"/>
    <w:pitch w:val="variable"/>
    <w:sig w:usb0="00000000" w:usb1="D200FDFF" w:usb2="0A042029" w:usb3="00000000" w:csb0="8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09"/>
    <w:rsid w:val="002249EC"/>
    <w:rsid w:val="005B4423"/>
    <w:rsid w:val="006A46DB"/>
    <w:rsid w:val="00734AAC"/>
    <w:rsid w:val="008433CE"/>
    <w:rsid w:val="00B15D67"/>
    <w:rsid w:val="00CB46DE"/>
    <w:rsid w:val="00CC5ABC"/>
    <w:rsid w:val="00F52BF2"/>
    <w:rsid w:val="00F7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2965F5"/>
  <w15:chartTrackingRefBased/>
  <w15:docId w15:val="{EE3E52C6-F2DE-D84F-8068-EBDDF718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F09"/>
    <w:pPr>
      <w:spacing w:line="360" w:lineRule="auto"/>
      <w:ind w:firstLine="567"/>
      <w:jc w:val="both"/>
    </w:pPr>
    <w:rPr>
      <w:rFonts w:ascii="Arial" w:hAnsi="Arial" w:cs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1F09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1F09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1F09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1F09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1F09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1F09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1F09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1F09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1F09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1F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1F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1F0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1F0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1F09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1F0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1F09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1F0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1F09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F71F09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1F0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1F09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1F0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F71F09"/>
    <w:pPr>
      <w:spacing w:before="160" w:after="160" w:line="240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1F09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F71F09"/>
    <w:pPr>
      <w:spacing w:line="240" w:lineRule="auto"/>
      <w:ind w:left="720" w:firstLine="0"/>
      <w:contextualSpacing/>
      <w:jc w:val="left"/>
    </w:pPr>
    <w:rPr>
      <w:rFonts w:asciiTheme="minorHAnsi" w:hAnsiTheme="minorHAnsi" w:cstheme="minorBidi"/>
    </w:rPr>
  </w:style>
  <w:style w:type="character" w:styleId="IntensiveHervorhebung">
    <w:name w:val="Intense Emphasis"/>
    <w:basedOn w:val="Absatz-Standardschriftart"/>
    <w:uiPriority w:val="21"/>
    <w:qFormat/>
    <w:rsid w:val="00F71F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1F09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F71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Boch</dc:creator>
  <cp:keywords/>
  <dc:description/>
  <cp:lastModifiedBy>Magdalena Boch</cp:lastModifiedBy>
  <cp:revision>1</cp:revision>
  <dcterms:created xsi:type="dcterms:W3CDTF">2025-11-26T17:17:00Z</dcterms:created>
  <dcterms:modified xsi:type="dcterms:W3CDTF">2025-11-26T17:17:00Z</dcterms:modified>
</cp:coreProperties>
</file>