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4DCA8B" w:rsidR="008707FA" w:rsidRPr="009F0C3B" w:rsidRDefault="009F0C3B" w:rsidP="009F0C3B">
      <w:pPr>
        <w:spacing w:after="0"/>
        <w:jc w:val="both"/>
      </w:pPr>
      <w:r>
        <w:rPr>
          <w:b/>
        </w:rPr>
        <w:t xml:space="preserve">Supplementary </w:t>
      </w:r>
      <w:r w:rsidR="00FB218E">
        <w:rPr>
          <w:b/>
        </w:rPr>
        <w:t xml:space="preserve">file </w:t>
      </w:r>
      <w:r w:rsidR="00F35EDA">
        <w:rPr>
          <w:b/>
        </w:rPr>
        <w:t>9</w:t>
      </w:r>
      <w:r>
        <w:rPr>
          <w:b/>
        </w:rPr>
        <w:t>.</w:t>
      </w:r>
      <w:r>
        <w:t xml:space="preserve"> Expression and function of the top 20 genes in TC 121</w:t>
      </w:r>
    </w:p>
    <w:tbl>
      <w:tblPr>
        <w:tblStyle w:val="a"/>
        <w:tblW w:w="938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93"/>
        <w:gridCol w:w="5702"/>
      </w:tblGrid>
      <w:tr w:rsidR="008707FA" w14:paraId="2300FD51" w14:textId="77777777">
        <w:tc>
          <w:tcPr>
            <w:tcW w:w="993" w:type="dxa"/>
          </w:tcPr>
          <w:p w14:paraId="00000002" w14:textId="77777777" w:rsidR="008707FA" w:rsidRDefault="00000000">
            <w:pPr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2693" w:type="dxa"/>
          </w:tcPr>
          <w:p w14:paraId="00000003" w14:textId="77777777" w:rsidR="008707FA" w:rsidRDefault="00000000">
            <w:pPr>
              <w:rPr>
                <w:b/>
              </w:rPr>
            </w:pPr>
            <w:r>
              <w:rPr>
                <w:b/>
              </w:rPr>
              <w:t>Common name</w:t>
            </w:r>
          </w:p>
        </w:tc>
        <w:tc>
          <w:tcPr>
            <w:tcW w:w="5702" w:type="dxa"/>
          </w:tcPr>
          <w:p w14:paraId="00000004" w14:textId="77777777" w:rsidR="008707FA" w:rsidRDefault="00000000">
            <w:pPr>
              <w:rPr>
                <w:b/>
              </w:rPr>
            </w:pPr>
            <w:r>
              <w:rPr>
                <w:b/>
              </w:rPr>
              <w:t>Tissue expression &amp; function</w:t>
            </w:r>
          </w:p>
        </w:tc>
      </w:tr>
      <w:tr w:rsidR="008707FA" w14:paraId="7802D182" w14:textId="77777777">
        <w:tc>
          <w:tcPr>
            <w:tcW w:w="993" w:type="dxa"/>
          </w:tcPr>
          <w:p w14:paraId="00000005" w14:textId="77777777" w:rsidR="008707FA" w:rsidRDefault="00000000">
            <w:r>
              <w:t>LHX8</w:t>
            </w:r>
          </w:p>
        </w:tc>
        <w:tc>
          <w:tcPr>
            <w:tcW w:w="2693" w:type="dxa"/>
          </w:tcPr>
          <w:p w14:paraId="00000006" w14:textId="77777777" w:rsidR="008707FA" w:rsidRDefault="00000000">
            <w:r>
              <w:t>LIM homeobox 8</w:t>
            </w:r>
          </w:p>
        </w:tc>
        <w:tc>
          <w:tcPr>
            <w:tcW w:w="5702" w:type="dxa"/>
          </w:tcPr>
          <w:p w14:paraId="00000007" w14:textId="77777777" w:rsidR="008707FA" w:rsidRDefault="00000000">
            <w:r>
              <w:t>Essential transcription factor for the development of neurons, teeth and oocytes. Appears to be regulated by methylation.</w:t>
            </w:r>
            <w:r>
              <w:rPr>
                <w:vertAlign w:val="superscript"/>
              </w:rPr>
              <w:t>22</w:t>
            </w:r>
            <w:r>
              <w:t xml:space="preserve"> LHX8 methylation is an important marker for precancerous cervical lesions.</w:t>
            </w:r>
            <w:r>
              <w:rPr>
                <w:vertAlign w:val="superscript"/>
              </w:rPr>
              <w:t>23</w:t>
            </w:r>
          </w:p>
        </w:tc>
      </w:tr>
      <w:tr w:rsidR="008707FA" w14:paraId="1F2C5433" w14:textId="77777777">
        <w:tc>
          <w:tcPr>
            <w:tcW w:w="993" w:type="dxa"/>
          </w:tcPr>
          <w:p w14:paraId="00000008" w14:textId="77777777" w:rsidR="008707FA" w:rsidRDefault="00000000">
            <w:r>
              <w:t>DMRTC2</w:t>
            </w:r>
          </w:p>
        </w:tc>
        <w:tc>
          <w:tcPr>
            <w:tcW w:w="2693" w:type="dxa"/>
          </w:tcPr>
          <w:p w14:paraId="00000009" w14:textId="77777777" w:rsidR="008707FA" w:rsidRDefault="00000000">
            <w:r>
              <w:t>DMRT like family C2</w:t>
            </w:r>
          </w:p>
        </w:tc>
        <w:tc>
          <w:tcPr>
            <w:tcW w:w="5702" w:type="dxa"/>
          </w:tcPr>
          <w:p w14:paraId="0000000A" w14:textId="77777777" w:rsidR="008707FA" w:rsidRDefault="00000000">
            <w:r>
              <w:t>Related to male and female germ cell development, downstream of cyclin E.</w:t>
            </w:r>
            <w:r>
              <w:rPr>
                <w:vertAlign w:val="superscript"/>
              </w:rPr>
              <w:t>24,25</w:t>
            </w:r>
          </w:p>
        </w:tc>
      </w:tr>
      <w:tr w:rsidR="008707FA" w14:paraId="02A6F8A1" w14:textId="77777777">
        <w:tc>
          <w:tcPr>
            <w:tcW w:w="993" w:type="dxa"/>
          </w:tcPr>
          <w:p w14:paraId="0000000B" w14:textId="77777777" w:rsidR="008707FA" w:rsidRDefault="00000000">
            <w:r>
              <w:t>EN1</w:t>
            </w:r>
          </w:p>
        </w:tc>
        <w:tc>
          <w:tcPr>
            <w:tcW w:w="2693" w:type="dxa"/>
          </w:tcPr>
          <w:p w14:paraId="0000000C" w14:textId="77777777" w:rsidR="008707FA" w:rsidRDefault="00000000">
            <w:r>
              <w:t>engrailed homeobox 1</w:t>
            </w:r>
          </w:p>
        </w:tc>
        <w:tc>
          <w:tcPr>
            <w:tcW w:w="5702" w:type="dxa"/>
          </w:tcPr>
          <w:p w14:paraId="0000000D" w14:textId="77777777" w:rsidR="008707FA" w:rsidRDefault="00000000">
            <w:r>
              <w:t>Plays a role in central nervous system development and is hypermethylated in HGSOC, colorectal, prostate and breast cancer.</w:t>
            </w:r>
            <w:r>
              <w:rPr>
                <w:vertAlign w:val="superscript"/>
              </w:rPr>
              <w:t>26,27</w:t>
            </w:r>
          </w:p>
        </w:tc>
      </w:tr>
      <w:tr w:rsidR="008707FA" w14:paraId="5A9CF2A2" w14:textId="77777777">
        <w:tc>
          <w:tcPr>
            <w:tcW w:w="993" w:type="dxa"/>
          </w:tcPr>
          <w:p w14:paraId="0000000E" w14:textId="77777777" w:rsidR="008707FA" w:rsidRDefault="00000000">
            <w:r>
              <w:t>ESC1</w:t>
            </w:r>
          </w:p>
        </w:tc>
        <w:tc>
          <w:tcPr>
            <w:tcW w:w="2693" w:type="dxa"/>
          </w:tcPr>
          <w:p w14:paraId="0000000F" w14:textId="77777777" w:rsidR="008707FA" w:rsidRDefault="00000000">
            <w:r>
              <w:t>ESX homeobox 1</w:t>
            </w:r>
          </w:p>
        </w:tc>
        <w:tc>
          <w:tcPr>
            <w:tcW w:w="5702" w:type="dxa"/>
          </w:tcPr>
          <w:p w14:paraId="00000010" w14:textId="77777777" w:rsidR="008707FA" w:rsidRDefault="00000000">
            <w:r>
              <w:t>X-linked, germ cell-specific gene. It is related to cell cycle progression and transcription during spermatogenesis.</w:t>
            </w:r>
            <w:r>
              <w:rPr>
                <w:vertAlign w:val="superscript"/>
              </w:rPr>
              <w:t>28</w:t>
            </w:r>
            <w:r>
              <w:t xml:space="preserve"> Suppresses KRAS signaling in xenograft models, resulting in growth inhibition.</w:t>
            </w:r>
            <w:r>
              <w:rPr>
                <w:vertAlign w:val="superscript"/>
              </w:rPr>
              <w:t>29</w:t>
            </w:r>
          </w:p>
        </w:tc>
      </w:tr>
      <w:tr w:rsidR="008707FA" w14:paraId="521508E5" w14:textId="77777777">
        <w:tc>
          <w:tcPr>
            <w:tcW w:w="993" w:type="dxa"/>
          </w:tcPr>
          <w:p w14:paraId="00000011" w14:textId="77777777" w:rsidR="008707FA" w:rsidRDefault="00000000">
            <w:r>
              <w:t>SOX30</w:t>
            </w:r>
          </w:p>
        </w:tc>
        <w:tc>
          <w:tcPr>
            <w:tcW w:w="2693" w:type="dxa"/>
          </w:tcPr>
          <w:p w14:paraId="00000012" w14:textId="77777777" w:rsidR="008707FA" w:rsidRDefault="00000000">
            <w:r>
              <w:t>SRY-box 30</w:t>
            </w:r>
          </w:p>
        </w:tc>
        <w:tc>
          <w:tcPr>
            <w:tcW w:w="5702" w:type="dxa"/>
          </w:tcPr>
          <w:p w14:paraId="00000013" w14:textId="77777777" w:rsidR="008707FA" w:rsidRDefault="00000000">
            <w:r>
              <w:t>Epigenetically regulated transcription factor overexpressed in oocytes.</w:t>
            </w:r>
            <w:r>
              <w:rPr>
                <w:vertAlign w:val="superscript"/>
              </w:rPr>
              <w:t>30</w:t>
            </w:r>
            <w:r>
              <w:t xml:space="preserve"> Related to better survival of advanced lung, bladder, and ovarian cancer.</w:t>
            </w:r>
            <w:r>
              <w:rPr>
                <w:vertAlign w:val="superscript"/>
              </w:rPr>
              <w:t>31–33</w:t>
            </w:r>
            <w:r>
              <w:t xml:space="preserve"> Activates p53-signaling.</w:t>
            </w:r>
            <w:r>
              <w:rPr>
                <w:vertAlign w:val="superscript"/>
              </w:rPr>
              <w:t>34</w:t>
            </w:r>
          </w:p>
        </w:tc>
      </w:tr>
      <w:tr w:rsidR="008707FA" w14:paraId="0C031415" w14:textId="77777777">
        <w:tc>
          <w:tcPr>
            <w:tcW w:w="993" w:type="dxa"/>
          </w:tcPr>
          <w:p w14:paraId="00000014" w14:textId="77777777" w:rsidR="008707FA" w:rsidRDefault="00000000">
            <w:r>
              <w:t>FOXE3</w:t>
            </w:r>
          </w:p>
        </w:tc>
        <w:tc>
          <w:tcPr>
            <w:tcW w:w="2693" w:type="dxa"/>
          </w:tcPr>
          <w:p w14:paraId="00000015" w14:textId="77777777" w:rsidR="008707FA" w:rsidRDefault="00000000">
            <w:proofErr w:type="spellStart"/>
            <w:r>
              <w:t>forkhead</w:t>
            </w:r>
            <w:proofErr w:type="spellEnd"/>
            <w:r>
              <w:t xml:space="preserve"> box E3</w:t>
            </w:r>
          </w:p>
        </w:tc>
        <w:tc>
          <w:tcPr>
            <w:tcW w:w="5702" w:type="dxa"/>
          </w:tcPr>
          <w:p w14:paraId="00000016" w14:textId="77777777" w:rsidR="008707FA" w:rsidRDefault="00000000">
            <w:r>
              <w:t>Methylation is related to survival of clear cell renal cell carcinoma patients.</w:t>
            </w:r>
            <w:r>
              <w:rPr>
                <w:vertAlign w:val="superscript"/>
              </w:rPr>
              <w:t>35</w:t>
            </w:r>
          </w:p>
        </w:tc>
      </w:tr>
      <w:tr w:rsidR="008707FA" w14:paraId="6D2629C4" w14:textId="77777777">
        <w:tc>
          <w:tcPr>
            <w:tcW w:w="993" w:type="dxa"/>
          </w:tcPr>
          <w:p w14:paraId="00000017" w14:textId="77777777" w:rsidR="008707FA" w:rsidRDefault="00000000">
            <w:r>
              <w:t>CARTPT</w:t>
            </w:r>
          </w:p>
        </w:tc>
        <w:tc>
          <w:tcPr>
            <w:tcW w:w="2693" w:type="dxa"/>
          </w:tcPr>
          <w:p w14:paraId="00000018" w14:textId="77777777" w:rsidR="008707FA" w:rsidRDefault="00000000">
            <w:r>
              <w:t>CART prepropeptide</w:t>
            </w:r>
          </w:p>
        </w:tc>
        <w:tc>
          <w:tcPr>
            <w:tcW w:w="5702" w:type="dxa"/>
          </w:tcPr>
          <w:p w14:paraId="00000019" w14:textId="77777777" w:rsidR="008707FA" w:rsidRDefault="00000000">
            <w:r>
              <w:t>Methylation-regulated inhibitor of follicle development.</w:t>
            </w:r>
            <w:r>
              <w:rPr>
                <w:vertAlign w:val="superscript"/>
              </w:rPr>
              <w:t>36</w:t>
            </w:r>
            <w:r>
              <w:t xml:space="preserve"> </w:t>
            </w:r>
          </w:p>
        </w:tc>
      </w:tr>
      <w:tr w:rsidR="008707FA" w14:paraId="6C1D309F" w14:textId="77777777">
        <w:tc>
          <w:tcPr>
            <w:tcW w:w="993" w:type="dxa"/>
          </w:tcPr>
          <w:p w14:paraId="0000001A" w14:textId="77777777" w:rsidR="008707FA" w:rsidRDefault="00000000">
            <w:r>
              <w:t xml:space="preserve">BEND4 </w:t>
            </w:r>
          </w:p>
        </w:tc>
        <w:tc>
          <w:tcPr>
            <w:tcW w:w="2693" w:type="dxa"/>
          </w:tcPr>
          <w:p w14:paraId="0000001B" w14:textId="77777777" w:rsidR="008707FA" w:rsidRDefault="00000000">
            <w:r>
              <w:t>BEN domain containing 4</w:t>
            </w:r>
          </w:p>
        </w:tc>
        <w:tc>
          <w:tcPr>
            <w:tcW w:w="5702" w:type="dxa"/>
          </w:tcPr>
          <w:p w14:paraId="0000001C" w14:textId="77777777" w:rsidR="008707FA" w:rsidRDefault="00000000">
            <w:r>
              <w:t xml:space="preserve">Hypermethylated in </w:t>
            </w:r>
            <w:proofErr w:type="gramStart"/>
            <w:r>
              <w:t>oropharyngeal ,</w:t>
            </w:r>
            <w:proofErr w:type="gramEnd"/>
            <w:r>
              <w:t xml:space="preserve"> colorectal, and lung cancer.</w:t>
            </w:r>
            <w:r>
              <w:rPr>
                <w:vertAlign w:val="superscript"/>
              </w:rPr>
              <w:t>37–39</w:t>
            </w:r>
          </w:p>
        </w:tc>
      </w:tr>
      <w:tr w:rsidR="008707FA" w14:paraId="36DF3DAC" w14:textId="77777777">
        <w:tc>
          <w:tcPr>
            <w:tcW w:w="993" w:type="dxa"/>
          </w:tcPr>
          <w:p w14:paraId="0000001D" w14:textId="77777777" w:rsidR="008707FA" w:rsidRDefault="00000000">
            <w:r>
              <w:t>SOGA3</w:t>
            </w:r>
          </w:p>
        </w:tc>
        <w:tc>
          <w:tcPr>
            <w:tcW w:w="2693" w:type="dxa"/>
          </w:tcPr>
          <w:p w14:paraId="0000001E" w14:textId="77777777" w:rsidR="008707FA" w:rsidRDefault="00000000">
            <w:r>
              <w:t>SOGA family member 3</w:t>
            </w:r>
          </w:p>
        </w:tc>
        <w:tc>
          <w:tcPr>
            <w:tcW w:w="5702" w:type="dxa"/>
          </w:tcPr>
          <w:p w14:paraId="0000001F" w14:textId="77777777" w:rsidR="008707FA" w:rsidRDefault="00000000">
            <w:r>
              <w:t>-</w:t>
            </w:r>
          </w:p>
        </w:tc>
      </w:tr>
      <w:tr w:rsidR="008707FA" w14:paraId="6CAAA1FE" w14:textId="77777777">
        <w:tc>
          <w:tcPr>
            <w:tcW w:w="993" w:type="dxa"/>
          </w:tcPr>
          <w:p w14:paraId="00000020" w14:textId="77777777" w:rsidR="008707FA" w:rsidRDefault="00000000">
            <w:r>
              <w:t>ZNF536</w:t>
            </w:r>
          </w:p>
        </w:tc>
        <w:tc>
          <w:tcPr>
            <w:tcW w:w="2693" w:type="dxa"/>
          </w:tcPr>
          <w:p w14:paraId="00000021" w14:textId="77777777" w:rsidR="008707FA" w:rsidRDefault="00000000">
            <w:r>
              <w:t>zinc finger protein 536</w:t>
            </w:r>
          </w:p>
        </w:tc>
        <w:tc>
          <w:tcPr>
            <w:tcW w:w="5702" w:type="dxa"/>
          </w:tcPr>
          <w:p w14:paraId="00000022" w14:textId="77777777" w:rsidR="008707FA" w:rsidRDefault="00000000">
            <w:sdt>
              <w:sdtPr>
                <w:tag w:val="goog_rdk_0"/>
                <w:id w:val="1520120574"/>
              </w:sdtPr>
              <w:sdtContent/>
            </w:sdt>
            <w:sdt>
              <w:sdtPr>
                <w:tag w:val="goog_rdk_1"/>
                <w:id w:val="-1897499727"/>
              </w:sdtPr>
              <w:sdtContent/>
            </w:sdt>
            <w:sdt>
              <w:sdtPr>
                <w:tag w:val="goog_rdk_2"/>
                <w:id w:val="-1680347258"/>
              </w:sdtPr>
              <w:sdtContent/>
            </w:sdt>
            <w:r>
              <w:t>Induces neuronal differentiation.</w:t>
            </w:r>
            <w:r>
              <w:rPr>
                <w:vertAlign w:val="superscript"/>
              </w:rPr>
              <w:t>40</w:t>
            </w:r>
          </w:p>
        </w:tc>
      </w:tr>
      <w:tr w:rsidR="008707FA" w14:paraId="6915859B" w14:textId="77777777">
        <w:trPr>
          <w:trHeight w:val="557"/>
        </w:trPr>
        <w:tc>
          <w:tcPr>
            <w:tcW w:w="993" w:type="dxa"/>
          </w:tcPr>
          <w:p w14:paraId="00000023" w14:textId="77777777" w:rsidR="008707FA" w:rsidRDefault="00000000">
            <w:r>
              <w:t>TMEM151B</w:t>
            </w:r>
          </w:p>
        </w:tc>
        <w:tc>
          <w:tcPr>
            <w:tcW w:w="2693" w:type="dxa"/>
          </w:tcPr>
          <w:p w14:paraId="00000024" w14:textId="77777777" w:rsidR="008707FA" w:rsidRDefault="00000000">
            <w:r>
              <w:t>transmembrane protein 151B</w:t>
            </w:r>
          </w:p>
        </w:tc>
        <w:tc>
          <w:tcPr>
            <w:tcW w:w="5702" w:type="dxa"/>
          </w:tcPr>
          <w:p w14:paraId="00000025" w14:textId="77777777" w:rsidR="008707FA" w:rsidRDefault="00000000">
            <w:r>
              <w:t>-</w:t>
            </w:r>
          </w:p>
        </w:tc>
      </w:tr>
      <w:tr w:rsidR="008707FA" w14:paraId="79B380B8" w14:textId="77777777">
        <w:tc>
          <w:tcPr>
            <w:tcW w:w="993" w:type="dxa"/>
          </w:tcPr>
          <w:p w14:paraId="00000026" w14:textId="77777777" w:rsidR="008707FA" w:rsidRDefault="00000000">
            <w:r>
              <w:t>TAF7L</w:t>
            </w:r>
          </w:p>
        </w:tc>
        <w:tc>
          <w:tcPr>
            <w:tcW w:w="2693" w:type="dxa"/>
          </w:tcPr>
          <w:p w14:paraId="00000027" w14:textId="77777777" w:rsidR="008707FA" w:rsidRDefault="00000000">
            <w:r>
              <w:t>TATA-box binding protein associated factor 7 like</w:t>
            </w:r>
          </w:p>
        </w:tc>
        <w:tc>
          <w:tcPr>
            <w:tcW w:w="5702" w:type="dxa"/>
          </w:tcPr>
          <w:p w14:paraId="00000028" w14:textId="77777777" w:rsidR="008707FA" w:rsidRDefault="00000000">
            <w:r>
              <w:t>Germ cell-specific and plays a role in spermatogenesis</w:t>
            </w:r>
            <w:r>
              <w:rPr>
                <w:vertAlign w:val="superscript"/>
              </w:rPr>
              <w:t>41</w:t>
            </w:r>
          </w:p>
        </w:tc>
      </w:tr>
      <w:tr w:rsidR="008707FA" w14:paraId="765E04E2" w14:textId="77777777">
        <w:tc>
          <w:tcPr>
            <w:tcW w:w="993" w:type="dxa"/>
          </w:tcPr>
          <w:p w14:paraId="00000029" w14:textId="77777777" w:rsidR="008707FA" w:rsidRDefault="00000000">
            <w:r>
              <w:t>OTP</w:t>
            </w:r>
          </w:p>
        </w:tc>
        <w:tc>
          <w:tcPr>
            <w:tcW w:w="2693" w:type="dxa"/>
          </w:tcPr>
          <w:p w14:paraId="0000002A" w14:textId="77777777" w:rsidR="008707FA" w:rsidRDefault="00000000">
            <w:proofErr w:type="spellStart"/>
            <w:r>
              <w:t>orthopedia</w:t>
            </w:r>
            <w:proofErr w:type="spellEnd"/>
            <w:r>
              <w:t xml:space="preserve"> homeobox</w:t>
            </w:r>
          </w:p>
        </w:tc>
        <w:tc>
          <w:tcPr>
            <w:tcW w:w="5702" w:type="dxa"/>
          </w:tcPr>
          <w:p w14:paraId="0000002B" w14:textId="77777777" w:rsidR="008707FA" w:rsidRDefault="00000000">
            <w:r>
              <w:t>Key player in hypothalamus development. Expression is related to better OS of pulmonary carcinoid patients.</w:t>
            </w:r>
            <w:r>
              <w:rPr>
                <w:vertAlign w:val="superscript"/>
              </w:rPr>
              <w:t>42</w:t>
            </w:r>
          </w:p>
        </w:tc>
      </w:tr>
      <w:tr w:rsidR="008707FA" w14:paraId="0FEE3DA0" w14:textId="77777777">
        <w:tc>
          <w:tcPr>
            <w:tcW w:w="993" w:type="dxa"/>
          </w:tcPr>
          <w:p w14:paraId="0000002C" w14:textId="77777777" w:rsidR="008707FA" w:rsidRDefault="00000000">
            <w:r>
              <w:t>ZIC3</w:t>
            </w:r>
          </w:p>
        </w:tc>
        <w:tc>
          <w:tcPr>
            <w:tcW w:w="2693" w:type="dxa"/>
          </w:tcPr>
          <w:p w14:paraId="0000002D" w14:textId="77777777" w:rsidR="008707FA" w:rsidRDefault="00000000">
            <w:r>
              <w:t>Zic family member 3</w:t>
            </w:r>
          </w:p>
        </w:tc>
        <w:tc>
          <w:tcPr>
            <w:tcW w:w="5702" w:type="dxa"/>
          </w:tcPr>
          <w:p w14:paraId="0000002E" w14:textId="77777777" w:rsidR="008707FA" w:rsidRDefault="00000000">
            <w:r>
              <w:t>Upregulated by EN1 in breast cancer cells.</w:t>
            </w:r>
            <w:r>
              <w:rPr>
                <w:vertAlign w:val="superscript"/>
              </w:rPr>
              <w:t>43</w:t>
            </w:r>
            <w:r>
              <w:t xml:space="preserve"> Negatively regulated by miR-564, resulting in proliferation and motility.</w:t>
            </w:r>
            <w:r>
              <w:rPr>
                <w:vertAlign w:val="superscript"/>
              </w:rPr>
              <w:t>44</w:t>
            </w:r>
          </w:p>
        </w:tc>
      </w:tr>
      <w:tr w:rsidR="008707FA" w14:paraId="41BEEFC7" w14:textId="77777777">
        <w:tc>
          <w:tcPr>
            <w:tcW w:w="993" w:type="dxa"/>
          </w:tcPr>
          <w:p w14:paraId="0000002F" w14:textId="77777777" w:rsidR="008707FA" w:rsidRDefault="00000000">
            <w:r>
              <w:t>DRAXIN</w:t>
            </w:r>
          </w:p>
        </w:tc>
        <w:tc>
          <w:tcPr>
            <w:tcW w:w="2693" w:type="dxa"/>
          </w:tcPr>
          <w:p w14:paraId="00000030" w14:textId="77777777" w:rsidR="008707FA" w:rsidRDefault="00000000">
            <w:r>
              <w:t>dorsal inhibitory axon guidance protein</w:t>
            </w:r>
          </w:p>
        </w:tc>
        <w:tc>
          <w:tcPr>
            <w:tcW w:w="5702" w:type="dxa"/>
          </w:tcPr>
          <w:p w14:paraId="00000031" w14:textId="77777777" w:rsidR="008707FA" w:rsidRDefault="00000000">
            <w:r>
              <w:t>Important for neuron development, inhibits axonal growth through Akt.</w:t>
            </w:r>
            <w:proofErr w:type="gramStart"/>
            <w:r>
              <w:rPr>
                <w:vertAlign w:val="superscript"/>
              </w:rPr>
              <w:t>45</w:t>
            </w:r>
            <w:r>
              <w:t xml:space="preserve">  Potentially</w:t>
            </w:r>
            <w:proofErr w:type="gramEnd"/>
            <w:r>
              <w:t xml:space="preserve"> plays a role in proliferation and apoptosis of lung cancer cells.</w:t>
            </w:r>
            <w:r>
              <w:rPr>
                <w:vertAlign w:val="superscript"/>
              </w:rPr>
              <w:t>46</w:t>
            </w:r>
            <w:r>
              <w:t xml:space="preserve"> </w:t>
            </w:r>
          </w:p>
        </w:tc>
      </w:tr>
      <w:tr w:rsidR="008707FA" w14:paraId="5501782A" w14:textId="77777777">
        <w:tc>
          <w:tcPr>
            <w:tcW w:w="993" w:type="dxa"/>
          </w:tcPr>
          <w:p w14:paraId="00000032" w14:textId="77777777" w:rsidR="008707FA" w:rsidRDefault="00000000">
            <w:r>
              <w:t>LRRC14B</w:t>
            </w:r>
          </w:p>
        </w:tc>
        <w:tc>
          <w:tcPr>
            <w:tcW w:w="2693" w:type="dxa"/>
          </w:tcPr>
          <w:p w14:paraId="00000033" w14:textId="77777777" w:rsidR="008707FA" w:rsidRDefault="00000000">
            <w:r>
              <w:t>leucine rich repeat containing 14B</w:t>
            </w:r>
          </w:p>
        </w:tc>
        <w:tc>
          <w:tcPr>
            <w:tcW w:w="5702" w:type="dxa"/>
          </w:tcPr>
          <w:p w14:paraId="00000034" w14:textId="77777777" w:rsidR="008707FA" w:rsidRDefault="00000000">
            <w:r>
              <w:t>-</w:t>
            </w:r>
          </w:p>
        </w:tc>
      </w:tr>
      <w:tr w:rsidR="008707FA" w14:paraId="346BB90D" w14:textId="77777777">
        <w:tc>
          <w:tcPr>
            <w:tcW w:w="993" w:type="dxa"/>
          </w:tcPr>
          <w:p w14:paraId="00000035" w14:textId="77777777" w:rsidR="008707FA" w:rsidRDefault="00000000">
            <w:r>
              <w:t>ELAVL4</w:t>
            </w:r>
          </w:p>
        </w:tc>
        <w:tc>
          <w:tcPr>
            <w:tcW w:w="2693" w:type="dxa"/>
          </w:tcPr>
          <w:p w14:paraId="00000036" w14:textId="77777777" w:rsidR="008707FA" w:rsidRPr="00713275" w:rsidRDefault="00000000">
            <w:pPr>
              <w:rPr>
                <w:lang w:val="nl-NL"/>
              </w:rPr>
            </w:pPr>
            <w:r w:rsidRPr="00713275">
              <w:rPr>
                <w:lang w:val="nl-NL"/>
              </w:rPr>
              <w:t xml:space="preserve">ELAV like </w:t>
            </w:r>
            <w:proofErr w:type="gramStart"/>
            <w:r w:rsidRPr="00713275">
              <w:rPr>
                <w:lang w:val="nl-NL"/>
              </w:rPr>
              <w:t>RNA binding</w:t>
            </w:r>
            <w:proofErr w:type="gramEnd"/>
            <w:r w:rsidRPr="00713275">
              <w:rPr>
                <w:lang w:val="nl-NL"/>
              </w:rPr>
              <w:t xml:space="preserve"> </w:t>
            </w:r>
            <w:proofErr w:type="spellStart"/>
            <w:r w:rsidRPr="00713275">
              <w:rPr>
                <w:lang w:val="nl-NL"/>
              </w:rPr>
              <w:t>protein</w:t>
            </w:r>
            <w:proofErr w:type="spellEnd"/>
            <w:r w:rsidRPr="00713275">
              <w:rPr>
                <w:lang w:val="nl-NL"/>
              </w:rPr>
              <w:t xml:space="preserve"> 4</w:t>
            </w:r>
          </w:p>
        </w:tc>
        <w:tc>
          <w:tcPr>
            <w:tcW w:w="5702" w:type="dxa"/>
          </w:tcPr>
          <w:p w14:paraId="00000037" w14:textId="77777777" w:rsidR="008707FA" w:rsidRDefault="00000000">
            <w:r>
              <w:t>Marker of neuronal phenotype and essential for neuronal development.</w:t>
            </w:r>
            <w:r>
              <w:rPr>
                <w:vertAlign w:val="superscript"/>
              </w:rPr>
              <w:t>47</w:t>
            </w:r>
            <w:r>
              <w:t xml:space="preserve"> It is highly immunogenic, possibly related to SCLC-autoimmunity and proliferation of NSCLC.</w:t>
            </w:r>
            <w:r>
              <w:rPr>
                <w:vertAlign w:val="superscript"/>
              </w:rPr>
              <w:t>48,49</w:t>
            </w:r>
          </w:p>
        </w:tc>
      </w:tr>
      <w:tr w:rsidR="008707FA" w14:paraId="23A700BD" w14:textId="77777777">
        <w:tc>
          <w:tcPr>
            <w:tcW w:w="993" w:type="dxa"/>
          </w:tcPr>
          <w:p w14:paraId="00000038" w14:textId="77777777" w:rsidR="008707FA" w:rsidRDefault="00000000">
            <w:r>
              <w:t>GSC</w:t>
            </w:r>
          </w:p>
        </w:tc>
        <w:tc>
          <w:tcPr>
            <w:tcW w:w="2693" w:type="dxa"/>
          </w:tcPr>
          <w:p w14:paraId="00000039" w14:textId="77777777" w:rsidR="008707FA" w:rsidRDefault="00000000">
            <w:proofErr w:type="spellStart"/>
            <w:r>
              <w:t>goosecoid</w:t>
            </w:r>
            <w:proofErr w:type="spellEnd"/>
            <w:r>
              <w:t xml:space="preserve"> homeobox</w:t>
            </w:r>
          </w:p>
        </w:tc>
        <w:tc>
          <w:tcPr>
            <w:tcW w:w="5702" w:type="dxa"/>
          </w:tcPr>
          <w:p w14:paraId="0000003A" w14:textId="77777777" w:rsidR="008707FA" w:rsidRDefault="00000000">
            <w:r>
              <w:t>Transcription factor related to neural crest development. Increased in ovarian cancer stem-like cells and related to poor drug response and OS.</w:t>
            </w:r>
            <w:r>
              <w:rPr>
                <w:vertAlign w:val="superscript"/>
              </w:rPr>
              <w:t>50,51</w:t>
            </w:r>
          </w:p>
        </w:tc>
      </w:tr>
      <w:tr w:rsidR="008707FA" w14:paraId="58D42468" w14:textId="77777777">
        <w:tc>
          <w:tcPr>
            <w:tcW w:w="993" w:type="dxa"/>
          </w:tcPr>
          <w:p w14:paraId="0000003B" w14:textId="77777777" w:rsidR="008707FA" w:rsidRDefault="00000000">
            <w:r>
              <w:t>CCDC144NL-AS1</w:t>
            </w:r>
          </w:p>
        </w:tc>
        <w:tc>
          <w:tcPr>
            <w:tcW w:w="2693" w:type="dxa"/>
          </w:tcPr>
          <w:p w14:paraId="0000003C" w14:textId="77777777" w:rsidR="008707FA" w:rsidRDefault="00000000">
            <w:r>
              <w:t>CCDC144NL antisense RNA 1</w:t>
            </w:r>
          </w:p>
        </w:tc>
        <w:tc>
          <w:tcPr>
            <w:tcW w:w="5702" w:type="dxa"/>
          </w:tcPr>
          <w:p w14:paraId="0000003D" w14:textId="77777777" w:rsidR="008707FA" w:rsidRDefault="00000000">
            <w:r>
              <w:t>Related to OS of BRCA-wild type ovarian and colorectal cancer.</w:t>
            </w:r>
            <w:r>
              <w:rPr>
                <w:vertAlign w:val="superscript"/>
              </w:rPr>
              <w:t>52,53</w:t>
            </w:r>
            <w:r>
              <w:t xml:space="preserve"> In endometriosis cell line models related to vimentin expression and migration.</w:t>
            </w:r>
            <w:r>
              <w:rPr>
                <w:vertAlign w:val="superscript"/>
              </w:rPr>
              <w:t>54</w:t>
            </w:r>
            <w:r>
              <w:t xml:space="preserve"> Prevents conversion of pluripotent stem cells back to naïve-like state.</w:t>
            </w:r>
            <w:r>
              <w:rPr>
                <w:vertAlign w:val="superscript"/>
              </w:rPr>
              <w:t>55</w:t>
            </w:r>
          </w:p>
        </w:tc>
      </w:tr>
      <w:tr w:rsidR="008707FA" w14:paraId="5D858A23" w14:textId="77777777">
        <w:tc>
          <w:tcPr>
            <w:tcW w:w="993" w:type="dxa"/>
          </w:tcPr>
          <w:p w14:paraId="0000003E" w14:textId="77777777" w:rsidR="008707FA" w:rsidRDefault="00000000">
            <w:r>
              <w:t>LECT1</w:t>
            </w:r>
          </w:p>
        </w:tc>
        <w:tc>
          <w:tcPr>
            <w:tcW w:w="2693" w:type="dxa"/>
          </w:tcPr>
          <w:p w14:paraId="0000003F" w14:textId="77777777" w:rsidR="008707FA" w:rsidRDefault="00000000">
            <w:r>
              <w:t xml:space="preserve">leukocyte cell derived </w:t>
            </w:r>
            <w:proofErr w:type="spellStart"/>
            <w:r>
              <w:t>chemotaxin</w:t>
            </w:r>
            <w:proofErr w:type="spellEnd"/>
            <w:r>
              <w:t xml:space="preserve"> 1</w:t>
            </w:r>
          </w:p>
        </w:tc>
        <w:tc>
          <w:tcPr>
            <w:tcW w:w="5702" w:type="dxa"/>
          </w:tcPr>
          <w:p w14:paraId="00000040" w14:textId="77777777" w:rsidR="008707FA" w:rsidRDefault="00000000">
            <w:r>
              <w:t>Angiogenesis inhibitor, increases chondrocyte growth.</w:t>
            </w:r>
            <w:r>
              <w:rPr>
                <w:vertAlign w:val="superscript"/>
              </w:rPr>
              <w:t>56</w:t>
            </w:r>
          </w:p>
        </w:tc>
      </w:tr>
    </w:tbl>
    <w:p w14:paraId="00000041" w14:textId="6880FCA3" w:rsidR="008707FA" w:rsidRDefault="008707FA" w:rsidP="009F0C3B">
      <w:pPr>
        <w:spacing w:after="0"/>
        <w:jc w:val="both"/>
      </w:pPr>
    </w:p>
    <w:sectPr w:rsidR="008707F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FA"/>
    <w:rsid w:val="00311932"/>
    <w:rsid w:val="00713275"/>
    <w:rsid w:val="008707FA"/>
    <w:rsid w:val="009172A4"/>
    <w:rsid w:val="009C4AD8"/>
    <w:rsid w:val="009F0C3B"/>
    <w:rsid w:val="00B329FD"/>
    <w:rsid w:val="00B356D6"/>
    <w:rsid w:val="00ED7682"/>
    <w:rsid w:val="00EF784C"/>
    <w:rsid w:val="00F35EDA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B5826"/>
  <w15:docId w15:val="{91FA2CB6-8ECF-9641-B085-4B0FD3EB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4B/gCcWo0Pv+r8k6/wc/lgoDQ==">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Bhattacharya, A (onco)</cp:lastModifiedBy>
  <cp:revision>8</cp:revision>
  <dcterms:created xsi:type="dcterms:W3CDTF">2024-04-30T11:33:00Z</dcterms:created>
  <dcterms:modified xsi:type="dcterms:W3CDTF">2025-04-17T19:39:00Z</dcterms:modified>
</cp:coreProperties>
</file>