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18D176" w:rsidR="00F102CC" w:rsidRPr="00084F1B" w:rsidRDefault="00084F1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4679CBD" w:rsidR="00F102CC" w:rsidRPr="00084F1B" w:rsidRDefault="00084F1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EC963A" w:rsidR="00F102CC" w:rsidRPr="00084F1B" w:rsidRDefault="00084F1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4EFD58"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580C7E"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4FB378"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73C533"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55141F"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5A5B57"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129353C" w:rsidR="00F102CC" w:rsidRPr="00421C83" w:rsidRDefault="00421C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8B3BC7" w14:textId="77777777" w:rsidR="00F102CC" w:rsidRDefault="00427975">
            <w:pPr>
              <w:rPr>
                <w:rFonts w:ascii="Noto Sans" w:hAnsi="Noto Sans" w:cs="Noto Sans"/>
                <w:color w:val="434343"/>
                <w:sz w:val="18"/>
                <w:szCs w:val="18"/>
                <w:lang w:eastAsia="zh-CN"/>
              </w:rPr>
            </w:pPr>
            <w:r>
              <w:rPr>
                <w:rFonts w:ascii="Noto Sans" w:eastAsia="Noto Sans" w:hAnsi="Noto Sans" w:cs="Noto Sans"/>
                <w:color w:val="434343"/>
                <w:sz w:val="18"/>
                <w:szCs w:val="18"/>
              </w:rPr>
              <w:t>If the study protocol has been pre-registered, provide DOI. For clinical trials, provide the trial registration number OR cite DOI.</w:t>
            </w:r>
          </w:p>
          <w:p w14:paraId="150B4A36" w14:textId="77777777" w:rsidR="00421C83" w:rsidRDefault="00421C83">
            <w:pPr>
              <w:rPr>
                <w:rFonts w:ascii="Noto Sans" w:hAnsi="Noto Sans" w:cs="Noto Sans"/>
                <w:color w:val="434343"/>
                <w:sz w:val="18"/>
                <w:szCs w:val="18"/>
                <w:lang w:eastAsia="zh-CN"/>
              </w:rPr>
            </w:pPr>
          </w:p>
          <w:p w14:paraId="3C87E005" w14:textId="0648C798" w:rsidR="00421C83" w:rsidRPr="00421C83" w:rsidRDefault="00421C83">
            <w:pPr>
              <w:rPr>
                <w:rFonts w:ascii="Noto Sans" w:hAnsi="Noto Sans" w:cs="Noto Sans"/>
                <w:color w:val="434343"/>
                <w:sz w:val="18"/>
                <w:szCs w:val="18"/>
                <w:lang w:eastAsia="zh-CN"/>
              </w:rPr>
            </w:pPr>
            <w:r w:rsidRPr="00421C83">
              <w:rPr>
                <w:rFonts w:ascii="Noto Sans" w:hAnsi="Noto Sans" w:cs="Noto Sans"/>
                <w:color w:val="434343"/>
                <w:sz w:val="18"/>
                <w:szCs w:val="18"/>
                <w:lang w:eastAsia="zh-CN"/>
              </w:rPr>
              <w:t>Clinical trial number: ClinicalTrials.gov: NCT05880927</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466EE72" w14:textId="77777777" w:rsidR="00421C83" w:rsidRPr="00421C83" w:rsidRDefault="00421C83" w:rsidP="00421C83">
            <w:pPr>
              <w:spacing w:line="225" w:lineRule="auto"/>
              <w:rPr>
                <w:rFonts w:ascii="Noto Sans" w:eastAsia="Noto Sans" w:hAnsi="Noto Sans" w:cs="Noto Sans"/>
                <w:bCs/>
                <w:color w:val="434343"/>
                <w:sz w:val="18"/>
                <w:szCs w:val="18"/>
              </w:rPr>
            </w:pPr>
            <w:r w:rsidRPr="00421C83">
              <w:rPr>
                <w:rFonts w:ascii="Noto Sans" w:eastAsia="Noto Sans" w:hAnsi="Noto Sans" w:cs="Noto Sans"/>
                <w:bCs/>
                <w:color w:val="434343"/>
                <w:sz w:val="18"/>
                <w:szCs w:val="18"/>
              </w:rPr>
              <w:t xml:space="preserve">Methods </w:t>
            </w:r>
          </w:p>
          <w:p w14:paraId="43A9EA38" w14:textId="3BD6754A" w:rsidR="00F102CC" w:rsidRPr="003D5AF6" w:rsidRDefault="00421C83" w:rsidP="00421C83">
            <w:pPr>
              <w:spacing w:line="225" w:lineRule="auto"/>
              <w:rPr>
                <w:rFonts w:ascii="Noto Sans" w:eastAsia="Noto Sans" w:hAnsi="Noto Sans" w:cs="Noto Sans"/>
                <w:bCs/>
                <w:color w:val="434343"/>
                <w:sz w:val="18"/>
                <w:szCs w:val="18"/>
              </w:rPr>
            </w:pPr>
            <w:r w:rsidRPr="00421C83">
              <w:rPr>
                <w:rFonts w:ascii="Noto Sans" w:eastAsia="Noto Sans" w:hAnsi="Noto Sans" w:cs="Noto Sans"/>
                <w:bCs/>
                <w:color w:val="434343"/>
                <w:sz w:val="18"/>
                <w:szCs w:val="18"/>
              </w:rPr>
              <w:t>Study design and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D60943" w:rsidR="00F102CC" w:rsidRPr="00421C83" w:rsidRDefault="00421C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0F3C4" w14:textId="77777777" w:rsidR="00F102CC" w:rsidRDefault="00427975">
            <w:pPr>
              <w:rPr>
                <w:rFonts w:ascii="Noto Sans" w:hAnsi="Noto Sans" w:cs="Noto Sans"/>
                <w:color w:val="434343"/>
                <w:sz w:val="18"/>
                <w:szCs w:val="18"/>
                <w:lang w:eastAsia="zh-CN"/>
              </w:rPr>
            </w:pPr>
            <w:r>
              <w:rPr>
                <w:rFonts w:ascii="Noto Sans" w:eastAsia="Noto Sans" w:hAnsi="Noto Sans" w:cs="Noto Sans"/>
                <w:color w:val="434343"/>
                <w:sz w:val="18"/>
                <w:szCs w:val="18"/>
              </w:rPr>
              <w:t>Sample size determination</w:t>
            </w:r>
          </w:p>
          <w:p w14:paraId="3EBCB1AB" w14:textId="77777777" w:rsidR="00142DF9" w:rsidRDefault="00142DF9">
            <w:pPr>
              <w:rPr>
                <w:rFonts w:ascii="Noto Sans" w:hAnsi="Noto Sans" w:cs="Noto Sans"/>
                <w:color w:val="434343"/>
                <w:sz w:val="18"/>
                <w:szCs w:val="18"/>
                <w:lang w:eastAsia="zh-CN"/>
              </w:rPr>
            </w:pPr>
          </w:p>
          <w:p w14:paraId="5E9D3A7C" w14:textId="0885005C" w:rsidR="00142DF9" w:rsidRPr="00142DF9" w:rsidRDefault="00142DF9">
            <w:pPr>
              <w:rPr>
                <w:rFonts w:ascii="Noto Sans" w:hAnsi="Noto Sans" w:cs="Noto Sans"/>
                <w:color w:val="434343"/>
                <w:sz w:val="18"/>
                <w:szCs w:val="18"/>
                <w:lang w:eastAsia="zh-CN"/>
              </w:rPr>
            </w:pPr>
            <w:r w:rsidRPr="00142DF9">
              <w:rPr>
                <w:rFonts w:ascii="Noto Sans" w:hAnsi="Noto Sans" w:cs="Noto Sans"/>
                <w:color w:val="434343"/>
                <w:sz w:val="18"/>
                <w:szCs w:val="18"/>
                <w:lang w:eastAsia="zh-CN"/>
              </w:rPr>
              <w:t xml:space="preserve">Based on the previous </w:t>
            </w:r>
            <w:proofErr w:type="spellStart"/>
            <w:r w:rsidRPr="00142DF9">
              <w:rPr>
                <w:rFonts w:ascii="Noto Sans" w:hAnsi="Noto Sans" w:cs="Noto Sans"/>
                <w:color w:val="434343"/>
                <w:sz w:val="18"/>
                <w:szCs w:val="18"/>
                <w:lang w:eastAsia="zh-CN"/>
              </w:rPr>
              <w:t>ExteNET</w:t>
            </w:r>
            <w:proofErr w:type="spellEnd"/>
            <w:r w:rsidRPr="00142DF9">
              <w:rPr>
                <w:rFonts w:ascii="Noto Sans" w:hAnsi="Noto Sans" w:cs="Noto Sans"/>
                <w:color w:val="434343"/>
                <w:sz w:val="18"/>
                <w:szCs w:val="18"/>
                <w:lang w:eastAsia="zh-CN"/>
              </w:rPr>
              <w:t xml:space="preserve"> trial, the 2-year </w:t>
            </w:r>
            <w:proofErr w:type="spellStart"/>
            <w:r w:rsidRPr="00142DF9">
              <w:rPr>
                <w:rFonts w:ascii="Noto Sans" w:hAnsi="Noto Sans" w:cs="Noto Sans"/>
                <w:color w:val="434343"/>
                <w:sz w:val="18"/>
                <w:szCs w:val="18"/>
                <w:lang w:eastAsia="zh-CN"/>
              </w:rPr>
              <w:t>iDFS</w:t>
            </w:r>
            <w:proofErr w:type="spellEnd"/>
            <w:r w:rsidRPr="00142DF9">
              <w:rPr>
                <w:rFonts w:ascii="Noto Sans" w:hAnsi="Noto Sans" w:cs="Noto Sans"/>
                <w:color w:val="434343"/>
                <w:sz w:val="18"/>
                <w:szCs w:val="18"/>
                <w:lang w:eastAsia="zh-CN"/>
              </w:rPr>
              <w:t xml:space="preserve"> rate was assumed as 91% in the present study. To restrain the width of 2-sided 95% confidence interval (CI) to no more than 0.1, 126 patients were required. Considering a dropout rate of 10%, a total of 140 participants were recruited.</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AABF0" w14:textId="77777777" w:rsidR="00F102CC"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Methods</w:t>
            </w:r>
          </w:p>
          <w:p w14:paraId="50D998B6" w14:textId="31EAB0A3" w:rsidR="00142DF9" w:rsidRPr="00142DF9" w:rsidRDefault="00142DF9">
            <w:pPr>
              <w:spacing w:line="225" w:lineRule="auto"/>
              <w:rPr>
                <w:rFonts w:ascii="Noto Sans" w:hAnsi="Noto Sans" w:cs="Noto Sans"/>
                <w:bCs/>
                <w:color w:val="434343"/>
                <w:sz w:val="18"/>
                <w:szCs w:val="18"/>
                <w:lang w:eastAsia="zh-CN"/>
              </w:rPr>
            </w:pPr>
            <w:r w:rsidRPr="00142DF9">
              <w:rPr>
                <w:rFonts w:ascii="Noto Sans" w:hAnsi="Noto Sans" w:cs="Noto Sans"/>
                <w:bCs/>
                <w:color w:val="434343"/>
                <w:sz w:val="18"/>
                <w:szCs w:val="18"/>
                <w:lang w:eastAsia="zh-CN"/>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EDE12A" w:rsidR="00F102CC" w:rsidRPr="00421C83"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76EBA6" w:rsidR="00F102CC" w:rsidRPr="00421C83" w:rsidRDefault="00421C83">
            <w:pPr>
              <w:spacing w:line="225" w:lineRule="auto"/>
              <w:rPr>
                <w:rFonts w:ascii="Noto Sans" w:hAnsi="Noto Sans" w:cs="Noto Sans"/>
                <w:bCs/>
                <w:color w:val="434343"/>
                <w:sz w:val="18"/>
                <w:szCs w:val="18"/>
                <w:lang w:eastAsia="zh-CN"/>
              </w:rPr>
            </w:pPr>
            <w:r w:rsidRPr="00421C83">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CDB6D75" w:rsidR="00F102CC" w:rsidRPr="00421C83" w:rsidRDefault="00421C83">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31BF6" w14:textId="77777777" w:rsidR="00F102CC" w:rsidRDefault="00427975">
            <w:pPr>
              <w:rPr>
                <w:rFonts w:ascii="Noto Sans" w:hAnsi="Noto Sans" w:cs="Noto Sans"/>
                <w:color w:val="434343"/>
                <w:sz w:val="18"/>
                <w:szCs w:val="18"/>
                <w:lang w:eastAsia="zh-CN"/>
              </w:rPr>
            </w:pPr>
            <w:r>
              <w:rPr>
                <w:rFonts w:ascii="Noto Sans" w:eastAsia="Noto Sans" w:hAnsi="Noto Sans" w:cs="Noto Sans"/>
                <w:color w:val="434343"/>
                <w:sz w:val="18"/>
                <w:szCs w:val="18"/>
              </w:rPr>
              <w:t>Inclusion/exclusion criteria</w:t>
            </w:r>
          </w:p>
          <w:p w14:paraId="77E64672" w14:textId="77777777" w:rsidR="00142DF9" w:rsidRDefault="00142DF9">
            <w:pPr>
              <w:rPr>
                <w:rFonts w:ascii="Noto Sans" w:hAnsi="Noto Sans" w:cs="Noto Sans"/>
                <w:color w:val="434343"/>
                <w:sz w:val="18"/>
                <w:szCs w:val="18"/>
                <w:lang w:eastAsia="zh-CN"/>
              </w:rPr>
            </w:pPr>
          </w:p>
          <w:p w14:paraId="2397021B" w14:textId="77777777" w:rsidR="00142DF9" w:rsidRDefault="00142DF9">
            <w:pPr>
              <w:rPr>
                <w:rFonts w:ascii="Noto Sans" w:hAnsi="Noto Sans" w:cs="Noto Sans"/>
                <w:color w:val="434343"/>
                <w:sz w:val="18"/>
                <w:szCs w:val="18"/>
                <w:lang w:eastAsia="zh-CN"/>
              </w:rPr>
            </w:pPr>
            <w:r w:rsidRPr="00142DF9">
              <w:rPr>
                <w:rFonts w:ascii="Noto Sans" w:hAnsi="Noto Sans" w:cs="Noto Sans"/>
                <w:color w:val="434343"/>
                <w:sz w:val="18"/>
                <w:szCs w:val="18"/>
                <w:lang w:eastAsia="zh-CN"/>
              </w:rPr>
              <w:t xml:space="preserve">Participants were eligible if they were women aged 18-75 years with high-risk, HER2-positive (immunohistochemistry 3+, or 2+ with gene amplification by fluorescence in situ hybridization) early or locally advanced invasive breast cancer; had previously completed 1 year of adjuvant therapy with either trastuzumab or trastuzumab plus </w:t>
            </w:r>
            <w:proofErr w:type="spellStart"/>
            <w:r w:rsidRPr="00142DF9">
              <w:rPr>
                <w:rFonts w:ascii="Noto Sans" w:hAnsi="Noto Sans" w:cs="Noto Sans"/>
                <w:color w:val="434343"/>
                <w:sz w:val="18"/>
                <w:szCs w:val="18"/>
                <w:lang w:eastAsia="zh-CN"/>
              </w:rPr>
              <w:t>pertuzumab</w:t>
            </w:r>
            <w:proofErr w:type="spellEnd"/>
            <w:r w:rsidRPr="00142DF9">
              <w:rPr>
                <w:rFonts w:ascii="Noto Sans" w:hAnsi="Noto Sans" w:cs="Noto Sans"/>
                <w:color w:val="434343"/>
                <w:sz w:val="18"/>
                <w:szCs w:val="18"/>
                <w:lang w:eastAsia="zh-CN"/>
              </w:rPr>
              <w:t xml:space="preserve"> within 6 months before enrollment; had an Eastern Cooperative Oncology Group performance status of 0 or 1; had known HR status; and had adequate bone marrow, hepatic, renal and cardiac functions.</w:t>
            </w:r>
          </w:p>
          <w:p w14:paraId="3C9CF9E6" w14:textId="631107EB" w:rsidR="00142DF9" w:rsidRPr="00142DF9" w:rsidRDefault="00142DF9">
            <w:pPr>
              <w:rPr>
                <w:rFonts w:ascii="Noto Sans" w:hAnsi="Noto Sans" w:cs="Noto Sans"/>
                <w:color w:val="434343"/>
                <w:sz w:val="18"/>
                <w:szCs w:val="18"/>
                <w:lang w:eastAsia="zh-CN"/>
              </w:rPr>
            </w:pPr>
            <w:r w:rsidRPr="00142DF9">
              <w:rPr>
                <w:rFonts w:ascii="Noto Sans" w:hAnsi="Noto Sans" w:cs="Noto Sans"/>
                <w:color w:val="434343"/>
                <w:sz w:val="18"/>
                <w:szCs w:val="18"/>
                <w:lang w:eastAsia="zh-CN"/>
              </w:rPr>
              <w:t xml:space="preserve">The main exclusion criteria were bilateral breast cancer, inflammatory breast cancer, previous participation in other clinical trials involving anticancer therapy, allergies to the drug components in this protocol, history of immunodeficiency diseases, inability to swallow, and pregnancy or lactation.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4F707" w14:textId="77777777" w:rsidR="00F102CC"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Methods</w:t>
            </w:r>
          </w:p>
          <w:p w14:paraId="6D2BB682" w14:textId="5391E22F" w:rsidR="00142DF9" w:rsidRPr="00142DF9" w:rsidRDefault="00142DF9">
            <w:pPr>
              <w:spacing w:line="225" w:lineRule="auto"/>
              <w:rPr>
                <w:rFonts w:ascii="Noto Sans" w:hAnsi="Noto Sans" w:cs="Noto Sans"/>
                <w:bCs/>
                <w:color w:val="434343"/>
                <w:sz w:val="18"/>
                <w:szCs w:val="18"/>
                <w:lang w:eastAsia="zh-CN"/>
              </w:rPr>
            </w:pPr>
            <w:r w:rsidRPr="00142DF9">
              <w:rPr>
                <w:rFonts w:ascii="Noto Sans" w:hAnsi="Noto Sans" w:cs="Noto Sans"/>
                <w:bCs/>
                <w:color w:val="434343"/>
                <w:sz w:val="18"/>
                <w:szCs w:val="18"/>
                <w:lang w:eastAsia="zh-CN"/>
              </w:rPr>
              <w:t>Study design and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75177B" w:rsidR="00F102CC" w:rsidRPr="00142DF9"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BD286A" w:rsidR="00F102CC" w:rsidRPr="00142DF9"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41B1E" w14:textId="77777777" w:rsidR="00F102CC" w:rsidRDefault="00427975">
            <w:pPr>
              <w:rPr>
                <w:rFonts w:ascii="Noto Sans" w:hAnsi="Noto Sans" w:cs="Noto Sans"/>
                <w:color w:val="434343"/>
                <w:sz w:val="18"/>
                <w:szCs w:val="18"/>
                <w:lang w:eastAsia="zh-CN"/>
              </w:rPr>
            </w:pPr>
            <w:r>
              <w:rPr>
                <w:rFonts w:ascii="Noto Sans" w:eastAsia="Noto Sans" w:hAnsi="Noto Sans" w:cs="Noto Sans"/>
                <w:color w:val="434343"/>
                <w:sz w:val="18"/>
                <w:szCs w:val="18"/>
              </w:rPr>
              <w:lastRenderedPageBreak/>
              <w:t xml:space="preserve">Studies involving human participants: State details of authority granting ethics approval (IRB or equivalent committee(s), provide </w:t>
            </w:r>
            <w:r w:rsidRPr="00682A69">
              <w:rPr>
                <w:rFonts w:ascii="Noto Sans" w:eastAsia="Noto Sans" w:hAnsi="Noto Sans" w:cs="Noto Sans"/>
                <w:color w:val="434343"/>
                <w:sz w:val="18"/>
                <w:szCs w:val="18"/>
              </w:rPr>
              <w:t>reference number</w:t>
            </w:r>
            <w:r>
              <w:rPr>
                <w:rFonts w:ascii="Noto Sans" w:eastAsia="Noto Sans" w:hAnsi="Noto Sans" w:cs="Noto Sans"/>
                <w:color w:val="434343"/>
                <w:sz w:val="18"/>
                <w:szCs w:val="18"/>
              </w:rPr>
              <w:t xml:space="preserve"> for approval.</w:t>
            </w:r>
          </w:p>
          <w:p w14:paraId="1C4FF622" w14:textId="77777777" w:rsidR="00142DF9" w:rsidRDefault="00142DF9">
            <w:pPr>
              <w:rPr>
                <w:rFonts w:ascii="Noto Sans" w:hAnsi="Noto Sans" w:cs="Noto Sans"/>
                <w:color w:val="434343"/>
                <w:sz w:val="18"/>
                <w:szCs w:val="18"/>
                <w:lang w:eastAsia="zh-CN"/>
              </w:rPr>
            </w:pPr>
          </w:p>
          <w:p w14:paraId="31214119" w14:textId="165568F9" w:rsidR="00142DF9" w:rsidRPr="00142DF9" w:rsidRDefault="00142DF9">
            <w:pPr>
              <w:rPr>
                <w:rFonts w:ascii="Noto Sans" w:hAnsi="Noto Sans" w:cs="Noto Sans" w:hint="eastAsia"/>
                <w:color w:val="434343"/>
                <w:sz w:val="18"/>
                <w:szCs w:val="18"/>
                <w:lang w:eastAsia="zh-CN"/>
              </w:rPr>
            </w:pPr>
            <w:r w:rsidRPr="00142DF9">
              <w:rPr>
                <w:rFonts w:ascii="Noto Sans" w:hAnsi="Noto Sans" w:cs="Noto Sans"/>
                <w:color w:val="434343"/>
                <w:sz w:val="18"/>
                <w:szCs w:val="18"/>
                <w:lang w:eastAsia="zh-CN"/>
              </w:rPr>
              <w:t>The study protocol was approved by the institutional ethics committee of Taizhou Hospital of Zhejiang Province and all other participating centers</w:t>
            </w:r>
            <w:r>
              <w:rPr>
                <w:rFonts w:ascii="Noto Sans" w:hAnsi="Noto Sans" w:cs="Noto Sans" w:hint="eastAsia"/>
                <w:color w:val="434343"/>
                <w:sz w:val="18"/>
                <w:szCs w:val="18"/>
                <w:lang w:eastAsia="zh-CN"/>
              </w:rPr>
              <w:t>.</w:t>
            </w:r>
            <w:r w:rsidR="00682A69">
              <w:rPr>
                <w:rFonts w:ascii="Noto Sans" w:hAnsi="Noto Sans" w:cs="Noto Sans" w:hint="eastAsia"/>
                <w:color w:val="434343"/>
                <w:sz w:val="18"/>
                <w:szCs w:val="18"/>
                <w:lang w:eastAsia="zh-CN"/>
              </w:rPr>
              <w:t xml:space="preserve"> Approval number: </w:t>
            </w:r>
            <w:r w:rsidR="00682A69" w:rsidRPr="00682A69">
              <w:rPr>
                <w:rFonts w:ascii="Noto Sans" w:hAnsi="Noto Sans" w:cs="Noto Sans"/>
                <w:color w:val="434343"/>
                <w:sz w:val="18"/>
                <w:szCs w:val="18"/>
                <w:lang w:eastAsia="zh-CN"/>
              </w:rPr>
              <w:t>K20201104</w:t>
            </w:r>
            <w:r w:rsidR="00682A69">
              <w:rPr>
                <w:rFonts w:ascii="Noto Sans" w:hAnsi="Noto Sans" w:cs="Noto Sans" w:hint="eastAsia"/>
                <w:color w:val="434343"/>
                <w:sz w:val="18"/>
                <w:szCs w:val="18"/>
                <w:lang w:eastAsia="zh-CN"/>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118BAC" w14:textId="77777777" w:rsidR="00682A69" w:rsidRPr="00682A69" w:rsidRDefault="00682A69" w:rsidP="00682A69">
            <w:pPr>
              <w:rPr>
                <w:rFonts w:ascii="Noto Sans" w:eastAsia="Noto Sans" w:hAnsi="Noto Sans" w:cs="Noto Sans"/>
                <w:color w:val="434343"/>
                <w:sz w:val="18"/>
                <w:szCs w:val="18"/>
              </w:rPr>
            </w:pPr>
            <w:r w:rsidRPr="00682A69">
              <w:rPr>
                <w:rFonts w:ascii="Noto Sans" w:eastAsia="Noto Sans" w:hAnsi="Noto Sans" w:cs="Noto Sans"/>
                <w:color w:val="434343"/>
                <w:sz w:val="18"/>
                <w:szCs w:val="18"/>
              </w:rPr>
              <w:t>Ethics approval and consent to participate</w:t>
            </w:r>
          </w:p>
          <w:p w14:paraId="63CB3013" w14:textId="77777777" w:rsidR="00F102CC" w:rsidRPr="00682A69"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12C90B" w:rsidR="00F102CC" w:rsidRPr="00142DF9"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813E8D" w:rsidR="00F102CC" w:rsidRPr="00142DF9"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4558AB" w:rsidR="00F102CC" w:rsidRPr="00142DF9"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3BDA07" w:rsidR="00F102CC" w:rsidRPr="00142DF9" w:rsidRDefault="00142D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8819D8" w14:textId="77777777" w:rsidR="00F102CC"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Methods</w:t>
            </w:r>
          </w:p>
          <w:p w14:paraId="54E0127B" w14:textId="4793B31A" w:rsidR="00E54B2A" w:rsidRPr="00E54B2A" w:rsidRDefault="00E54B2A">
            <w:pPr>
              <w:spacing w:line="225" w:lineRule="auto"/>
              <w:rPr>
                <w:rFonts w:ascii="Noto Sans" w:hAnsi="Noto Sans" w:cs="Noto Sans"/>
                <w:bCs/>
                <w:color w:val="434343"/>
                <w:sz w:val="18"/>
                <w:szCs w:val="18"/>
                <w:lang w:eastAsia="zh-CN"/>
              </w:rPr>
            </w:pPr>
            <w:r w:rsidRPr="00E54B2A">
              <w:rPr>
                <w:rFonts w:ascii="Noto Sans" w:hAnsi="Noto Sans" w:cs="Noto Sans"/>
                <w:bCs/>
                <w:color w:val="434343"/>
                <w:sz w:val="18"/>
                <w:szCs w:val="18"/>
                <w:lang w:eastAsia="zh-CN"/>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DF060" w14:textId="77777777" w:rsidR="00F102CC" w:rsidRDefault="00427975">
            <w:pPr>
              <w:rPr>
                <w:rFonts w:ascii="Noto Sans" w:hAnsi="Noto Sans" w:cs="Noto Sans"/>
                <w:color w:val="434343"/>
                <w:sz w:val="18"/>
                <w:szCs w:val="18"/>
                <w:lang w:eastAsia="zh-CN"/>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p w14:paraId="228BED6E" w14:textId="77777777" w:rsidR="00E54B2A" w:rsidRDefault="00E54B2A">
            <w:pPr>
              <w:rPr>
                <w:rFonts w:ascii="Noto Sans" w:hAnsi="Noto Sans" w:cs="Noto Sans"/>
                <w:color w:val="434343"/>
                <w:sz w:val="18"/>
                <w:szCs w:val="18"/>
                <w:lang w:eastAsia="zh-CN"/>
              </w:rPr>
            </w:pPr>
          </w:p>
          <w:p w14:paraId="7494748C" w14:textId="77777777" w:rsidR="00E54B2A" w:rsidRPr="00E54B2A" w:rsidRDefault="00E54B2A" w:rsidP="00E54B2A">
            <w:pPr>
              <w:rPr>
                <w:rFonts w:ascii="Noto Sans" w:hAnsi="Noto Sans" w:cs="Noto Sans"/>
                <w:color w:val="434343"/>
                <w:sz w:val="18"/>
                <w:szCs w:val="18"/>
                <w:lang w:eastAsia="zh-CN"/>
              </w:rPr>
            </w:pPr>
            <w:r w:rsidRPr="00E54B2A">
              <w:rPr>
                <w:rFonts w:ascii="Noto Sans" w:hAnsi="Noto Sans" w:cs="Noto Sans"/>
                <w:color w:val="434343"/>
                <w:sz w:val="18"/>
                <w:szCs w:val="18"/>
                <w:lang w:eastAsia="zh-CN"/>
              </w:rPr>
              <w:t>Data availability statement</w:t>
            </w:r>
          </w:p>
          <w:p w14:paraId="01DE4884" w14:textId="7E481132" w:rsidR="00E54B2A" w:rsidRPr="00E54B2A" w:rsidRDefault="00E54B2A" w:rsidP="00E54B2A">
            <w:pPr>
              <w:rPr>
                <w:rFonts w:ascii="Noto Sans" w:hAnsi="Noto Sans" w:cs="Noto Sans"/>
                <w:color w:val="434343"/>
                <w:sz w:val="18"/>
                <w:szCs w:val="18"/>
                <w:lang w:eastAsia="zh-CN"/>
              </w:rPr>
            </w:pPr>
            <w:r w:rsidRPr="00E54B2A">
              <w:rPr>
                <w:rFonts w:ascii="Noto Sans" w:hAnsi="Noto Sans" w:cs="Noto Sans"/>
                <w:color w:val="434343"/>
                <w:sz w:val="18"/>
                <w:szCs w:val="18"/>
                <w:lang w:eastAsia="zh-CN"/>
              </w:rPr>
              <w:lastRenderedPageBreak/>
              <w:t>Data supporting the findings of this study are available from the corresponding author upon reasonable request.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19678" w14:textId="77777777" w:rsidR="00E54B2A" w:rsidRPr="00E54B2A" w:rsidRDefault="00E54B2A" w:rsidP="00E54B2A">
            <w:pPr>
              <w:spacing w:line="225" w:lineRule="auto"/>
              <w:rPr>
                <w:rFonts w:ascii="Noto Sans" w:eastAsia="Noto Sans" w:hAnsi="Noto Sans" w:cs="Noto Sans"/>
                <w:bCs/>
                <w:color w:val="434343"/>
                <w:sz w:val="18"/>
                <w:szCs w:val="18"/>
              </w:rPr>
            </w:pPr>
            <w:r w:rsidRPr="00E54B2A">
              <w:rPr>
                <w:rFonts w:ascii="Noto Sans" w:eastAsia="Noto Sans" w:hAnsi="Noto Sans" w:cs="Noto Sans"/>
                <w:bCs/>
                <w:color w:val="434343"/>
                <w:sz w:val="18"/>
                <w:szCs w:val="18"/>
              </w:rPr>
              <w:lastRenderedPageBreak/>
              <w:t>Data availability statement</w:t>
            </w:r>
          </w:p>
          <w:p w14:paraId="4790A381" w14:textId="23D0BD41" w:rsidR="00F102CC" w:rsidRPr="003D5AF6" w:rsidRDefault="00F102CC" w:rsidP="00E54B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719431" w:rsidR="00F102CC" w:rsidRPr="00E54B2A"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1DBE5E" w:rsidR="00F102CC" w:rsidRPr="00E54B2A"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6639D2" w:rsidR="00F102CC" w:rsidRPr="00E54B2A"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D1C2A3" w:rsidR="00F102CC" w:rsidRPr="00E54B2A"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19E8F4" w:rsidR="00F102CC" w:rsidRPr="00E54B2A"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A7ACA1" w:rsidR="00F102CC" w:rsidRPr="00E54B2A" w:rsidRDefault="00E54B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51B9" w14:textId="77777777" w:rsidR="00045262" w:rsidRDefault="00045262">
      <w:r>
        <w:separator/>
      </w:r>
    </w:p>
  </w:endnote>
  <w:endnote w:type="continuationSeparator" w:id="0">
    <w:p w14:paraId="4A0CAF82" w14:textId="77777777" w:rsidR="00045262" w:rsidRDefault="0004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FD28" w14:textId="77777777" w:rsidR="00045262" w:rsidRDefault="00045262">
      <w:r>
        <w:separator/>
      </w:r>
    </w:p>
  </w:footnote>
  <w:footnote w:type="continuationSeparator" w:id="0">
    <w:p w14:paraId="46DF9C2F" w14:textId="77777777" w:rsidR="00045262" w:rsidRDefault="0004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262"/>
    <w:rsid w:val="00084F1B"/>
    <w:rsid w:val="000B600B"/>
    <w:rsid w:val="00142DF9"/>
    <w:rsid w:val="001B3BCC"/>
    <w:rsid w:val="002209A8"/>
    <w:rsid w:val="003D5AF6"/>
    <w:rsid w:val="00400C53"/>
    <w:rsid w:val="00421C83"/>
    <w:rsid w:val="00427975"/>
    <w:rsid w:val="004E2C31"/>
    <w:rsid w:val="005B0259"/>
    <w:rsid w:val="00682A69"/>
    <w:rsid w:val="007054B6"/>
    <w:rsid w:val="007478EE"/>
    <w:rsid w:val="00762E78"/>
    <w:rsid w:val="00773D79"/>
    <w:rsid w:val="0078687E"/>
    <w:rsid w:val="00860173"/>
    <w:rsid w:val="008E170D"/>
    <w:rsid w:val="00987A55"/>
    <w:rsid w:val="009C7B26"/>
    <w:rsid w:val="00A11E52"/>
    <w:rsid w:val="00B2483D"/>
    <w:rsid w:val="00BD41E9"/>
    <w:rsid w:val="00C84413"/>
    <w:rsid w:val="00D66F33"/>
    <w:rsid w:val="00E54B2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Yunning Yang~MA [杨芸宁]</cp:lastModifiedBy>
  <cp:revision>5</cp:revision>
  <dcterms:created xsi:type="dcterms:W3CDTF">2025-03-06T02:58:00Z</dcterms:created>
  <dcterms:modified xsi:type="dcterms:W3CDTF">2025-03-06T07:15:00Z</dcterms:modified>
</cp:coreProperties>
</file>