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54134966">
            <w:pPr>
              <w:rPr>
                <w:rFonts w:ascii="Noto Sans" w:hAnsi="Noto Sans" w:eastAsia="Noto Sans" w:cs="Noto Sans"/>
                <w:bCs/>
                <w:color w:val="434343"/>
                <w:sz w:val="18"/>
                <w:szCs w:val="18"/>
              </w:rPr>
            </w:pPr>
            <w:r>
              <w:rPr>
                <w:rFonts w:hint="default" w:ascii="Noto Sans" w:hAnsi="Noto Sans" w:eastAsia="Noto Sans" w:cs="Noto Sans"/>
                <w:bCs/>
                <w:color w:val="434343"/>
                <w:sz w:val="18"/>
                <w:szCs w:val="18"/>
                <w:lang w:val="en-US" w:eastAsia="zh-CN"/>
              </w:rPr>
              <w:t>Supplementary Table 1</w:t>
            </w:r>
          </w:p>
          <w:p w14:paraId="220B6931">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ascii="Noto Sans" w:hAnsi="Noto Sans" w:eastAsia="Noto Sans" w:cs="Noto Sans"/>
                <w:bCs/>
                <w:color w:val="434343"/>
                <w:sz w:val="18"/>
                <w:szCs w:val="18"/>
              </w:rPr>
            </w:pP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3811CDB3">
            <w:pPr>
              <w:rPr>
                <w:rFonts w:ascii="Noto Sans" w:hAnsi="Noto Sans" w:eastAsia="Noto Sans" w:cs="Noto Sans"/>
                <w:bCs/>
                <w:color w:val="434343"/>
                <w:sz w:val="18"/>
                <w:szCs w:val="18"/>
              </w:rPr>
            </w:pPr>
            <w:r>
              <w:rPr>
                <w:rFonts w:hint="default" w:ascii="Noto Sans" w:hAnsi="Noto Sans" w:eastAsia="Noto Sans" w:cs="Noto Sans"/>
                <w:bCs/>
                <w:color w:val="434343"/>
                <w:sz w:val="18"/>
                <w:szCs w:val="18"/>
                <w:lang w:val="en-US" w:eastAsia="zh-CN"/>
              </w:rPr>
              <w:t>Supplementary Table 2</w:t>
            </w:r>
          </w:p>
          <w:p w14:paraId="2056814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ascii="Noto Sans" w:hAnsi="Noto Sans" w:eastAsia="Noto Sans" w:cs="Noto Sans"/>
                <w:b/>
                <w:color w:val="434343"/>
                <w:sz w:val="18"/>
                <w:szCs w:val="18"/>
              </w:rPr>
            </w:pP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0A945F0">
            <w:pPr>
              <w:spacing w:line="225" w:lineRule="auto"/>
              <w:rPr>
                <w:rFonts w:ascii="Noto Sans" w:hAnsi="Noto Sans" w:eastAsia="Noto Sans" w:cs="Noto Sans"/>
                <w:bCs/>
                <w:color w:val="434343"/>
                <w:sz w:val="18"/>
                <w:szCs w:val="18"/>
              </w:rPr>
            </w:pPr>
            <w:r>
              <w:rPr>
                <w:rFonts w:ascii="Segoe UI" w:hAnsi="Segoe UI" w:eastAsia="Segoe UI" w:cs="Segoe UI"/>
                <w:i w:val="0"/>
                <w:iCs w:val="0"/>
                <w:caps w:val="0"/>
                <w:spacing w:val="0"/>
                <w:sz w:val="19"/>
                <w:szCs w:val="19"/>
                <w:shd w:val="clear" w:fill="FFFFFF"/>
              </w:rPr>
              <w:t>In the study design section</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ascii="Noto Sans" w:hAnsi="Noto Sans" w:eastAsia="Noto Sans" w:cs="Noto Sans"/>
                <w:bCs/>
                <w:color w:val="434343"/>
                <w:sz w:val="18"/>
                <w:szCs w:val="18"/>
              </w:rPr>
            </w:pP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rPr>
                <w:rFonts w:ascii="Noto Sans" w:hAnsi="Noto Sans" w:eastAsia="Noto Sans" w:cs="Noto Sans"/>
                <w:bCs/>
                <w:color w:val="434343"/>
                <w:sz w:val="18"/>
                <w:szCs w:val="18"/>
              </w:rPr>
            </w:pPr>
            <w:r>
              <w:rPr>
                <w:rFonts w:ascii="Times New Roman" w:hAnsi="Times New Roman"/>
                <w:kern w:val="2"/>
                <w:sz w:val="20"/>
                <w:szCs w:val="20"/>
              </w:rPr>
              <w:t xml:space="preserve"> 76 </w:t>
            </w:r>
            <w:r>
              <w:rPr>
                <w:rFonts w:ascii="Noto Sans" w:hAnsi="Noto Sans" w:eastAsia="Noto Sans" w:cs="Noto Sans"/>
                <w:color w:val="434343"/>
                <w:sz w:val="18"/>
                <w:szCs w:val="18"/>
                <w:highlight w:val="white"/>
              </w:rPr>
              <w:t>times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ascii="Noto Sans" w:hAnsi="Noto Sans" w:eastAsia="Noto Sans" w:cs="Noto Sans"/>
                <w:bCs/>
                <w:color w:val="434343"/>
                <w:sz w:val="18"/>
                <w:szCs w:val="18"/>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ascii="Noto Sans" w:hAnsi="Noto Sans" w:eastAsia="Noto Sans" w:cs="Noto Sans"/>
                <w:bCs/>
                <w:color w:val="434343"/>
                <w:sz w:val="18"/>
                <w:szCs w:val="18"/>
              </w:rPr>
            </w:pPr>
            <w:r>
              <w:rPr>
                <w:rFonts w:hint="eastAsia" w:ascii="Segoe UI" w:hAnsi="Segoe UI" w:eastAsia="宋体" w:cs="Segoe UI"/>
                <w:i w:val="0"/>
                <w:iCs w:val="0"/>
                <w:caps w:val="0"/>
                <w:spacing w:val="0"/>
                <w:sz w:val="19"/>
                <w:szCs w:val="19"/>
                <w:shd w:val="clear" w:fill="FFFFFF"/>
                <w:lang w:val="en-US" w:eastAsia="zh-CN"/>
              </w:rPr>
              <w:t>B</w:t>
            </w:r>
            <w:r>
              <w:rPr>
                <w:rFonts w:ascii="Segoe UI" w:hAnsi="Segoe UI" w:eastAsia="Segoe UI" w:cs="Segoe UI"/>
                <w:i w:val="0"/>
                <w:iCs w:val="0"/>
                <w:caps w:val="0"/>
                <w:spacing w:val="0"/>
                <w:sz w:val="19"/>
                <w:szCs w:val="19"/>
                <w:shd w:val="clear" w:fill="FFFFFF"/>
              </w:rPr>
              <w:t>iological replicates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ascii="Noto Sans" w:hAnsi="Noto Sans" w:eastAsia="Noto Sans" w:cs="Noto Sans"/>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8E9BD2">
            <w:pPr>
              <w:rPr>
                <w:rFonts w:ascii="Noto Sans" w:hAnsi="Noto Sans" w:eastAsia="Noto Sans" w:cs="Noto Sans"/>
                <w:b/>
                <w:color w:val="434343"/>
                <w:sz w:val="18"/>
                <w:szCs w:val="18"/>
              </w:rPr>
            </w:pPr>
            <w:r>
              <w:rPr>
                <w:rFonts w:hint="eastAsia" w:ascii="Noto Sans" w:hAnsi="Noto Sans" w:eastAsia="Noto Sans" w:cs="Noto Sans"/>
                <w:color w:val="434343"/>
                <w:sz w:val="18"/>
                <w:szCs w:val="18"/>
                <w:lang w:val="en-US" w:eastAsia="zh-CN"/>
              </w:rPr>
              <w:t>This study was approved by the Medical Ethics Committee of Zhejiang Cancer Hospital and informed consent was obtained from all subjects. (IRB-2023-753)</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ascii="Noto Sans" w:hAnsi="Noto Sans" w:eastAsia="Noto Sans" w:cs="Noto Sans"/>
                <w:bCs/>
                <w:color w:val="434343"/>
                <w:sz w:val="18"/>
                <w:szCs w:val="18"/>
              </w:rPr>
            </w:pP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Exclusion criteria were pre-established. No samples or data points were reported as omitted from the analysis.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ascii="Noto Sans" w:hAnsi="Noto Sans" w:eastAsia="Noto Sans" w:cs="Noto Sans"/>
                <w:bCs/>
                <w:color w:val="434343"/>
                <w:sz w:val="18"/>
                <w:szCs w:val="18"/>
              </w:rPr>
            </w:pP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hint="eastAsia" w:ascii="Noto Sans" w:hAnsi="Noto Sans" w:eastAsia="Noto Sans" w:cs="Noto Sans"/>
                <w:bCs/>
                <w:color w:val="434343"/>
                <w:sz w:val="18"/>
                <w:szCs w:val="18"/>
                <w:lang w:val="en-US" w:eastAsia="zh-CN"/>
              </w:rPr>
            </w:pPr>
            <w:r>
              <w:rPr>
                <w:rFonts w:ascii="Noto Sans" w:hAnsi="Noto Sans" w:eastAsia="Noto Sans" w:cs="Noto Sans"/>
                <w:bCs/>
                <w:color w:val="434343"/>
                <w:sz w:val="18"/>
                <w:szCs w:val="18"/>
              </w:rPr>
              <w:t xml:space="preserve">Statistical analyses were performed using GraphPad Prism 9. The Mann-Whitney U test was used to assess the difference in the number of viral DNA copies between two groups or two metastasis patterns. Kendall's </w:t>
            </w:r>
            <w:r>
              <w:rPr>
                <w:rFonts w:ascii="Noto Sans" w:hAnsi="Noto Sans" w:eastAsia="Noto Sans" w:cs="Noto Sans"/>
                <w:bCs/>
                <w:color w:val="434343"/>
                <w:sz w:val="18"/>
                <w:szCs w:val="18"/>
              </w:rPr>
              <w:sym w:font="Symbol" w:char="F074"/>
            </w:r>
            <w:r>
              <w:rPr>
                <w:rFonts w:ascii="Noto Sans" w:hAnsi="Noto Sans" w:eastAsia="Noto Sans" w:cs="Noto Sans"/>
                <w:bCs/>
                <w:color w:val="434343"/>
                <w:sz w:val="18"/>
                <w:szCs w:val="18"/>
              </w:rPr>
              <w:t xml:space="preserve"> correlation test was used to determine the coefficient of correlation between two factors. Comparisons of the rates were conducted using Fisher's exact test. Kaplan-Meier survival analysis was conducted to calculate the hazard ratio with a 95% confidence interval (CI) using the Cox model. </w:t>
            </w:r>
            <w:r>
              <w:rPr>
                <w:rFonts w:hint="eastAsia" w:ascii="Noto Sans" w:hAnsi="Noto Sans" w:eastAsia="Noto Sans" w:cs="Noto Sans"/>
                <w:bCs/>
                <w:color w:val="434343"/>
                <w:sz w:val="18"/>
                <w:szCs w:val="18"/>
                <w:lang w:val="en-US" w:eastAsia="zh-CN"/>
              </w:rPr>
              <w:t xml:space="preserve"> The above statistical methods were selected based on the data of this study and the objectives of the research analysis.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90A381">
            <w:pPr>
              <w:spacing w:line="225" w:lineRule="auto"/>
              <w:rPr>
                <w:rFonts w:ascii="Noto Sans" w:hAnsi="Noto Sans" w:eastAsia="Noto Sans" w:cs="Noto Sans"/>
                <w:bCs/>
                <w:color w:val="434343"/>
                <w:sz w:val="18"/>
                <w:szCs w:val="18"/>
              </w:rPr>
            </w:pPr>
            <w:r>
              <w:rPr>
                <w:rFonts w:hint="eastAsia" w:ascii="Segoe UI" w:hAnsi="Segoe UI" w:eastAsia="宋体" w:cs="Segoe UI"/>
                <w:i w:val="0"/>
                <w:iCs w:val="0"/>
                <w:caps w:val="0"/>
                <w:spacing w:val="0"/>
                <w:sz w:val="19"/>
                <w:szCs w:val="19"/>
                <w:lang w:val="en-US" w:eastAsia="zh-CN"/>
              </w:rPr>
              <w:t>T</w:t>
            </w:r>
            <w:r>
              <w:rPr>
                <w:rFonts w:ascii="Segoe UI" w:hAnsi="Segoe UI" w:eastAsia="Segoe UI" w:cs="Segoe UI"/>
                <w:i w:val="0"/>
                <w:iCs w:val="0"/>
                <w:caps w:val="0"/>
                <w:spacing w:val="0"/>
                <w:sz w:val="19"/>
                <w:szCs w:val="19"/>
              </w:rPr>
              <w:t>he manuscript includes a data availability statement that provides details for access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ascii="Noto Sans" w:hAnsi="Noto Sans" w:eastAsia="Noto Sans" w:cs="Noto Sans"/>
                <w:bCs/>
                <w:color w:val="434343"/>
                <w:sz w:val="18"/>
                <w:szCs w:val="18"/>
              </w:rPr>
            </w:pP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The study followed the ICMJE guidelines, and the STROBE reporting checklist is included in the manuscript.</w:t>
            </w: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ascii="Noto Sans" w:hAnsi="Noto Sans" w:eastAsia="Noto Sans" w:cs="Noto Sans"/>
                <w:bCs/>
                <w:color w:val="434343"/>
                <w:sz w:val="18"/>
                <w:szCs w:val="18"/>
              </w:rPr>
            </w:pPr>
          </w:p>
        </w:tc>
      </w:tr>
    </w:tbl>
    <w:p w14:paraId="504D0CB4">
      <w:pPr>
        <w:spacing w:line="227" w:lineRule="auto"/>
        <w:rPr>
          <w:rFonts w:ascii="Noto Sans" w:hAnsi="Noto Sans" w:eastAsia="Noto Sans" w:cs="Noto Sans"/>
          <w:b/>
          <w:color w:val="434343"/>
          <w:sz w:val="18"/>
          <w:szCs w:val="18"/>
        </w:rPr>
      </w:pPr>
    </w:p>
    <w:p w14:paraId="36ED3EAB">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bookmarkStart w:id="4" w:name="_GoBack"/>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bookmarkEnd w:id="4"/>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Noto Sans SC"/>
    <w:panose1 w:val="020B0604020202020204"/>
    <w:charset w:val="00"/>
    <w:family w:val="swiss"/>
    <w:pitch w:val="default"/>
    <w:sig w:usb0="00000000" w:usb1="00000000" w:usb2="00000021" w:usb3="00000000" w:csb0="0000019F" w:csb1="00000000"/>
  </w:font>
  <w:font w:name="Noto Sans SC">
    <w:panose1 w:val="020B0200000000000000"/>
    <w:charset w:val="86"/>
    <w:family w:val="auto"/>
    <w:pitch w:val="default"/>
    <w:sig w:usb0="20000083" w:usb1="2ADF3C10" w:usb2="00000016" w:usb3="00000000" w:csb0="60060107"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01BC4357"/>
    <w:rsid w:val="093733C9"/>
    <w:rsid w:val="112B7E0A"/>
    <w:rsid w:val="1A45144E"/>
    <w:rsid w:val="1D684181"/>
    <w:rsid w:val="208C69D6"/>
    <w:rsid w:val="31D9592F"/>
    <w:rsid w:val="37DD5B8B"/>
    <w:rsid w:val="38743D65"/>
    <w:rsid w:val="43E9786D"/>
    <w:rsid w:val="4A205FF7"/>
    <w:rsid w:val="612F7F2B"/>
    <w:rsid w:val="728A7C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9"/>
    <w:unhideWhenUsed/>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7</Pages>
  <Words>1211</Words>
  <Characters>7497</Characters>
  <Lines>67</Lines>
  <Paragraphs>18</Paragraphs>
  <TotalTime>12</TotalTime>
  <ScaleCrop>false</ScaleCrop>
  <LinksUpToDate>false</LinksUpToDate>
  <CharactersWithSpaces>8622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yinzh</dc:creator>
  <cp:lastModifiedBy>殷卓敏</cp:lastModifiedBy>
  <dcterms:modified xsi:type="dcterms:W3CDTF">2025-07-27T05:23:39Z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eyJoZGlkIjoiNDlhMzdkM2Q3OWU2ZTIyYmQyYTEwNzliN2U4NjllZTciLCJ1c2VySWQiOiI1NzUxMDk1NjgifQ==</vt:lpwstr>
  </property>
  <property fmtid="{D5CDD505-2E9C-101B-9397-08002B2CF9AE}" pid="3" name="KSOProductBuildVer">
    <vt:lpwstr>2052-12.1.0.21915</vt:lpwstr>
  </property>
  <property fmtid="{D5CDD505-2E9C-101B-9397-08002B2CF9AE}" pid="4" name="ICV">
    <vt:lpwstr>CADC4173B203463A9502079D236BA575_12</vt:lpwstr>
  </property>
</Properties>
</file>