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0D3D">
      <w:pPr>
        <w:spacing w:line="480" w:lineRule="auto"/>
        <w:jc w:val="center"/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>Supplementary Table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3.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>nivariate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>analysis of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prognostic</w:t>
      </w:r>
      <w:r>
        <w:rPr>
          <w:rFonts w:ascii="Times New Roman" w:hAnsi="Times New Roman" w:eastAsia="宋体" w:cs="Times New Roman"/>
          <w:b/>
          <w:bCs/>
          <w:sz w:val="20"/>
          <w:szCs w:val="20"/>
          <w:lang w:val="en-US" w:eastAsia="fr-FR"/>
        </w:rPr>
        <w:t xml:space="preserve"> factors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>for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overall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fr-FR"/>
        </w:rPr>
        <w:t xml:space="preserve">survival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(n=28)</w:t>
      </w:r>
    </w:p>
    <w:tbl>
      <w:tblPr>
        <w:tblStyle w:val="2"/>
        <w:tblpPr w:leftFromText="180" w:rightFromText="180" w:vertAnchor="page" w:horzAnchor="page" w:tblpX="2305" w:tblpY="2118"/>
        <w:tblOverlap w:val="never"/>
        <w:tblW w:w="7562" w:type="dxa"/>
        <w:jc w:val="center"/>
        <w:tblBorders>
          <w:top w:val="single" w:color="auto" w:sz="4" w:space="0"/>
          <w:left w:val="single" w:color="D9D9D9" w:sz="4" w:space="0"/>
          <w:bottom w:val="none" w:color="auto" w:sz="0" w:space="0"/>
          <w:right w:val="single" w:color="D9D9D9" w:sz="4" w:space="0"/>
          <w:insideH w:val="single" w:color="auto" w:sz="4" w:space="0"/>
          <w:insideV w:val="single" w:color="D9D9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09"/>
        <w:gridCol w:w="908"/>
        <w:gridCol w:w="1700"/>
        <w:gridCol w:w="784"/>
      </w:tblGrid>
      <w:tr w14:paraId="0118D00A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  <w:jc w:val="center"/>
        </w:trPr>
        <w:tc>
          <w:tcPr>
            <w:tcW w:w="3261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4BBA3BA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 xml:space="preserve">Variable  </w:t>
            </w:r>
          </w:p>
        </w:tc>
        <w:tc>
          <w:tcPr>
            <w:tcW w:w="909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7522964">
            <w:pPr>
              <w:tabs>
                <w:tab w:val="left" w:pos="210"/>
              </w:tabs>
              <w:spacing w:after="240"/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16"/>
                <w:szCs w:val="16"/>
                <w:lang w:val="en-US" w:eastAsia="zh-CN"/>
              </w:rPr>
              <w:t>N</w:t>
            </w:r>
            <w:r>
              <w:rPr>
                <w:rFonts w:ascii="Times New Roman" w:hAnsi="Times New Roman" w:eastAsia="LlfcnnAdvTT99c4c969" w:cs="Times New Roman"/>
                <w:b/>
                <w:bCs/>
                <w:i w:val="0"/>
                <w:color w:val="000000"/>
                <w:sz w:val="16"/>
                <w:szCs w:val="16"/>
              </w:rPr>
              <w:t xml:space="preserve">o. of </w:t>
            </w:r>
          </w:p>
        </w:tc>
        <w:tc>
          <w:tcPr>
            <w:tcW w:w="90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ACA506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16"/>
                <w:szCs w:val="16"/>
                <w:lang w:val="en-US" w:eastAsia="zh-CN"/>
              </w:rPr>
              <w:t>Median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bottom w:val="single" w:color="000000" w:sz="8" w:space="0"/>
            </w:tcBorders>
            <w:noWrap w:val="0"/>
            <w:vAlign w:val="top"/>
          </w:tcPr>
          <w:p w14:paraId="2F2E511A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Univariate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analysis</w:t>
            </w:r>
          </w:p>
        </w:tc>
      </w:tr>
      <w:tr w14:paraId="00A57E8B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261" w:type="dxa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4FF156EF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4F9080C3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patients</w:t>
            </w:r>
          </w:p>
        </w:tc>
        <w:tc>
          <w:tcPr>
            <w:tcW w:w="908" w:type="dxa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278857E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OS(m)</w:t>
            </w:r>
          </w:p>
        </w:tc>
        <w:tc>
          <w:tcPr>
            <w:tcW w:w="1700" w:type="dxa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2A58D62A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 xml:space="preserve">HR (95% CI) </w:t>
            </w:r>
          </w:p>
        </w:tc>
        <w:tc>
          <w:tcPr>
            <w:tcW w:w="784" w:type="dxa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5A1E845E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14:paraId="7A31B841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000000" w:sz="12" w:space="0"/>
              <w:bottom w:val="single" w:color="D7D7D7" w:sz="4" w:space="0"/>
            </w:tcBorders>
            <w:noWrap w:val="0"/>
            <w:vAlign w:val="top"/>
          </w:tcPr>
          <w:p w14:paraId="7391231B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Age </w:t>
            </w:r>
          </w:p>
        </w:tc>
        <w:tc>
          <w:tcPr>
            <w:tcW w:w="909" w:type="dxa"/>
            <w:tcBorders>
              <w:top w:val="single" w:color="000000" w:sz="12" w:space="0"/>
              <w:bottom w:val="single" w:color="D7D7D7" w:sz="4" w:space="0"/>
            </w:tcBorders>
            <w:noWrap w:val="0"/>
            <w:vAlign w:val="top"/>
          </w:tcPr>
          <w:p w14:paraId="3E69CE1C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000000" w:sz="12" w:space="0"/>
              <w:bottom w:val="single" w:color="D7D7D7" w:sz="4" w:space="0"/>
            </w:tcBorders>
            <w:noWrap w:val="0"/>
            <w:vAlign w:val="top"/>
          </w:tcPr>
          <w:p w14:paraId="7FF2092D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000000" w:sz="12" w:space="0"/>
              <w:bottom w:val="single" w:color="D7D7D7" w:sz="4" w:space="0"/>
            </w:tcBorders>
            <w:noWrap w:val="0"/>
            <w:vAlign w:val="top"/>
          </w:tcPr>
          <w:p w14:paraId="3DE4B390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000000" w:sz="12" w:space="0"/>
              <w:bottom w:val="single" w:color="D7D7D7" w:sz="4" w:space="0"/>
            </w:tcBorders>
            <w:noWrap w:val="0"/>
            <w:vAlign w:val="top"/>
          </w:tcPr>
          <w:p w14:paraId="7A51B09A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60F54159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BA60C8F">
            <w:pPr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≥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years 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2EF8266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3BB345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52.1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502573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0.95(0.29-3.12)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5EE3027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0.927</w:t>
            </w:r>
          </w:p>
        </w:tc>
      </w:tr>
      <w:tr w14:paraId="37049262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46752AE">
            <w:pPr>
              <w:tabs>
                <w:tab w:val="left" w:pos="220"/>
              </w:tabs>
              <w:spacing w:after="240"/>
              <w:ind w:left="0" w:leftChars="0" w:firstLine="219" w:firstLineChars="137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&lt;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years 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645921C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AC18FA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50.2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277087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1EF39C5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0FC97066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6B6BBCA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HPV 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geno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types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6708FC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6489260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02A348A">
            <w:pPr>
              <w:spacing w:after="240"/>
              <w:ind w:firstLine="268" w:firstLine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7357E7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7AF16634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225962E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HPV16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+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41BDB4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AA5B445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88.5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3C2F06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0.34(0.08-1.43)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221A017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0.052</w:t>
            </w:r>
          </w:p>
        </w:tc>
      </w:tr>
      <w:tr w14:paraId="1C1541E9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69B1124">
            <w:pPr>
              <w:tabs>
                <w:tab w:val="left" w:pos="200"/>
                <w:tab w:val="left" w:pos="42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 N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on-HPV16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+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3D3703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BF4EDA4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C07EAE6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2AA266D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4A81954F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7C2CC28">
            <w:pPr>
              <w:tabs>
                <w:tab w:val="left" w:pos="210"/>
              </w:tabs>
              <w:spacing w:after="240"/>
              <w:ind w:firstLine="0" w:firstLineChars="0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Histological subtype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294F6F0">
            <w:pPr>
              <w:tabs>
                <w:tab w:val="left" w:pos="210"/>
              </w:tabs>
              <w:spacing w:after="240"/>
              <w:ind w:firstLine="0" w:firstLineChars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EB0FC11">
            <w:pPr>
              <w:tabs>
                <w:tab w:val="left" w:pos="210"/>
              </w:tabs>
              <w:spacing w:after="240"/>
              <w:ind w:firstLine="0" w:firstLineChars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BDA42F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97699D7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57C67E67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81AB602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Squamous cell carcinoma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910FF10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F45F1A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52.1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2DB12D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0.30(0.03-3.47)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51C65EE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0.098</w:t>
            </w:r>
          </w:p>
        </w:tc>
      </w:tr>
      <w:tr w14:paraId="608BD999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83AB9A0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n-s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  <w:t>quamous cell carcinoma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B4CFE20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00E1645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30.7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4AB32AC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3D88406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0C059B43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49B3B9D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Primary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or 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Recurrence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03B5566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Times-Roman" w:cs="Times New Roman"/>
                <w:b w:val="0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F8CE782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Times-Roman" w:cs="Times New Roman"/>
                <w:b w:val="0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FB3854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7FD0754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36772FA5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318F879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Primary IVB stage</w:t>
            </w:r>
          </w:p>
          <w:p w14:paraId="74EB94CC">
            <w:pPr>
              <w:tabs>
                <w:tab w:val="left" w:pos="210"/>
              </w:tabs>
              <w:spacing w:after="240"/>
              <w:ind w:firstLine="160" w:firstLineChars="100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47CF582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19DC60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39.8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FC48F53">
            <w:pPr>
              <w:tabs>
                <w:tab w:val="left" w:pos="210"/>
              </w:tabs>
              <w:spacing w:after="240"/>
              <w:ind w:firstLine="160" w:firstLineChars="100"/>
              <w:jc w:val="both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2.64(0.85-8.22)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BFC515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0.056</w:t>
            </w:r>
          </w:p>
        </w:tc>
      </w:tr>
      <w:tr w14:paraId="1F114BF3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69FA9D1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Recurrence or metastasis</w:t>
            </w:r>
          </w:p>
          <w:p w14:paraId="14E474A0">
            <w:pPr>
              <w:tabs>
                <w:tab w:val="left" w:pos="210"/>
              </w:tabs>
              <w:spacing w:after="240"/>
              <w:ind w:firstLine="160" w:firstLineChars="100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CDD559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02DF10E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88.5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6C83ED0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4BDB7AB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45AC6F89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4C5574D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attern of metastasis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62C5519">
            <w:pPr>
              <w:tabs>
                <w:tab w:val="left" w:pos="210"/>
              </w:tabs>
              <w:spacing w:after="240"/>
              <w:ind w:firstLine="160" w:firstLineChars="10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99B4FB1">
            <w:pPr>
              <w:tabs>
                <w:tab w:val="left" w:pos="210"/>
              </w:tabs>
              <w:spacing w:after="240"/>
              <w:ind w:firstLine="160" w:firstLineChars="10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1A1C4ED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49ED886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758CD0CD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4C0F80E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ind w:firstLine="320" w:firstLineChars="20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LR or LNM or HM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AC4B56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B7EC6A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88.5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3CDB08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0.46(0.14-1.46)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C7F5902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0.233</w:t>
            </w:r>
          </w:p>
        </w:tc>
      </w:tr>
      <w:tr w14:paraId="328FEDF8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48C2DDB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ind w:firstLine="320" w:firstLineChars="20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LN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sym w:font="Symbol" w:char="F0B1"/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DSM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7711D96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C624A7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37.2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BDE097E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611B304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05E2EE2C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92A4B09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highlight w:val="none"/>
                <w:lang w:eastAsia="zh-CN"/>
              </w:rPr>
              <w:t>Immunotherapy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8F5EA05">
            <w:pPr>
              <w:tabs>
                <w:tab w:val="left" w:pos="210"/>
              </w:tabs>
              <w:spacing w:after="240"/>
              <w:ind w:firstLine="160" w:firstLineChars="10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551D4C6">
            <w:pPr>
              <w:tabs>
                <w:tab w:val="left" w:pos="210"/>
              </w:tabs>
              <w:spacing w:after="240"/>
              <w:ind w:firstLine="160" w:firstLineChars="10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44BA2B7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E98D3DE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6BAB7435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0209129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ind w:firstLine="320" w:firstLineChars="20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Yes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25ADF5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ADA0825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52.1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550143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1.10(0.35-3.45)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E7B910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0.862</w:t>
            </w:r>
          </w:p>
        </w:tc>
      </w:tr>
      <w:tr w14:paraId="1C866353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E00B903"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ind w:firstLine="320" w:firstLineChars="20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No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0D81762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E1F630E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5A2CF43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FE2C7B3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1C03B129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50BCF39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Targeted therapy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C0BA17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0D2B3B73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B844D7C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41D4F64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721D2FED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81E6C04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0236C5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3123603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88.5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42C4BFB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0.54(0.17-1.67)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05C825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0.277</w:t>
            </w:r>
          </w:p>
        </w:tc>
      </w:tr>
      <w:tr w14:paraId="2AAD7985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BDE401A">
            <w:pPr>
              <w:tabs>
                <w:tab w:val="left" w:pos="220"/>
                <w:tab w:val="left" w:pos="42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4407AF0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8A8673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39.8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01672AA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3DB1BAD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44DBBC76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36AA565">
            <w:pPr>
              <w:spacing w:after="240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Median HPV cfDNA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3138F75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583771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6761DD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959E50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6C1D2ABD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bottom"/>
          </w:tcPr>
          <w:p w14:paraId="6AE62180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1.6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superscript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A546758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4447687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39.2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BD86F39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1.34(0.43-4.14)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0C07AA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0.603</w:t>
            </w:r>
          </w:p>
        </w:tc>
      </w:tr>
      <w:tr w14:paraId="6123BFA5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bottom"/>
          </w:tcPr>
          <w:p w14:paraId="23E8F7FD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10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56BC6003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20CFE92C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52.1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90D3B05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B5D17E2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  <w:tr w14:paraId="6C68E9DE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606AE053">
            <w:pPr>
              <w:tabs>
                <w:tab w:val="left" w:pos="210"/>
              </w:tabs>
              <w:spacing w:after="24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aseline HPV cfDNA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88D87F5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E3EC7B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7489B38D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5C990EE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0BD2F4CA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30726A1C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4.1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10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2254AE1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4941E56A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39.8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29DF66B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1.40(0.47-4.16)</w:t>
            </w:r>
          </w:p>
        </w:tc>
        <w:tc>
          <w:tcPr>
            <w:tcW w:w="784" w:type="dxa"/>
            <w:tcBorders>
              <w:top w:val="single" w:color="D7D7D7" w:sz="4" w:space="0"/>
              <w:bottom w:val="single" w:color="D7D7D7" w:sz="4" w:space="0"/>
            </w:tcBorders>
            <w:noWrap w:val="0"/>
            <w:vAlign w:val="top"/>
          </w:tcPr>
          <w:p w14:paraId="1B6910DE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0.535</w:t>
            </w:r>
          </w:p>
        </w:tc>
      </w:tr>
      <w:tr w14:paraId="7D37255D">
        <w:tblPrEx>
          <w:tblBorders>
            <w:top w:val="single" w:color="auto" w:sz="4" w:space="0"/>
            <w:left w:val="single" w:color="D9D9D9" w:sz="4" w:space="0"/>
            <w:bottom w:val="none" w:color="auto" w:sz="0" w:space="0"/>
            <w:right w:val="single" w:color="D9D9D9" w:sz="4" w:space="0"/>
            <w:insideH w:val="single" w:color="auto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261" w:type="dxa"/>
            <w:tcBorders>
              <w:top w:val="single" w:color="D7D7D7" w:sz="4" w:space="0"/>
              <w:bottom w:val="single" w:color="auto" w:sz="8" w:space="0"/>
            </w:tcBorders>
            <w:noWrap w:val="0"/>
            <w:vAlign w:val="top"/>
          </w:tcPr>
          <w:p w14:paraId="50E017CD">
            <w:pPr>
              <w:tabs>
                <w:tab w:val="left" w:pos="210"/>
              </w:tabs>
              <w:spacing w:after="240"/>
              <w:ind w:firstLine="320" w:firstLineChars="200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4.1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10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D7D7D7" w:sz="4" w:space="0"/>
              <w:bottom w:val="single" w:color="auto" w:sz="8" w:space="0"/>
            </w:tcBorders>
            <w:noWrap w:val="0"/>
            <w:vAlign w:val="top"/>
          </w:tcPr>
          <w:p w14:paraId="12B7AF42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908" w:type="dxa"/>
            <w:tcBorders>
              <w:top w:val="single" w:color="D7D7D7" w:sz="4" w:space="0"/>
              <w:bottom w:val="single" w:color="auto" w:sz="8" w:space="0"/>
            </w:tcBorders>
            <w:noWrap w:val="0"/>
            <w:vAlign w:val="top"/>
          </w:tcPr>
          <w:p w14:paraId="22F617A0">
            <w:pPr>
              <w:tabs>
                <w:tab w:val="left" w:pos="210"/>
              </w:tabs>
              <w:spacing w:after="24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52.1</w:t>
            </w:r>
          </w:p>
        </w:tc>
        <w:tc>
          <w:tcPr>
            <w:tcW w:w="1700" w:type="dxa"/>
            <w:tcBorders>
              <w:top w:val="single" w:color="D7D7D7" w:sz="4" w:space="0"/>
              <w:bottom w:val="single" w:color="auto" w:sz="8" w:space="0"/>
            </w:tcBorders>
            <w:noWrap w:val="0"/>
            <w:vAlign w:val="top"/>
          </w:tcPr>
          <w:p w14:paraId="2FBC79AB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D7D7D7" w:sz="4" w:space="0"/>
              <w:bottom w:val="single" w:color="auto" w:sz="8" w:space="0"/>
            </w:tcBorders>
            <w:noWrap w:val="0"/>
            <w:vAlign w:val="top"/>
          </w:tcPr>
          <w:p w14:paraId="67427BDB">
            <w:pPr>
              <w:tabs>
                <w:tab w:val="left" w:pos="210"/>
              </w:tabs>
              <w:spacing w:after="24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</w:tr>
    </w:tbl>
    <w:p w14:paraId="477A2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277" w:rightChars="132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2"/>
          <w:szCs w:val="12"/>
          <w:u w:val="none"/>
          <w:lang w:val="en-US" w:eastAsia="zh-CN" w:bidi="ar"/>
        </w:rPr>
      </w:pPr>
    </w:p>
    <w:p w14:paraId="44AB7D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277" w:rightChars="132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Abbreviations: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CI, confidence interval; DSM, diffuse serosal metastasis; HM, hematogenous metastasis; HR, hazard ratio; LNM, lymph node metastasis; LR, local recurrence; OS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overall survival.</w:t>
      </w:r>
    </w:p>
    <w:p w14:paraId="0BAC9CB6">
      <w:pPr>
        <w:rPr>
          <w:rFonts w:ascii="Times New Roman" w:hAnsi="Times New Roman" w:cs="Times New Roman"/>
        </w:rPr>
      </w:pPr>
    </w:p>
    <w:p w14:paraId="56D3962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lfcnnAdvTT99c4c96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598"/>
    <w:rsid w:val="0B5A7049"/>
    <w:rsid w:val="14156DE5"/>
    <w:rsid w:val="24EB7D81"/>
    <w:rsid w:val="49D367A3"/>
    <w:rsid w:val="61C7734B"/>
    <w:rsid w:val="623F0AA9"/>
    <w:rsid w:val="643F6069"/>
    <w:rsid w:val="7D94436C"/>
    <w:rsid w:val="7EBC3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904</Characters>
  <Lines>0</Lines>
  <Paragraphs>0</Paragraphs>
  <TotalTime>0</TotalTime>
  <ScaleCrop>false</ScaleCrop>
  <LinksUpToDate>false</LinksUpToDate>
  <CharactersWithSpaces>1015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2025-07-27T09:31:00Z</dcterms:created>
  <dc:creator>yinzh</dc:creator>
  <cp:lastModifiedBy>殷卓敏</cp:lastModifiedBy>
  <dcterms:modified xsi:type="dcterms:W3CDTF">2025-07-27T10:21:54Z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eyJoZGlkIjoiNDlhMzdkM2Q3OWU2ZTIyYmQyYTEwNzliN2U4NjllZTciLCJ1c2VySWQiOiI1NzUxMDk1NjgifQ==</vt:lpwstr>
  </property>
  <property fmtid="{D5CDD505-2E9C-101B-9397-08002B2CF9AE}" pid="4" name="ICV">
    <vt:lpwstr>4CBE8E87A4DE4C7A8CA243E27A23EF2B_13</vt:lpwstr>
  </property>
</Properties>
</file>