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98F2F32" w:rsidR="00F102CC" w:rsidRPr="00A87F58" w:rsidRDefault="00A87F58" w:rsidP="00A87F58">
            <w:pPr>
              <w:rPr>
                <w:rFonts w:ascii="Noto Sans" w:eastAsia="Noto Sans" w:hAnsi="Noto Sans" w:cs="Noto Sans"/>
                <w:bCs/>
                <w:i/>
                <w:color w:val="434343"/>
                <w:sz w:val="18"/>
                <w:szCs w:val="18"/>
                <w:lang w:val="en"/>
              </w:rPr>
            </w:pPr>
            <w:r>
              <w:rPr>
                <w:rFonts w:ascii="Noto Sans" w:eastAsia="Noto Sans" w:hAnsi="Noto Sans" w:cs="Noto Sans"/>
                <w:bCs/>
                <w:color w:val="434343"/>
                <w:sz w:val="18"/>
                <w:szCs w:val="18"/>
              </w:rPr>
              <w:t>“</w:t>
            </w:r>
            <w:r w:rsidRPr="00A87F58">
              <w:rPr>
                <w:rFonts w:ascii="Noto Sans" w:eastAsia="Noto Sans" w:hAnsi="Noto Sans" w:cs="Noto Sans"/>
                <w:bCs/>
                <w:i/>
                <w:color w:val="434343"/>
                <w:sz w:val="18"/>
                <w:szCs w:val="18"/>
                <w:u w:val="single"/>
                <w:lang w:val="en"/>
              </w:rPr>
              <w:t>Data and code availability</w:t>
            </w:r>
            <w:r>
              <w:rPr>
                <w:rFonts w:ascii="Noto Sans" w:eastAsia="Noto Sans" w:hAnsi="Noto Sans" w:cs="Noto Sans"/>
                <w:bCs/>
                <w:color w:val="434343"/>
                <w:sz w:val="18"/>
                <w:szCs w:val="18"/>
              </w:rPr>
              <w:t>”, p.17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BF5843"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190FA7"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7A71B4"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68DFC8"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5DC9E1"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16AEDA"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3ED39C"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FE172D"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CBE147" w:rsidR="00F102CC" w:rsidRPr="003D5AF6" w:rsidRDefault="006011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16B91A1" w:rsidR="00F102CC" w:rsidRPr="006011C1" w:rsidRDefault="006011C1" w:rsidP="006011C1">
            <w:pPr>
              <w:rPr>
                <w:rFonts w:ascii="Noto Sans" w:eastAsia="Noto Sans" w:hAnsi="Noto Sans" w:cs="Noto Sans"/>
                <w:bCs/>
                <w:i/>
                <w:color w:val="434343"/>
                <w:sz w:val="18"/>
                <w:szCs w:val="18"/>
                <w:u w:val="single"/>
                <w:lang w:val="en"/>
              </w:rPr>
            </w:pPr>
            <w:r>
              <w:rPr>
                <w:rFonts w:ascii="Noto Sans" w:eastAsia="Noto Sans" w:hAnsi="Noto Sans" w:cs="Noto Sans"/>
                <w:bCs/>
                <w:color w:val="434343"/>
                <w:sz w:val="18"/>
                <w:szCs w:val="18"/>
              </w:rPr>
              <w:t>The demographics information of the openly available MICA-PNI dataset are reported in the section “</w:t>
            </w:r>
            <w:r w:rsidRPr="006011C1">
              <w:rPr>
                <w:rFonts w:ascii="Noto Sans" w:eastAsia="Noto Sans" w:hAnsi="Noto Sans" w:cs="Noto Sans"/>
                <w:bCs/>
                <w:i/>
                <w:color w:val="434343"/>
                <w:sz w:val="18"/>
                <w:szCs w:val="18"/>
                <w:u w:val="single"/>
                <w:lang w:val="en"/>
              </w:rPr>
              <w:t>In vivo MRI data acquisition</w:t>
            </w:r>
            <w:r>
              <w:rPr>
                <w:rFonts w:ascii="Noto Sans" w:eastAsia="Noto Sans" w:hAnsi="Noto Sans" w:cs="Noto Sans"/>
                <w:bCs/>
                <w:color w:val="434343"/>
                <w:sz w:val="18"/>
                <w:szCs w:val="18"/>
              </w:rPr>
              <w:t>” (p.15)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8517B1"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BEA1B5" w:rsidR="00F102CC" w:rsidRPr="003D5AF6" w:rsidRDefault="00601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4E7CE3" w:rsidR="00F102CC" w:rsidRPr="003D5AF6" w:rsidRDefault="00601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F00C29" w:rsidR="00F102CC" w:rsidRPr="003D5AF6" w:rsidRDefault="001B4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3D212E7" w:rsidR="00F102CC" w:rsidRPr="001B4F65" w:rsidRDefault="001B4F65">
            <w:pPr>
              <w:spacing w:line="225" w:lineRule="auto"/>
              <w:rPr>
                <w:rFonts w:ascii="Noto Sans" w:eastAsia="Noto Sans" w:hAnsi="Noto Sans" w:cs="Noto Sans"/>
                <w:bCs/>
                <w:color w:val="434343"/>
                <w:sz w:val="18"/>
                <w:szCs w:val="18"/>
              </w:rPr>
            </w:pPr>
            <w:r w:rsidRPr="001B4F6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2BA479" w:rsidR="00F102CC" w:rsidRPr="003D5AF6" w:rsidRDefault="001B4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E4E0FF" w:rsidR="00F102CC" w:rsidRPr="003D5AF6" w:rsidRDefault="001B4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all participants in the openly available samples, following the original authors selection of participants (i.e., healthy participants with high quality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7304F1" w:rsidR="00F102CC" w:rsidRPr="003D5AF6" w:rsidRDefault="00A87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E916851"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379E43" w:rsidR="00F102CC" w:rsidRPr="003D5AF6" w:rsidRDefault="00A87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B5BD24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4714238" w:rsidR="00F102CC" w:rsidRPr="00CD3059" w:rsidRDefault="00CD3059" w:rsidP="00CD3059">
            <w:pPr>
              <w:spacing w:line="225" w:lineRule="auto"/>
              <w:rPr>
                <w:rFonts w:ascii="Noto Sans" w:eastAsia="Noto Sans" w:hAnsi="Noto Sans" w:cs="Noto Sans"/>
                <w:bCs/>
                <w:color w:val="434343"/>
                <w:sz w:val="18"/>
                <w:szCs w:val="18"/>
                <w:u w:val="single"/>
                <w:lang w:val="en"/>
              </w:rPr>
            </w:pPr>
            <w:r w:rsidRPr="00CD3059">
              <w:rPr>
                <w:rFonts w:ascii="Noto Sans" w:eastAsia="Noto Sans" w:hAnsi="Noto Sans" w:cs="Noto Sans"/>
                <w:bCs/>
                <w:color w:val="434343"/>
                <w:sz w:val="18"/>
                <w:szCs w:val="18"/>
              </w:rPr>
              <w:t>Methods, “</w:t>
            </w:r>
            <w:r w:rsidRPr="00CD3059">
              <w:rPr>
                <w:rFonts w:ascii="Noto Sans" w:eastAsia="Noto Sans" w:hAnsi="Noto Sans" w:cs="Noto Sans"/>
                <w:bCs/>
                <w:i/>
                <w:iCs/>
                <w:color w:val="434343"/>
                <w:sz w:val="18"/>
                <w:szCs w:val="18"/>
                <w:u w:val="single"/>
                <w:lang w:val="en"/>
              </w:rPr>
              <w:t>Histological data acquisition and pre-processin</w:t>
            </w:r>
            <w:r w:rsidRPr="00CD3059">
              <w:rPr>
                <w:rFonts w:ascii="Noto Sans" w:eastAsia="Noto Sans" w:hAnsi="Noto Sans" w:cs="Noto Sans"/>
                <w:bCs/>
                <w:i/>
                <w:iCs/>
                <w:color w:val="434343"/>
                <w:sz w:val="18"/>
                <w:szCs w:val="18"/>
                <w:u w:val="single"/>
                <w:lang w:val="en"/>
              </w:rPr>
              <w:t>g</w:t>
            </w:r>
            <w:r w:rsidRPr="00CD3059">
              <w:rPr>
                <w:rFonts w:ascii="Noto Sans" w:eastAsia="Noto Sans" w:hAnsi="Noto Sans" w:cs="Noto Sans"/>
                <w:bCs/>
                <w:color w:val="434343"/>
                <w:sz w:val="18"/>
                <w:szCs w:val="18"/>
              </w:rPr>
              <w:t>” (p.14) and “</w:t>
            </w:r>
            <w:r w:rsidRPr="00CD3059">
              <w:rPr>
                <w:rFonts w:ascii="Noto Sans" w:eastAsia="Noto Sans" w:hAnsi="Noto Sans" w:cs="Noto Sans"/>
                <w:bCs/>
                <w:i/>
                <w:iCs/>
                <w:color w:val="434343"/>
                <w:sz w:val="18"/>
                <w:szCs w:val="18"/>
                <w:u w:val="single"/>
                <w:lang w:val="en"/>
              </w:rPr>
              <w:t>In vivo MRI data acquisition</w:t>
            </w:r>
            <w:r w:rsidRPr="00CD3059">
              <w:rPr>
                <w:rFonts w:ascii="Noto Sans" w:eastAsia="Noto Sans" w:hAnsi="Noto Sans" w:cs="Noto Sans"/>
                <w:bCs/>
                <w:color w:val="434343"/>
                <w:sz w:val="18"/>
                <w:szCs w:val="18"/>
              </w:rPr>
              <w:t>” (p.15)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7B79C0" w:rsidR="00F102CC" w:rsidRPr="003D5AF6" w:rsidRDefault="00A87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FAB15D" w:rsidR="00F102CC" w:rsidRPr="003D5AF6" w:rsidRDefault="00A87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0FAF0D" w:rsidR="00F102CC" w:rsidRPr="003D5AF6" w:rsidRDefault="003F0F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2947365" w:rsidR="00F102CC" w:rsidRPr="003D5AF6" w:rsidRDefault="003F0F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for MRI data were pre-established and are reported in Methods, </w:t>
            </w:r>
            <w:r w:rsidRPr="00CD3059">
              <w:rPr>
                <w:rFonts w:ascii="Noto Sans" w:eastAsia="Noto Sans" w:hAnsi="Noto Sans" w:cs="Noto Sans"/>
                <w:bCs/>
                <w:color w:val="434343"/>
                <w:sz w:val="18"/>
                <w:szCs w:val="18"/>
              </w:rPr>
              <w:t>“</w:t>
            </w:r>
            <w:r w:rsidRPr="00CD3059">
              <w:rPr>
                <w:rFonts w:ascii="Noto Sans" w:eastAsia="Noto Sans" w:hAnsi="Noto Sans" w:cs="Noto Sans"/>
                <w:bCs/>
                <w:i/>
                <w:iCs/>
                <w:color w:val="434343"/>
                <w:sz w:val="18"/>
                <w:szCs w:val="18"/>
                <w:u w:val="single"/>
                <w:lang w:val="en"/>
              </w:rPr>
              <w:t>In vivo MRI data acquisition</w:t>
            </w:r>
            <w:r w:rsidRPr="00CD3059">
              <w:rPr>
                <w:rFonts w:ascii="Noto Sans" w:eastAsia="Noto Sans" w:hAnsi="Noto Sans" w:cs="Noto Sans"/>
                <w:bCs/>
                <w:color w:val="434343"/>
                <w:sz w:val="18"/>
                <w:szCs w:val="18"/>
              </w:rPr>
              <w:t>” (p.15)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66DBDB" w:rsidR="00F102CC" w:rsidRPr="003F0F3C" w:rsidRDefault="003F0F3C" w:rsidP="003F0F3C">
            <w:pPr>
              <w:spacing w:line="225" w:lineRule="auto"/>
              <w:rPr>
                <w:rFonts w:ascii="Noto Sans" w:eastAsia="Noto Sans" w:hAnsi="Noto Sans" w:cs="Noto Sans"/>
                <w:bCs/>
                <w:i/>
                <w:color w:val="434343"/>
                <w:sz w:val="18"/>
                <w:szCs w:val="18"/>
                <w:u w:val="single"/>
                <w:lang w:val="en"/>
              </w:rPr>
            </w:pPr>
            <w:r>
              <w:rPr>
                <w:rFonts w:ascii="Noto Sans" w:eastAsia="Noto Sans" w:hAnsi="Noto Sans" w:cs="Noto Sans"/>
                <w:bCs/>
                <w:color w:val="434343"/>
                <w:sz w:val="18"/>
                <w:szCs w:val="18"/>
              </w:rPr>
              <w:t>Methods: “</w:t>
            </w:r>
            <w:r w:rsidRPr="003F0F3C">
              <w:rPr>
                <w:rFonts w:ascii="Noto Sans" w:eastAsia="Noto Sans" w:hAnsi="Noto Sans" w:cs="Noto Sans"/>
                <w:bCs/>
                <w:i/>
                <w:color w:val="434343"/>
                <w:sz w:val="18"/>
                <w:szCs w:val="18"/>
                <w:u w:val="single"/>
                <w:lang w:val="en"/>
              </w:rPr>
              <w:t>Dimensionality reduction of histological features</w:t>
            </w:r>
            <w:r>
              <w:rPr>
                <w:rFonts w:ascii="Noto Sans" w:eastAsia="Noto Sans" w:hAnsi="Noto Sans" w:cs="Noto Sans"/>
                <w:bCs/>
                <w:color w:val="434343"/>
                <w:sz w:val="18"/>
                <w:szCs w:val="18"/>
              </w:rPr>
              <w:t xml:space="preserve">”, </w:t>
            </w:r>
            <w:r w:rsidRPr="003F0F3C">
              <w:rPr>
                <w:rFonts w:ascii="Noto Sans" w:eastAsia="Noto Sans" w:hAnsi="Noto Sans" w:cs="Noto Sans"/>
                <w:bCs/>
                <w:i/>
                <w:color w:val="434343"/>
                <w:sz w:val="18"/>
                <w:szCs w:val="18"/>
                <w:u w:val="single"/>
                <w:lang w:val="en"/>
              </w:rPr>
              <w:t>Multimodal MRI processing and analysis</w:t>
            </w:r>
            <w:r>
              <w:rPr>
                <w:rFonts w:ascii="Noto Sans" w:eastAsia="Noto Sans" w:hAnsi="Noto Sans" w:cs="Noto Sans"/>
                <w:bCs/>
                <w:color w:val="434343"/>
                <w:sz w:val="18"/>
                <w:szCs w:val="18"/>
              </w:rPr>
              <w:t>”, “</w:t>
            </w:r>
            <w:r w:rsidRPr="003F0F3C">
              <w:rPr>
                <w:rFonts w:ascii="Noto Sans" w:eastAsia="Noto Sans" w:hAnsi="Noto Sans" w:cs="Noto Sans"/>
                <w:bCs/>
                <w:i/>
                <w:color w:val="434343"/>
                <w:sz w:val="18"/>
                <w:szCs w:val="18"/>
                <w:u w:val="single"/>
                <w:lang w:val="en"/>
              </w:rPr>
              <w:t>Functional network mapping of amygdala microstructural subregions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DC67D9" w:rsidR="00F102CC" w:rsidRPr="003F0F3C" w:rsidRDefault="003F0F3C" w:rsidP="003F0F3C">
            <w:pPr>
              <w:spacing w:line="225" w:lineRule="auto"/>
              <w:rPr>
                <w:rFonts w:ascii="Noto Sans" w:eastAsia="Noto Sans" w:hAnsi="Noto Sans" w:cs="Noto Sans"/>
                <w:bCs/>
                <w:i/>
                <w:color w:val="434343"/>
                <w:sz w:val="18"/>
                <w:szCs w:val="18"/>
                <w:lang w:val="en"/>
              </w:rPr>
            </w:pPr>
            <w:r>
              <w:rPr>
                <w:rFonts w:ascii="Noto Sans" w:eastAsia="Noto Sans" w:hAnsi="Noto Sans" w:cs="Noto Sans"/>
                <w:bCs/>
                <w:color w:val="434343"/>
                <w:sz w:val="18"/>
                <w:szCs w:val="18"/>
              </w:rPr>
              <w:t>Methods, “</w:t>
            </w:r>
            <w:r w:rsidRPr="003F0F3C">
              <w:rPr>
                <w:rFonts w:ascii="Noto Sans" w:eastAsia="Noto Sans" w:hAnsi="Noto Sans" w:cs="Noto Sans"/>
                <w:bCs/>
                <w:i/>
                <w:color w:val="434343"/>
                <w:sz w:val="18"/>
                <w:szCs w:val="18"/>
                <w:u w:val="single"/>
                <w:lang w:val="en"/>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88CD1F" w:rsidR="00F102CC" w:rsidRPr="003D5AF6" w:rsidRDefault="003F0F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419D9F6" w:rsidR="00F102CC" w:rsidRPr="003D5AF6" w:rsidRDefault="003F0F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Methods, “</w:t>
            </w:r>
            <w:r w:rsidRPr="003F0F3C">
              <w:rPr>
                <w:rFonts w:ascii="Noto Sans" w:eastAsia="Noto Sans" w:hAnsi="Noto Sans" w:cs="Noto Sans"/>
                <w:bCs/>
                <w:i/>
                <w:color w:val="434343"/>
                <w:sz w:val="18"/>
                <w:szCs w:val="18"/>
                <w:u w:val="single"/>
                <w:lang w:val="en"/>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06DF55" w:rsidR="00F102CC" w:rsidRPr="003D5AF6" w:rsidRDefault="003F0F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Methods, “</w:t>
            </w:r>
            <w:r w:rsidRPr="003F0F3C">
              <w:rPr>
                <w:rFonts w:ascii="Noto Sans" w:eastAsia="Noto Sans" w:hAnsi="Noto Sans" w:cs="Noto Sans"/>
                <w:bCs/>
                <w:i/>
                <w:color w:val="434343"/>
                <w:sz w:val="18"/>
                <w:szCs w:val="18"/>
                <w:u w:val="single"/>
                <w:lang w:val="en"/>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B2809D" w:rsidR="00F102CC" w:rsidRPr="003D5AF6" w:rsidRDefault="003F0F3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w:t>
            </w:r>
            <w:r w:rsidRPr="003F0F3C">
              <w:rPr>
                <w:rFonts w:ascii="Noto Sans" w:eastAsia="Noto Sans" w:hAnsi="Noto Sans" w:cs="Noto Sans"/>
                <w:bCs/>
                <w:i/>
                <w:color w:val="434343"/>
                <w:sz w:val="18"/>
                <w:szCs w:val="18"/>
                <w:u w:val="single"/>
                <w:lang w:val="en"/>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AE78DF" w:rsidR="00F102CC" w:rsidRPr="003D5AF6" w:rsidRDefault="003F0F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r w:rsidRPr="003F0F3C">
              <w:rPr>
                <w:rFonts w:ascii="Noto Sans" w:eastAsia="Noto Sans" w:hAnsi="Noto Sans" w:cs="Noto Sans"/>
                <w:bCs/>
                <w:i/>
                <w:color w:val="434343"/>
                <w:sz w:val="18"/>
                <w:szCs w:val="18"/>
                <w:u w:val="single"/>
                <w:lang w:val="en"/>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5FAADF" w:rsidR="00F102CC" w:rsidRPr="003D5AF6" w:rsidRDefault="003F0F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E559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9986" w14:textId="77777777" w:rsidR="00DE5599" w:rsidRDefault="00DE5599">
      <w:r>
        <w:separator/>
      </w:r>
    </w:p>
  </w:endnote>
  <w:endnote w:type="continuationSeparator" w:id="0">
    <w:p w14:paraId="35F37D37" w14:textId="77777777" w:rsidR="00DE5599" w:rsidRDefault="00DE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1546" w14:textId="77777777" w:rsidR="00DE5599" w:rsidRDefault="00DE5599">
      <w:r>
        <w:separator/>
      </w:r>
    </w:p>
  </w:footnote>
  <w:footnote w:type="continuationSeparator" w:id="0">
    <w:p w14:paraId="6B3EAA53" w14:textId="77777777" w:rsidR="00DE5599" w:rsidRDefault="00DE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4F65"/>
    <w:rsid w:val="002209A8"/>
    <w:rsid w:val="003D5AF6"/>
    <w:rsid w:val="003F0F3C"/>
    <w:rsid w:val="00400C53"/>
    <w:rsid w:val="00427975"/>
    <w:rsid w:val="004E2C31"/>
    <w:rsid w:val="005B0259"/>
    <w:rsid w:val="006011C1"/>
    <w:rsid w:val="007054B6"/>
    <w:rsid w:val="0078687E"/>
    <w:rsid w:val="008002BC"/>
    <w:rsid w:val="008E640D"/>
    <w:rsid w:val="009C7B26"/>
    <w:rsid w:val="00A11E52"/>
    <w:rsid w:val="00A87F58"/>
    <w:rsid w:val="00B2483D"/>
    <w:rsid w:val="00BD41E9"/>
    <w:rsid w:val="00C84413"/>
    <w:rsid w:val="00CD3059"/>
    <w:rsid w:val="00DE55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Royer</cp:lastModifiedBy>
  <cp:revision>11</cp:revision>
  <dcterms:created xsi:type="dcterms:W3CDTF">2022-02-28T12:21:00Z</dcterms:created>
  <dcterms:modified xsi:type="dcterms:W3CDTF">2025-01-29T15:58:00Z</dcterms:modified>
</cp:coreProperties>
</file>