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2C95" w14:textId="1733B11D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 xml:space="preserve">Materials Design Analysis Reporting (MDAR) Checklist for </w:t>
      </w:r>
      <w:proofErr w:type="spellStart"/>
      <w:r w:rsidRPr="002D193F">
        <w:rPr>
          <w:rFonts w:ascii="Arial" w:hAnsi="Arial" w:cs="Arial"/>
          <w:b/>
          <w:bCs/>
          <w:sz w:val="20"/>
          <w:szCs w:val="20"/>
          <w:lang w:val="en-CA"/>
        </w:rPr>
        <w:t>eLife</w:t>
      </w:r>
      <w:proofErr w:type="spellEnd"/>
    </w:p>
    <w:p w14:paraId="4FA624A6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Materials</w:t>
      </w:r>
    </w:p>
    <w:p w14:paraId="33D8C9F3" w14:textId="77777777" w:rsidR="00AD4A8F" w:rsidRPr="002D193F" w:rsidRDefault="00AD4A8F" w:rsidP="00FD3A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Newly created materials: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applicable. No new materials (e.g., new reagents, organisms, or chemical compounds) were generated.</w:t>
      </w:r>
    </w:p>
    <w:p w14:paraId="1EC83A5C" w14:textId="404BAB7D" w:rsidR="00AD4A8F" w:rsidRPr="002D193F" w:rsidRDefault="00AD4A8F" w:rsidP="00FD3A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Antibodies: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Antibodies used for flow cytometry are reported in the Methods with </w:t>
      </w:r>
      <w:r w:rsidRPr="002D193F">
        <w:rPr>
          <w:rFonts w:ascii="Arial" w:hAnsi="Arial" w:cs="Arial"/>
          <w:b/>
          <w:bCs/>
          <w:sz w:val="20"/>
          <w:szCs w:val="20"/>
          <w:lang w:val="en-CA"/>
        </w:rPr>
        <w:t>clone IDs</w:t>
      </w:r>
      <w:r w:rsidR="00A44CA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44CA2" w:rsidRPr="002D193F">
        <w:rPr>
          <w:rFonts w:ascii="Arial" w:hAnsi="Arial" w:cs="Arial"/>
          <w:sz w:val="20"/>
          <w:szCs w:val="20"/>
          <w:lang w:val="en-CA"/>
        </w:rPr>
        <w:t>RRIDs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and </w:t>
      </w:r>
      <w:r w:rsidRPr="002D193F">
        <w:rPr>
          <w:rFonts w:ascii="Arial" w:hAnsi="Arial" w:cs="Arial"/>
          <w:b/>
          <w:bCs/>
          <w:sz w:val="20"/>
          <w:szCs w:val="20"/>
          <w:lang w:val="en-CA"/>
        </w:rPr>
        <w:t>suppliers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(BioLegend or </w:t>
      </w:r>
      <w:proofErr w:type="spellStart"/>
      <w:r w:rsidRPr="002D193F">
        <w:rPr>
          <w:rFonts w:ascii="Arial" w:hAnsi="Arial" w:cs="Arial"/>
          <w:sz w:val="20"/>
          <w:szCs w:val="20"/>
          <w:lang w:val="en-CA"/>
        </w:rPr>
        <w:t>Thermo</w:t>
      </w:r>
      <w:proofErr w:type="spellEnd"/>
      <w:r w:rsidRPr="002D193F">
        <w:rPr>
          <w:rFonts w:ascii="Arial" w:hAnsi="Arial" w:cs="Arial"/>
          <w:sz w:val="20"/>
          <w:szCs w:val="20"/>
          <w:lang w:val="en-CA"/>
        </w:rPr>
        <w:t xml:space="preserve"> Fisher Scientific), with </w:t>
      </w:r>
      <w:r w:rsidRPr="002D193F">
        <w:rPr>
          <w:rFonts w:ascii="Arial" w:hAnsi="Arial" w:cs="Arial"/>
          <w:b/>
          <w:bCs/>
          <w:sz w:val="20"/>
          <w:szCs w:val="20"/>
          <w:lang w:val="en-CA"/>
        </w:rPr>
        <w:t>catalog numbers provided where stated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(e.g., anti-Ly6G Alexa Fluor 647, BioLegend #127610). </w:t>
      </w:r>
    </w:p>
    <w:p w14:paraId="02738F0D" w14:textId="77777777" w:rsidR="00AD4A8F" w:rsidRPr="002D193F" w:rsidRDefault="00AD4A8F" w:rsidP="00FD3A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DNA/RNA sequences: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qPCR primer sequences are provided in the Methods (e.g., </w:t>
      </w:r>
      <w:proofErr w:type="spellStart"/>
      <w:r w:rsidRPr="002D193F">
        <w:rPr>
          <w:rFonts w:ascii="Arial" w:hAnsi="Arial" w:cs="Arial"/>
          <w:i/>
          <w:iCs/>
          <w:sz w:val="20"/>
          <w:szCs w:val="20"/>
          <w:lang w:val="en-CA"/>
        </w:rPr>
        <w:t>Artn</w:t>
      </w:r>
      <w:proofErr w:type="spellEnd"/>
      <w:r w:rsidRPr="002D193F">
        <w:rPr>
          <w:rFonts w:ascii="Arial" w:hAnsi="Arial" w:cs="Arial"/>
          <w:sz w:val="20"/>
          <w:szCs w:val="20"/>
          <w:lang w:val="en-CA"/>
        </w:rPr>
        <w:t xml:space="preserve"> primers). These sequences are not novel and were not deposited in a repository.</w:t>
      </w:r>
    </w:p>
    <w:p w14:paraId="26439EF8" w14:textId="77777777" w:rsidR="00AD4A8F" w:rsidRPr="002D193F" w:rsidRDefault="00AD4A8F" w:rsidP="00FD3A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Cell materials: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applicable. No cell lines were used. Primary cells (e.g., BALF cells, lung immune cells, JNC neurons) were isolated from mice.</w:t>
      </w:r>
    </w:p>
    <w:p w14:paraId="0B36613F" w14:textId="77777777" w:rsidR="00AD4A8F" w:rsidRPr="002D193F" w:rsidRDefault="00AD4A8F" w:rsidP="00FD3A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Experimental animals: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Yes. </w:t>
      </w:r>
      <w:r w:rsidRPr="002D193F">
        <w:rPr>
          <w:rFonts w:ascii="Arial" w:hAnsi="Arial" w:cs="Arial"/>
          <w:i/>
          <w:iCs/>
          <w:sz w:val="20"/>
          <w:szCs w:val="20"/>
          <w:lang w:val="en-CA"/>
        </w:rPr>
        <w:t>Mus musculus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(mouse). Species, strains (including transgenic lines with JAX stock numbers/RRIDs), sex (male and female), and ages (typically ~6–16 weeks depending on experiment) are reported. Genotypes and breeding strategy (including littermate controls) are described.</w:t>
      </w:r>
    </w:p>
    <w:p w14:paraId="403D6D80" w14:textId="77777777" w:rsidR="00AD4A8F" w:rsidRPr="002D193F" w:rsidRDefault="00AD4A8F" w:rsidP="00FD3A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Human participants: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applicable. No human participants were included.</w:t>
      </w:r>
    </w:p>
    <w:p w14:paraId="0F9EA982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Design</w:t>
      </w:r>
    </w:p>
    <w:p w14:paraId="54D9AA2E" w14:textId="77777777" w:rsidR="00AD4A8F" w:rsidRPr="002D193F" w:rsidRDefault="00AD4A8F" w:rsidP="00FD3A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Study protocol (pre-registration):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applicable. The study was not pre-registered.</w:t>
      </w:r>
    </w:p>
    <w:p w14:paraId="3D628B44" w14:textId="77777777" w:rsidR="00AD4A8F" w:rsidRPr="002D193F" w:rsidRDefault="00AD4A8F" w:rsidP="00FD3A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Laboratory protocol (public DOI/repository):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available. No protocols were deposited in an external protocol repository; procedures are described in the Methods.</w:t>
      </w:r>
    </w:p>
    <w:p w14:paraId="08858068" w14:textId="77777777" w:rsidR="00AD4A8F" w:rsidRPr="002D193F" w:rsidRDefault="00AD4A8F" w:rsidP="00FD3A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Sample size: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Sample sizes are reported in figure legends and/or Methods. No a priori power analysis is reported.</w:t>
      </w:r>
    </w:p>
    <w:p w14:paraId="530E846E" w14:textId="77777777" w:rsidR="00A44CA2" w:rsidRDefault="00AD4A8F" w:rsidP="00FD3A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A44CA2">
        <w:rPr>
          <w:rFonts w:ascii="Arial" w:hAnsi="Arial" w:cs="Arial"/>
          <w:b/>
          <w:bCs/>
          <w:sz w:val="20"/>
          <w:szCs w:val="20"/>
          <w:lang w:val="en-CA"/>
        </w:rPr>
        <w:t>Randomization:</w:t>
      </w:r>
      <w:r w:rsidRPr="00A44CA2">
        <w:rPr>
          <w:rFonts w:ascii="Arial" w:hAnsi="Arial" w:cs="Arial"/>
          <w:sz w:val="20"/>
          <w:szCs w:val="20"/>
          <w:lang w:val="en-CA"/>
        </w:rPr>
        <w:t xml:space="preserve"> </w:t>
      </w:r>
      <w:r w:rsidR="00A44CA2" w:rsidRPr="002D193F">
        <w:rPr>
          <w:rFonts w:ascii="Arial" w:hAnsi="Arial" w:cs="Arial"/>
          <w:sz w:val="20"/>
          <w:szCs w:val="20"/>
          <w:lang w:val="en-CA"/>
        </w:rPr>
        <w:t xml:space="preserve">Not applicable. </w:t>
      </w:r>
    </w:p>
    <w:p w14:paraId="655FB359" w14:textId="3B141A95" w:rsidR="00AD4A8F" w:rsidRPr="00A44CA2" w:rsidRDefault="00AD4A8F" w:rsidP="00FD3A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A44CA2">
        <w:rPr>
          <w:rFonts w:ascii="Arial" w:hAnsi="Arial" w:cs="Arial"/>
          <w:b/>
          <w:bCs/>
          <w:sz w:val="20"/>
          <w:szCs w:val="20"/>
          <w:lang w:val="en-CA"/>
        </w:rPr>
        <w:t>Blinding:</w:t>
      </w:r>
      <w:r w:rsidRPr="00A44CA2">
        <w:rPr>
          <w:rFonts w:ascii="Arial" w:hAnsi="Arial" w:cs="Arial"/>
          <w:sz w:val="20"/>
          <w:szCs w:val="20"/>
          <w:lang w:val="en-CA"/>
        </w:rPr>
        <w:t xml:space="preserve"> </w:t>
      </w:r>
      <w:r w:rsidR="00A44CA2" w:rsidRPr="002D193F">
        <w:rPr>
          <w:rFonts w:ascii="Arial" w:hAnsi="Arial" w:cs="Arial"/>
          <w:sz w:val="20"/>
          <w:szCs w:val="20"/>
          <w:lang w:val="en-CA"/>
        </w:rPr>
        <w:t>Not applicable.</w:t>
      </w:r>
    </w:p>
    <w:p w14:paraId="23704A94" w14:textId="5B0F1DD8" w:rsidR="00AD4A8F" w:rsidRPr="002D193F" w:rsidRDefault="00AD4A8F" w:rsidP="00FD3A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Inclusion/exclusion criteria: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One RNA-seq sample (naïve group) was excluded as a PCA outlier; no other exclusions are reported.</w:t>
      </w:r>
      <w:r w:rsidR="00A44CA2">
        <w:rPr>
          <w:rFonts w:ascii="Arial" w:hAnsi="Arial" w:cs="Arial"/>
          <w:sz w:val="20"/>
          <w:szCs w:val="20"/>
          <w:lang w:val="en-CA"/>
        </w:rPr>
        <w:t xml:space="preserve"> This is stated in the method section</w:t>
      </w:r>
    </w:p>
    <w:p w14:paraId="25E9E32A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Ethics</w:t>
      </w:r>
    </w:p>
    <w:p w14:paraId="18BC7C1B" w14:textId="77777777" w:rsidR="00AD4A8F" w:rsidRPr="002D193F" w:rsidRDefault="00AD4A8F" w:rsidP="00FD3A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Animal research ethics: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</w:t>
      </w:r>
      <w:r w:rsidRPr="00A44CA2">
        <w:rPr>
          <w:rFonts w:ascii="Arial" w:hAnsi="Arial" w:cs="Arial"/>
          <w:sz w:val="20"/>
          <w:szCs w:val="20"/>
          <w:lang w:val="en-CA"/>
        </w:rPr>
        <w:t>Approved under institutional animal care protocols and conducted under CCAC guidelines. Approvals reported: McGill University (Mgcl-8184) and Queen’s University Animal Care Committee (UACC protocol 2384).</w:t>
      </w:r>
    </w:p>
    <w:p w14:paraId="11F1D3FB" w14:textId="77777777" w:rsidR="00AD4A8F" w:rsidRPr="002D193F" w:rsidRDefault="00AD4A8F" w:rsidP="00FD3A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Human research ethics: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applicable.</w:t>
      </w:r>
    </w:p>
    <w:p w14:paraId="055DF232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Analysis</w:t>
      </w:r>
    </w:p>
    <w:p w14:paraId="00210983" w14:textId="77777777" w:rsidR="00AD4A8F" w:rsidRPr="002D193F" w:rsidRDefault="00AD4A8F" w:rsidP="00FD3AED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Attrition and exclusions: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 animal attrition is reported. One RNA-seq outlier sample was excluded (as above); otherwise, no exclusions.</w:t>
      </w:r>
    </w:p>
    <w:p w14:paraId="0E76938D" w14:textId="77777777" w:rsidR="00AD4A8F" w:rsidRPr="002D193F" w:rsidRDefault="00AD4A8F" w:rsidP="00FD3AED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Statistical methods: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</w:t>
      </w:r>
      <w:r w:rsidRPr="00A44CA2">
        <w:rPr>
          <w:rFonts w:ascii="Arial" w:hAnsi="Arial" w:cs="Arial"/>
          <w:sz w:val="20"/>
          <w:szCs w:val="20"/>
          <w:lang w:val="en-CA"/>
        </w:rPr>
        <w:t>Significance threshold reported (p ≤ 0.05). Statistical tests include Student’s t-test and one-way ANOVA in GraphPad Prism; RNA-seq differential expression was performed using DESeq2 (FDR-adjusted p-values, FDR &lt; 0.05). Seurat-based analyses were conducted in R.</w:t>
      </w:r>
    </w:p>
    <w:p w14:paraId="76073B19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Data availability</w:t>
      </w:r>
    </w:p>
    <w:p w14:paraId="0E73231B" w14:textId="77777777" w:rsidR="00AD4A8F" w:rsidRPr="002D193F" w:rsidRDefault="00AD4A8F" w:rsidP="00FD3AED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RNA-seq data: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Raw and processed bulk RNA-seq data are deposited in GEO: </w:t>
      </w:r>
      <w:r w:rsidRPr="002D193F">
        <w:rPr>
          <w:rFonts w:ascii="Arial" w:hAnsi="Arial" w:cs="Arial"/>
          <w:b/>
          <w:bCs/>
          <w:sz w:val="20"/>
          <w:szCs w:val="20"/>
          <w:lang w:val="en-CA"/>
        </w:rPr>
        <w:t>GSE298583</w:t>
      </w:r>
      <w:r w:rsidRPr="002D193F">
        <w:rPr>
          <w:rFonts w:ascii="Arial" w:hAnsi="Arial" w:cs="Arial"/>
          <w:sz w:val="20"/>
          <w:szCs w:val="20"/>
          <w:lang w:val="en-CA"/>
        </w:rPr>
        <w:t>.</w:t>
      </w:r>
    </w:p>
    <w:p w14:paraId="72167396" w14:textId="77777777" w:rsidR="00AD4A8F" w:rsidRPr="002D193F" w:rsidRDefault="00AD4A8F" w:rsidP="00FD3AED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Other data: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Processed data are available in supplementary files; additional raw data are available via the provided Dropbox link and/or on request.</w:t>
      </w:r>
    </w:p>
    <w:p w14:paraId="625D24D8" w14:textId="77777777" w:rsidR="00AD4A8F" w:rsidRPr="002D193F" w:rsidRDefault="00AD4A8F" w:rsidP="00FD3AED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Behavioral/questionnaire data: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applicable.</w:t>
      </w:r>
    </w:p>
    <w:p w14:paraId="2A5B6D47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Code availability</w:t>
      </w:r>
    </w:p>
    <w:p w14:paraId="107C0B79" w14:textId="77777777" w:rsidR="00AD4A8F" w:rsidRPr="002D193F" w:rsidRDefault="00AD4A8F" w:rsidP="00FD3AED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Code/scripts: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Not publicly available. Analyses used standard tools (GraphPad Prism; R/RStudio with DESeq2/Seurat), but scripts were not deposited.</w:t>
      </w:r>
    </w:p>
    <w:p w14:paraId="01D0C9CC" w14:textId="77777777" w:rsidR="00AD4A8F" w:rsidRPr="002D193F" w:rsidRDefault="00AD4A8F" w:rsidP="00FD3AE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Reporting</w:t>
      </w:r>
    </w:p>
    <w:p w14:paraId="41DA4A5C" w14:textId="77777777" w:rsidR="00AD4A8F" w:rsidRPr="002D193F" w:rsidRDefault="00AD4A8F" w:rsidP="00FD3AED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Standards/resources used:</w:t>
      </w:r>
      <w:r w:rsidRPr="00A44CA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44CA2">
        <w:rPr>
          <w:rFonts w:ascii="Arial" w:hAnsi="Arial" w:cs="Arial"/>
          <w:sz w:val="20"/>
          <w:szCs w:val="20"/>
          <w:lang w:val="en-CA"/>
        </w:rPr>
        <w:t xml:space="preserve">In silico analyses reference established resources (e.g., </w:t>
      </w:r>
      <w:proofErr w:type="spellStart"/>
      <w:r w:rsidRPr="00A44CA2">
        <w:rPr>
          <w:rFonts w:ascii="Arial" w:hAnsi="Arial" w:cs="Arial"/>
          <w:sz w:val="20"/>
          <w:szCs w:val="20"/>
          <w:lang w:val="en-CA"/>
        </w:rPr>
        <w:t>ImmGen</w:t>
      </w:r>
      <w:proofErr w:type="spellEnd"/>
      <w:r w:rsidRPr="00A44CA2">
        <w:rPr>
          <w:rFonts w:ascii="Arial" w:hAnsi="Arial" w:cs="Arial"/>
          <w:sz w:val="20"/>
          <w:szCs w:val="20"/>
          <w:lang w:val="en-CA"/>
        </w:rPr>
        <w:t xml:space="preserve">, Human Protein Atlas, </w:t>
      </w:r>
      <w:proofErr w:type="spellStart"/>
      <w:r w:rsidRPr="00A44CA2">
        <w:rPr>
          <w:rFonts w:ascii="Arial" w:hAnsi="Arial" w:cs="Arial"/>
          <w:sz w:val="20"/>
          <w:szCs w:val="20"/>
          <w:lang w:val="en-CA"/>
        </w:rPr>
        <w:t>CELLxGENE</w:t>
      </w:r>
      <w:proofErr w:type="spellEnd"/>
      <w:r w:rsidRPr="00A44CA2">
        <w:rPr>
          <w:rFonts w:ascii="Arial" w:hAnsi="Arial" w:cs="Arial"/>
          <w:sz w:val="20"/>
          <w:szCs w:val="20"/>
          <w:lang w:val="en-CA"/>
        </w:rPr>
        <w:t xml:space="preserve"> Discover) and enrichment analyses were performed using </w:t>
      </w:r>
      <w:proofErr w:type="gramStart"/>
      <w:r w:rsidRPr="00A44CA2">
        <w:rPr>
          <w:rFonts w:ascii="Arial" w:hAnsi="Arial" w:cs="Arial"/>
          <w:sz w:val="20"/>
          <w:szCs w:val="20"/>
          <w:lang w:val="en-CA"/>
        </w:rPr>
        <w:t>g:Profiler</w:t>
      </w:r>
      <w:proofErr w:type="gramEnd"/>
      <w:r w:rsidRPr="00A44CA2">
        <w:rPr>
          <w:rFonts w:ascii="Arial" w:hAnsi="Arial" w:cs="Arial"/>
          <w:sz w:val="20"/>
          <w:szCs w:val="20"/>
          <w:lang w:val="en-CA"/>
        </w:rPr>
        <w:t>/GO-term.</w:t>
      </w:r>
    </w:p>
    <w:p w14:paraId="6E638E8D" w14:textId="339DB787" w:rsidR="00AD4A8F" w:rsidRPr="002D193F" w:rsidRDefault="00AD4A8F" w:rsidP="00FD3AED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2D193F">
        <w:rPr>
          <w:rFonts w:ascii="Arial" w:hAnsi="Arial" w:cs="Arial"/>
          <w:b/>
          <w:bCs/>
          <w:sz w:val="20"/>
          <w:szCs w:val="20"/>
          <w:lang w:val="en-CA"/>
        </w:rPr>
        <w:t>Guidelines adherence statement:</w:t>
      </w:r>
      <w:r w:rsidRPr="002D193F">
        <w:rPr>
          <w:rFonts w:ascii="Arial" w:hAnsi="Arial" w:cs="Arial"/>
          <w:sz w:val="20"/>
          <w:szCs w:val="20"/>
          <w:lang w:val="en-CA"/>
        </w:rPr>
        <w:t xml:space="preserve"> </w:t>
      </w:r>
      <w:r w:rsidR="00A44CA2" w:rsidRPr="002D193F">
        <w:rPr>
          <w:rFonts w:ascii="Arial" w:hAnsi="Arial" w:cs="Arial"/>
          <w:sz w:val="20"/>
          <w:szCs w:val="20"/>
          <w:lang w:val="en-CA"/>
        </w:rPr>
        <w:t>Not applicable.</w:t>
      </w:r>
      <w:r w:rsidR="00A44CA2">
        <w:rPr>
          <w:rFonts w:ascii="Arial" w:hAnsi="Arial" w:cs="Arial"/>
          <w:sz w:val="20"/>
          <w:szCs w:val="20"/>
          <w:lang w:val="en-CA"/>
        </w:rPr>
        <w:t xml:space="preserve"> </w:t>
      </w:r>
      <w:proofErr w:type="gramStart"/>
      <w:r w:rsidRPr="002D193F">
        <w:rPr>
          <w:rFonts w:ascii="Arial" w:hAnsi="Arial" w:cs="Arial"/>
          <w:sz w:val="20"/>
          <w:szCs w:val="20"/>
          <w:lang w:val="en-CA"/>
        </w:rPr>
        <w:t>No</w:t>
      </w:r>
      <w:proofErr w:type="gramEnd"/>
      <w:r w:rsidRPr="002D193F">
        <w:rPr>
          <w:rFonts w:ascii="Arial" w:hAnsi="Arial" w:cs="Arial"/>
          <w:sz w:val="20"/>
          <w:szCs w:val="20"/>
          <w:lang w:val="en-CA"/>
        </w:rPr>
        <w:t xml:space="preserve"> explicit statement of adherence to specific reporting guidelines (e.g., ARRIVE) is included in the Methods.</w:t>
      </w:r>
    </w:p>
    <w:p w14:paraId="7C60B3FA" w14:textId="77777777" w:rsidR="00AD4A8F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p w14:paraId="24E5684C" w14:textId="77777777" w:rsidR="00AD4A8F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p w14:paraId="0FDEE36F" w14:textId="77777777" w:rsidR="00AD4A8F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p w14:paraId="74C7D929" w14:textId="6AD05CA9" w:rsidR="0010234A" w:rsidRDefault="0010234A" w:rsidP="00FD3AED">
      <w:pPr>
        <w:spacing w:after="160" w:line="259" w:lineRule="auto"/>
        <w:jc w:val="both"/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br w:type="page"/>
      </w:r>
    </w:p>
    <w:p w14:paraId="567FB8A1" w14:textId="77777777" w:rsidR="00AD4A8F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p w14:paraId="31E2F0CF" w14:textId="77777777" w:rsidR="00AD4A8F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p w14:paraId="6A3CF2DD" w14:textId="77777777" w:rsidR="00AD4A8F" w:rsidRPr="00A872D5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p w14:paraId="3F3DF4EE" w14:textId="77777777" w:rsidR="00AD4A8F" w:rsidRPr="00A872D5" w:rsidRDefault="00AD4A8F" w:rsidP="00FD3AED">
      <w:pPr>
        <w:pStyle w:val="NoSpacing"/>
        <w:jc w:val="both"/>
        <w:rPr>
          <w:rFonts w:ascii="Arial" w:hAnsi="Arial" w:cs="Arial"/>
          <w:sz w:val="16"/>
          <w:szCs w:val="16"/>
          <w:lang w:val="en-CA"/>
        </w:rPr>
      </w:pPr>
      <w:r w:rsidRPr="00A872D5">
        <w:rPr>
          <w:rFonts w:ascii="Arial" w:hAnsi="Arial" w:cs="Arial"/>
          <w:sz w:val="16"/>
          <w:szCs w:val="16"/>
          <w:lang w:val="en-CA"/>
        </w:rPr>
        <w:t>Key resources table – Experimental model organisms (Mus musculus)</w:t>
      </w:r>
    </w:p>
    <w:p w14:paraId="46EA36D6" w14:textId="77777777" w:rsidR="00AD4A8F" w:rsidRPr="00A872D5" w:rsidRDefault="00AD4A8F" w:rsidP="00FD3AED">
      <w:pPr>
        <w:pStyle w:val="NoSpacing"/>
        <w:ind w:left="720"/>
        <w:jc w:val="both"/>
        <w:rPr>
          <w:rFonts w:ascii="Arial" w:hAnsi="Arial" w:cs="Arial"/>
          <w:sz w:val="16"/>
          <w:szCs w:val="16"/>
          <w:lang w:val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976"/>
        <w:gridCol w:w="1137"/>
        <w:gridCol w:w="2024"/>
        <w:gridCol w:w="3883"/>
      </w:tblGrid>
      <w:tr w:rsidR="00AD4A8F" w:rsidRPr="00A872D5" w14:paraId="6B2D0599" w14:textId="77777777" w:rsidTr="000C725A">
        <w:trPr>
          <w:tblHeader/>
          <w:tblCellSpacing w:w="15" w:type="dxa"/>
        </w:trPr>
        <w:tc>
          <w:tcPr>
            <w:tcW w:w="1906" w:type="dxa"/>
            <w:vAlign w:val="center"/>
            <w:hideMark/>
          </w:tcPr>
          <w:p w14:paraId="22468A8F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Reagent type (species) or resource</w:t>
            </w:r>
          </w:p>
        </w:tc>
        <w:tc>
          <w:tcPr>
            <w:tcW w:w="917" w:type="dxa"/>
            <w:vAlign w:val="center"/>
            <w:hideMark/>
          </w:tcPr>
          <w:p w14:paraId="073E4920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7B87F470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Source or reference</w:t>
            </w:r>
          </w:p>
        </w:tc>
        <w:tc>
          <w:tcPr>
            <w:tcW w:w="0" w:type="auto"/>
            <w:vAlign w:val="center"/>
            <w:hideMark/>
          </w:tcPr>
          <w:p w14:paraId="29B96626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Identifiers</w:t>
            </w:r>
          </w:p>
        </w:tc>
        <w:tc>
          <w:tcPr>
            <w:tcW w:w="0" w:type="auto"/>
            <w:vAlign w:val="center"/>
            <w:hideMark/>
          </w:tcPr>
          <w:p w14:paraId="48908437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Additional information</w:t>
            </w:r>
          </w:p>
        </w:tc>
      </w:tr>
      <w:tr w:rsidR="00AD4A8F" w:rsidRPr="00A872D5" w14:paraId="57D45A4D" w14:textId="77777777" w:rsidTr="000C725A">
        <w:trPr>
          <w:tblCellSpacing w:w="15" w:type="dxa"/>
        </w:trPr>
        <w:tc>
          <w:tcPr>
            <w:tcW w:w="1906" w:type="dxa"/>
            <w:vAlign w:val="center"/>
            <w:hideMark/>
          </w:tcPr>
          <w:p w14:paraId="393CB3B2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Strain, strain background (Mus musculus)</w:t>
            </w:r>
          </w:p>
        </w:tc>
        <w:tc>
          <w:tcPr>
            <w:tcW w:w="917" w:type="dxa"/>
            <w:vAlign w:val="center"/>
            <w:hideMark/>
          </w:tcPr>
          <w:p w14:paraId="68C689E8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C57BL/6J</w:t>
            </w:r>
          </w:p>
        </w:tc>
        <w:tc>
          <w:tcPr>
            <w:tcW w:w="0" w:type="auto"/>
            <w:vAlign w:val="center"/>
            <w:hideMark/>
          </w:tcPr>
          <w:p w14:paraId="23A565BF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The Jackson Laboratory</w:t>
            </w:r>
          </w:p>
        </w:tc>
        <w:tc>
          <w:tcPr>
            <w:tcW w:w="0" w:type="auto"/>
            <w:vAlign w:val="center"/>
            <w:hideMark/>
          </w:tcPr>
          <w:p w14:paraId="1B3D0969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Stock No: 000664; RRID: IMSR_JAX:000664</w:t>
            </w:r>
          </w:p>
        </w:tc>
        <w:tc>
          <w:tcPr>
            <w:tcW w:w="0" w:type="auto"/>
            <w:vAlign w:val="center"/>
            <w:hideMark/>
          </w:tcPr>
          <w:p w14:paraId="0F9EBD64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Wild-type background strain used for experiments and/or breeding.</w:t>
            </w:r>
          </w:p>
        </w:tc>
      </w:tr>
      <w:tr w:rsidR="00AD4A8F" w:rsidRPr="00A872D5" w14:paraId="305C1774" w14:textId="77777777" w:rsidTr="000C725A">
        <w:trPr>
          <w:tblCellSpacing w:w="15" w:type="dxa"/>
        </w:trPr>
        <w:tc>
          <w:tcPr>
            <w:tcW w:w="1906" w:type="dxa"/>
            <w:vAlign w:val="center"/>
            <w:hideMark/>
          </w:tcPr>
          <w:p w14:paraId="089925ED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Strain, strain background (Mus musculus)</w:t>
            </w:r>
          </w:p>
        </w:tc>
        <w:tc>
          <w:tcPr>
            <w:tcW w:w="917" w:type="dxa"/>
            <w:vAlign w:val="center"/>
            <w:hideMark/>
          </w:tcPr>
          <w:p w14:paraId="7650A26D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DTA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fl/</w:t>
            </w:r>
            <w:proofErr w:type="spellStart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 xml:space="preserve"> 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(floxed diphtheria toxin A line; “DTAfl”)</w:t>
            </w:r>
          </w:p>
        </w:tc>
        <w:tc>
          <w:tcPr>
            <w:tcW w:w="0" w:type="auto"/>
            <w:vAlign w:val="center"/>
            <w:hideMark/>
          </w:tcPr>
          <w:p w14:paraId="0E742BAF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The Jackson Laboratory</w:t>
            </w:r>
          </w:p>
        </w:tc>
        <w:tc>
          <w:tcPr>
            <w:tcW w:w="0" w:type="auto"/>
            <w:vAlign w:val="center"/>
            <w:hideMark/>
          </w:tcPr>
          <w:p w14:paraId="19BC8443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Stock No: 010527; RRID: IMSR_JAX:010527</w:t>
            </w:r>
          </w:p>
        </w:tc>
        <w:tc>
          <w:tcPr>
            <w:tcW w:w="0" w:type="auto"/>
            <w:vAlign w:val="center"/>
            <w:hideMark/>
          </w:tcPr>
          <w:p w14:paraId="702AADD7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Cre-dependent DTA expression for genetic ablation when crossed to Cre driver lines.</w:t>
            </w:r>
          </w:p>
        </w:tc>
      </w:tr>
      <w:tr w:rsidR="00AD4A8F" w:rsidRPr="00A872D5" w14:paraId="59F7B889" w14:textId="77777777" w:rsidTr="000C725A">
        <w:trPr>
          <w:tblCellSpacing w:w="15" w:type="dxa"/>
        </w:trPr>
        <w:tc>
          <w:tcPr>
            <w:tcW w:w="1906" w:type="dxa"/>
            <w:vAlign w:val="center"/>
            <w:hideMark/>
          </w:tcPr>
          <w:p w14:paraId="57FC8AD7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Strain, strain background (Mus musculus)</w:t>
            </w:r>
          </w:p>
        </w:tc>
        <w:tc>
          <w:tcPr>
            <w:tcW w:w="917" w:type="dxa"/>
            <w:vAlign w:val="center"/>
            <w:hideMark/>
          </w:tcPr>
          <w:p w14:paraId="0E6741CF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DTA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fl/</w:t>
            </w:r>
            <w:proofErr w:type="spellStart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 xml:space="preserve"> 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(floxed diphtheria toxin A line; “DTAfl”)</w:t>
            </w:r>
          </w:p>
        </w:tc>
        <w:tc>
          <w:tcPr>
            <w:tcW w:w="0" w:type="auto"/>
            <w:vAlign w:val="center"/>
            <w:hideMark/>
          </w:tcPr>
          <w:p w14:paraId="2A5464AA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The Jackson Laboratory</w:t>
            </w:r>
          </w:p>
        </w:tc>
        <w:tc>
          <w:tcPr>
            <w:tcW w:w="0" w:type="auto"/>
            <w:vAlign w:val="center"/>
            <w:hideMark/>
          </w:tcPr>
          <w:p w14:paraId="02A685A9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Stock No: 009669; RRID: IMSR_JAX:009669</w:t>
            </w:r>
          </w:p>
        </w:tc>
        <w:tc>
          <w:tcPr>
            <w:tcW w:w="0" w:type="auto"/>
            <w:vAlign w:val="center"/>
            <w:hideMark/>
          </w:tcPr>
          <w:p w14:paraId="496244D7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Cre-dependent DTA expression for genetic ablation when crossed to Cre driver lines. </w:t>
            </w:r>
          </w:p>
        </w:tc>
      </w:tr>
      <w:tr w:rsidR="00AD4A8F" w:rsidRPr="00A872D5" w14:paraId="37B3DDA9" w14:textId="77777777" w:rsidTr="000C725A">
        <w:trPr>
          <w:tblCellSpacing w:w="15" w:type="dxa"/>
        </w:trPr>
        <w:tc>
          <w:tcPr>
            <w:tcW w:w="1906" w:type="dxa"/>
            <w:vAlign w:val="center"/>
            <w:hideMark/>
          </w:tcPr>
          <w:p w14:paraId="0F6F34BE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Strain, strain background (Mus musculus)</w:t>
            </w:r>
          </w:p>
        </w:tc>
        <w:tc>
          <w:tcPr>
            <w:tcW w:w="917" w:type="dxa"/>
            <w:vAlign w:val="center"/>
            <w:hideMark/>
          </w:tcPr>
          <w:p w14:paraId="38470FC0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proofErr w:type="spellStart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tdTomato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/</w:t>
            </w:r>
            <w:proofErr w:type="spellStart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 (Ai14; “</w:t>
            </w:r>
            <w:proofErr w:type="spellStart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tdTomatofl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”)</w:t>
            </w:r>
          </w:p>
        </w:tc>
        <w:tc>
          <w:tcPr>
            <w:tcW w:w="0" w:type="auto"/>
            <w:vAlign w:val="center"/>
            <w:hideMark/>
          </w:tcPr>
          <w:p w14:paraId="19341178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The Jackson Laboratory</w:t>
            </w:r>
          </w:p>
        </w:tc>
        <w:tc>
          <w:tcPr>
            <w:tcW w:w="0" w:type="auto"/>
            <w:vAlign w:val="center"/>
            <w:hideMark/>
          </w:tcPr>
          <w:p w14:paraId="7D8EDE77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Stock No: 007914; RRID: IMSR_JAX:007914</w:t>
            </w:r>
          </w:p>
        </w:tc>
        <w:tc>
          <w:tcPr>
            <w:tcW w:w="0" w:type="auto"/>
            <w:vAlign w:val="center"/>
            <w:hideMark/>
          </w:tcPr>
          <w:p w14:paraId="6CF96C12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Cre-dependent </w:t>
            </w:r>
            <w:proofErr w:type="spellStart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tdTomato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 reporter used to label/sort </w:t>
            </w:r>
            <w:r w:rsidRPr="00A872D5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Trpv1</w:t>
            </w:r>
            <w:r w:rsidRPr="00A872D5">
              <w:rPr>
                <w:rFonts w:ascii="Cambria Math" w:hAnsi="Cambria Math" w:cs="Cambria Math"/>
                <w:sz w:val="16"/>
                <w:szCs w:val="16"/>
                <w:lang w:val="en-CA"/>
              </w:rPr>
              <w:t>⁺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 neurons (</w:t>
            </w:r>
            <w:r w:rsidRPr="00A872D5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Trpv1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cre/</w:t>
            </w:r>
            <w:proofErr w:type="gramStart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wt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::</w:t>
            </w:r>
            <w:proofErr w:type="spellStart"/>
            <w:proofErr w:type="gramEnd"/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tdTomato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fl</w:t>
            </w:r>
            <w:proofErr w:type="spellEnd"/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/wt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).</w:t>
            </w:r>
          </w:p>
        </w:tc>
      </w:tr>
      <w:tr w:rsidR="00AD4A8F" w:rsidRPr="00A872D5" w14:paraId="6900D87D" w14:textId="77777777" w:rsidTr="000C725A">
        <w:trPr>
          <w:tblCellSpacing w:w="15" w:type="dxa"/>
        </w:trPr>
        <w:tc>
          <w:tcPr>
            <w:tcW w:w="1906" w:type="dxa"/>
            <w:vAlign w:val="center"/>
            <w:hideMark/>
          </w:tcPr>
          <w:p w14:paraId="0A4B5E43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Strain, strain background (Mus musculus)</w:t>
            </w:r>
          </w:p>
        </w:tc>
        <w:tc>
          <w:tcPr>
            <w:tcW w:w="917" w:type="dxa"/>
            <w:vAlign w:val="center"/>
            <w:hideMark/>
          </w:tcPr>
          <w:p w14:paraId="086BD6DB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TRPV1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cre/cre</w:t>
            </w:r>
          </w:p>
        </w:tc>
        <w:tc>
          <w:tcPr>
            <w:tcW w:w="0" w:type="auto"/>
            <w:vAlign w:val="center"/>
            <w:hideMark/>
          </w:tcPr>
          <w:p w14:paraId="2C1E50F9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The Jackson Laboratory</w:t>
            </w:r>
          </w:p>
        </w:tc>
        <w:tc>
          <w:tcPr>
            <w:tcW w:w="0" w:type="auto"/>
            <w:vAlign w:val="center"/>
            <w:hideMark/>
          </w:tcPr>
          <w:p w14:paraId="221529E4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Stock No: 017769; RRID: IMSR_JAX:017769</w:t>
            </w:r>
          </w:p>
        </w:tc>
        <w:tc>
          <w:tcPr>
            <w:tcW w:w="0" w:type="auto"/>
            <w:vAlign w:val="center"/>
            <w:hideMark/>
          </w:tcPr>
          <w:p w14:paraId="20F4C39B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Trpv1 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promoter-driven Cre; used to target </w:t>
            </w:r>
            <w:r w:rsidRPr="00A872D5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Trpv1</w:t>
            </w:r>
            <w:r w:rsidRPr="00A872D5">
              <w:rPr>
                <w:rFonts w:ascii="Cambria Math" w:hAnsi="Cambria Math" w:cs="Cambria Math"/>
                <w:sz w:val="16"/>
                <w:szCs w:val="16"/>
                <w:lang w:val="en-CA"/>
              </w:rPr>
              <w:t>⁺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 nociceptors for reporter labeling and/or DTA-mediated ablation.</w:t>
            </w:r>
          </w:p>
        </w:tc>
      </w:tr>
      <w:tr w:rsidR="00AD4A8F" w:rsidRPr="00A872D5" w14:paraId="678DB83C" w14:textId="77777777" w:rsidTr="000C725A">
        <w:trPr>
          <w:tblCellSpacing w:w="15" w:type="dxa"/>
        </w:trPr>
        <w:tc>
          <w:tcPr>
            <w:tcW w:w="1906" w:type="dxa"/>
            <w:vAlign w:val="center"/>
            <w:hideMark/>
          </w:tcPr>
          <w:p w14:paraId="607E22AD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Strain, strain background (Mus musculus)</w:t>
            </w:r>
          </w:p>
        </w:tc>
        <w:tc>
          <w:tcPr>
            <w:tcW w:w="917" w:type="dxa"/>
            <w:vAlign w:val="center"/>
            <w:hideMark/>
          </w:tcPr>
          <w:p w14:paraId="62053CEF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Na</w:t>
            </w:r>
            <w:r w:rsidRPr="00A872D5">
              <w:rPr>
                <w:rFonts w:ascii="Arial" w:hAnsi="Arial" w:cs="Arial"/>
                <w:sz w:val="16"/>
                <w:szCs w:val="16"/>
                <w:vertAlign w:val="subscript"/>
                <w:lang w:val="en-CA"/>
              </w:rPr>
              <w:t>V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1.8</w:t>
            </w:r>
            <w:r w:rsidRPr="00A872D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cre/cre</w:t>
            </w:r>
          </w:p>
        </w:tc>
        <w:tc>
          <w:tcPr>
            <w:tcW w:w="0" w:type="auto"/>
            <w:vAlign w:val="center"/>
            <w:hideMark/>
          </w:tcPr>
          <w:p w14:paraId="7DFF80DA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The Jackson Laboratory</w:t>
            </w:r>
          </w:p>
        </w:tc>
        <w:tc>
          <w:tcPr>
            <w:tcW w:w="0" w:type="auto"/>
            <w:vAlign w:val="center"/>
            <w:hideMark/>
          </w:tcPr>
          <w:p w14:paraId="4DFF17D7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Stock No: 036564; RRID: IMSR_JAX:036564</w:t>
            </w:r>
          </w:p>
        </w:tc>
        <w:tc>
          <w:tcPr>
            <w:tcW w:w="0" w:type="auto"/>
            <w:vAlign w:val="center"/>
            <w:hideMark/>
          </w:tcPr>
          <w:p w14:paraId="4E427BA1" w14:textId="77777777" w:rsidR="00AD4A8F" w:rsidRPr="00A872D5" w:rsidRDefault="00AD4A8F" w:rsidP="00FD3AED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Na</w:t>
            </w:r>
            <w:r w:rsidRPr="00A872D5">
              <w:rPr>
                <w:rFonts w:ascii="Arial" w:hAnsi="Arial" w:cs="Arial"/>
                <w:sz w:val="16"/>
                <w:szCs w:val="16"/>
                <w:vertAlign w:val="subscript"/>
                <w:lang w:val="en-CA"/>
              </w:rPr>
              <w:t>V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1.8 (</w:t>
            </w:r>
            <w:r w:rsidRPr="00A872D5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Scn10a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) promoter-driven Cre; used to target Na</w:t>
            </w:r>
            <w:r w:rsidRPr="00A872D5">
              <w:rPr>
                <w:rFonts w:ascii="Arial" w:hAnsi="Arial" w:cs="Arial"/>
                <w:sz w:val="16"/>
                <w:szCs w:val="16"/>
                <w:vertAlign w:val="subscript"/>
                <w:lang w:val="en-CA"/>
              </w:rPr>
              <w:t>V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>1.8</w:t>
            </w:r>
            <w:r w:rsidRPr="00A872D5">
              <w:rPr>
                <w:rFonts w:ascii="Cambria Math" w:hAnsi="Cambria Math" w:cs="Cambria Math"/>
                <w:sz w:val="16"/>
                <w:szCs w:val="16"/>
                <w:lang w:val="en-CA"/>
              </w:rPr>
              <w:t>⁺</w:t>
            </w:r>
            <w:r w:rsidRPr="00A872D5">
              <w:rPr>
                <w:rFonts w:ascii="Arial" w:hAnsi="Arial" w:cs="Arial"/>
                <w:sz w:val="16"/>
                <w:szCs w:val="16"/>
                <w:lang w:val="en-CA"/>
              </w:rPr>
              <w:t xml:space="preserve"> nociceptors for DTA-mediated ablation</w:t>
            </w:r>
          </w:p>
        </w:tc>
      </w:tr>
    </w:tbl>
    <w:p w14:paraId="42E1D374" w14:textId="77777777" w:rsidR="00AD4A8F" w:rsidRPr="00A872D5" w:rsidRDefault="00AD4A8F" w:rsidP="00FD3AED">
      <w:pPr>
        <w:pStyle w:val="NoSpacing"/>
        <w:ind w:left="720"/>
        <w:jc w:val="both"/>
        <w:rPr>
          <w:rFonts w:ascii="Arial" w:hAnsi="Arial" w:cs="Arial"/>
          <w:i/>
          <w:iCs/>
          <w:sz w:val="20"/>
          <w:szCs w:val="20"/>
          <w:u w:val="single"/>
          <w:lang w:val="en-CA"/>
        </w:rPr>
      </w:pPr>
    </w:p>
    <w:p w14:paraId="6C79D411" w14:textId="77777777" w:rsidR="00AD4A8F" w:rsidRPr="00434781" w:rsidRDefault="00AD4A8F" w:rsidP="00FD3AED">
      <w:pPr>
        <w:pStyle w:val="NoSpacing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Georgia" w:hAnsi="Arial" w:cs="Arial"/>
          <w:b/>
          <w:bCs/>
          <w:sz w:val="16"/>
          <w:szCs w:val="16"/>
        </w:rPr>
      </w:pPr>
      <w:r w:rsidRPr="00434781">
        <w:rPr>
          <w:rFonts w:ascii="Arial" w:eastAsia="Georgia" w:hAnsi="Arial" w:cs="Arial"/>
          <w:b/>
          <w:bCs/>
          <w:sz w:val="16"/>
          <w:szCs w:val="16"/>
        </w:rPr>
        <w:t>Key Resources – Antibodies (commercial reagents)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2987"/>
        <w:gridCol w:w="1868"/>
        <w:gridCol w:w="2676"/>
      </w:tblGrid>
      <w:tr w:rsidR="00AD4A8F" w:rsidRPr="00434781" w14:paraId="0A4BB946" w14:textId="77777777" w:rsidTr="000C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C98298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Reagent type (</w:t>
            </w:r>
            <w:r>
              <w:rPr>
                <w:rFonts w:ascii="Arial" w:hAnsi="Arial" w:cs="Arial"/>
                <w:sz w:val="16"/>
                <w:szCs w:val="16"/>
              </w:rPr>
              <w:t xml:space="preserve">host 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species)</w:t>
            </w:r>
          </w:p>
        </w:tc>
        <w:tc>
          <w:tcPr>
            <w:tcW w:w="0" w:type="auto"/>
            <w:vAlign w:val="center"/>
            <w:hideMark/>
          </w:tcPr>
          <w:p w14:paraId="05A3C2C9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Designation (target [clone])</w:t>
            </w:r>
          </w:p>
        </w:tc>
        <w:tc>
          <w:tcPr>
            <w:tcW w:w="0" w:type="auto"/>
            <w:vAlign w:val="center"/>
            <w:hideMark/>
          </w:tcPr>
          <w:p w14:paraId="76744A05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Source (supplier)</w:t>
            </w:r>
          </w:p>
        </w:tc>
        <w:tc>
          <w:tcPr>
            <w:tcW w:w="0" w:type="auto"/>
            <w:vAlign w:val="center"/>
            <w:hideMark/>
          </w:tcPr>
          <w:p w14:paraId="66489A13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Identifiers (catalog #; RRID)</w:t>
            </w:r>
          </w:p>
        </w:tc>
      </w:tr>
      <w:tr w:rsidR="00AD4A8F" w:rsidRPr="00434781" w14:paraId="26FC5D03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F7B43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6AF88218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CD45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30-F11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AA3BADE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5644C312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103128; RRID: AB_493715</w:t>
            </w:r>
          </w:p>
        </w:tc>
      </w:tr>
      <w:tr w:rsidR="00AD4A8F" w:rsidRPr="00434781" w14:paraId="70F8FAC1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8FCE7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345B0854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CD90.2 (Thy1.2)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53-2.1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35B5343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0195F587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140307; RRID: AB_10643585</w:t>
            </w:r>
          </w:p>
        </w:tc>
      </w:tr>
      <w:tr w:rsidR="00AD4A8F" w:rsidRPr="00434781" w14:paraId="3CF0D254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8BF98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3C9AE470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CD11b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M1/70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D3A7BB3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67A841CA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101243; RRID: AB_2561373</w:t>
            </w:r>
          </w:p>
        </w:tc>
      </w:tr>
      <w:tr w:rsidR="00AD4A8F" w:rsidRPr="00434781" w14:paraId="68092B2C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1A239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Antibody (Armenian hamster 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mAb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8797061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CD11c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N418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5D8DC88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5B911616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117303; RRID: AB_313772</w:t>
            </w:r>
          </w:p>
        </w:tc>
      </w:tr>
      <w:tr w:rsidR="00AD4A8F" w:rsidRPr="00434781" w14:paraId="0B0E2A08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A2761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60557965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Ly6C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HK1.4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4A1F0AA2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23E7B4C2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128004; RRID: AB_1236553</w:t>
            </w:r>
          </w:p>
        </w:tc>
      </w:tr>
      <w:tr w:rsidR="00AD4A8F" w:rsidRPr="00434781" w14:paraId="40891EAC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F272F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783F0B57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Ly6G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1A8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5A2FD92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78E69257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127610; RRID: AB_1134159</w:t>
            </w:r>
          </w:p>
        </w:tc>
      </w:tr>
      <w:tr w:rsidR="00AD4A8F" w:rsidRPr="00434781" w14:paraId="4E7014F2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A8B1E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7D67E78B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Siglec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-F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1RNM44N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62AC40C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Invitrogen (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ThermoFisher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1AFC047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12-1702-82; RRID: AB_2637129</w:t>
            </w:r>
          </w:p>
        </w:tc>
      </w:tr>
      <w:tr w:rsidR="00AD4A8F" w:rsidRPr="00434781" w14:paraId="5240401B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067C0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Antibody (Armenian hamster 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mAb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F90772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TCR γ/δ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GL3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79F59F5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374AF907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118128; RRID: AB_2562771</w:t>
            </w:r>
          </w:p>
        </w:tc>
      </w:tr>
      <w:tr w:rsidR="00AD4A8F" w:rsidRPr="00434781" w14:paraId="534164DC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83F5A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Antibody (Armenian hamster 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mAb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9D3169E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TCR β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H57-597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2178AB4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0C311D65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127612; RRID: AB_2251161</w:t>
            </w:r>
          </w:p>
        </w:tc>
      </w:tr>
      <w:tr w:rsidR="00AD4A8F" w:rsidRPr="00434781" w14:paraId="0B5A80C8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73C78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0C677454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CD19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1D3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7E67ED9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BD Biosciences</w:t>
            </w:r>
          </w:p>
        </w:tc>
        <w:tc>
          <w:tcPr>
            <w:tcW w:w="0" w:type="auto"/>
            <w:vAlign w:val="center"/>
            <w:hideMark/>
          </w:tcPr>
          <w:p w14:paraId="609D3DD8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553783; RRID: AB_395047</w:t>
            </w:r>
          </w:p>
        </w:tc>
      </w:tr>
      <w:tr w:rsidR="00AD4A8F" w:rsidRPr="00434781" w14:paraId="39F5D3EC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B2F0E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(mouse monoclonal)</w:t>
            </w:r>
          </w:p>
        </w:tc>
        <w:tc>
          <w:tcPr>
            <w:tcW w:w="0" w:type="auto"/>
            <w:vAlign w:val="center"/>
            <w:hideMark/>
          </w:tcPr>
          <w:p w14:paraId="0A1900FC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NK1.1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PK136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C476F4D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Invitrogen (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ThermoFisher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85E02C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25-5941-82; RRID: AB_469665</w:t>
            </w:r>
          </w:p>
        </w:tc>
      </w:tr>
      <w:tr w:rsidR="00AD4A8F" w:rsidRPr="00434781" w14:paraId="279F7ABA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FD9B4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0EDFA77C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F4/80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BM8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528F266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Invitrogen (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ThermoFisher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EE80F4A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14-4801-82; RRID: AB_467558</w:t>
            </w:r>
          </w:p>
        </w:tc>
      </w:tr>
      <w:tr w:rsidR="00AD4A8F" w:rsidRPr="00434781" w14:paraId="39C90E4A" w14:textId="77777777" w:rsidTr="000C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3FA54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Antibody (rat monoclonal)</w:t>
            </w:r>
          </w:p>
        </w:tc>
        <w:tc>
          <w:tcPr>
            <w:tcW w:w="0" w:type="auto"/>
            <w:vAlign w:val="center"/>
            <w:hideMark/>
          </w:tcPr>
          <w:p w14:paraId="61172A4D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Anti-mouse </w:t>
            </w:r>
            <w:proofErr w:type="spellStart"/>
            <w:r w:rsidRPr="00434781">
              <w:rPr>
                <w:rFonts w:ascii="Arial" w:eastAsia="Georgia" w:hAnsi="Arial" w:cs="Arial"/>
                <w:sz w:val="16"/>
                <w:szCs w:val="16"/>
              </w:rPr>
              <w:t>FcεRI</w:t>
            </w:r>
            <w:proofErr w:type="spellEnd"/>
            <w:r w:rsidRPr="00434781">
              <w:rPr>
                <w:rFonts w:ascii="Arial" w:eastAsia="Georgia" w:hAnsi="Arial" w:cs="Arial"/>
                <w:sz w:val="16"/>
                <w:szCs w:val="16"/>
              </w:rPr>
              <w:t xml:space="preserve">α [clone </w:t>
            </w:r>
            <w:r w:rsidRPr="00434781">
              <w:rPr>
                <w:rFonts w:ascii="Arial" w:eastAsia="Georgia" w:hAnsi="Arial" w:cs="Arial"/>
                <w:i/>
                <w:iCs/>
                <w:sz w:val="16"/>
                <w:szCs w:val="16"/>
              </w:rPr>
              <w:t>MAR-1</w:t>
            </w:r>
            <w:r w:rsidRPr="00434781">
              <w:rPr>
                <w:rFonts w:ascii="Arial" w:eastAsia="Georgia" w:hAnsi="Arial" w:cs="Arial"/>
                <w:sz w:val="16"/>
                <w:szCs w:val="16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0BEB83E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BioLegend</w:t>
            </w:r>
          </w:p>
        </w:tc>
        <w:tc>
          <w:tcPr>
            <w:tcW w:w="0" w:type="auto"/>
            <w:vAlign w:val="center"/>
            <w:hideMark/>
          </w:tcPr>
          <w:p w14:paraId="3FAF0E6C" w14:textId="77777777" w:rsidR="00AD4A8F" w:rsidRPr="00434781" w:rsidRDefault="00AD4A8F" w:rsidP="00FD3AED">
            <w:pPr>
              <w:pStyle w:val="NoSpacing"/>
              <w:widowControl w:val="0"/>
              <w:autoSpaceDE w:val="0"/>
              <w:autoSpaceDN w:val="0"/>
              <w:jc w:val="both"/>
              <w:rPr>
                <w:rFonts w:ascii="Arial" w:eastAsia="Georgia" w:hAnsi="Arial" w:cs="Arial"/>
                <w:sz w:val="16"/>
                <w:szCs w:val="16"/>
              </w:rPr>
            </w:pPr>
            <w:r w:rsidRPr="00434781">
              <w:rPr>
                <w:rFonts w:ascii="Arial" w:eastAsia="Georgia" w:hAnsi="Arial" w:cs="Arial"/>
                <w:sz w:val="16"/>
                <w:szCs w:val="16"/>
              </w:rPr>
              <w:t>Cat# 134318; RRID: AB_10640122</w:t>
            </w:r>
          </w:p>
        </w:tc>
      </w:tr>
    </w:tbl>
    <w:p w14:paraId="71360A8A" w14:textId="77777777" w:rsidR="00AD4A8F" w:rsidRPr="009B6D20" w:rsidRDefault="00AD4A8F" w:rsidP="00FD3AED">
      <w:p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</w:p>
    <w:p w14:paraId="7A0BBC59" w14:textId="4496847E" w:rsidR="0010234A" w:rsidRDefault="0010234A" w:rsidP="00FD3AED">
      <w:pPr>
        <w:spacing w:after="160" w:line="259" w:lineRule="auto"/>
        <w:jc w:val="both"/>
      </w:pPr>
    </w:p>
    <w:sectPr w:rsidR="0010234A" w:rsidSect="00AD4A8F">
      <w:pgSz w:w="12240" w:h="15840"/>
      <w:pgMar w:top="1134" w:right="1134" w:bottom="1134" w:left="1134" w:header="283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B38"/>
    <w:multiLevelType w:val="multilevel"/>
    <w:tmpl w:val="D65A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74CF"/>
    <w:multiLevelType w:val="multilevel"/>
    <w:tmpl w:val="F1C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2598D"/>
    <w:multiLevelType w:val="multilevel"/>
    <w:tmpl w:val="74E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83DC5"/>
    <w:multiLevelType w:val="multilevel"/>
    <w:tmpl w:val="BABE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B5A6B"/>
    <w:multiLevelType w:val="multilevel"/>
    <w:tmpl w:val="053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92DA8"/>
    <w:multiLevelType w:val="multilevel"/>
    <w:tmpl w:val="6E1E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56C"/>
    <w:multiLevelType w:val="multilevel"/>
    <w:tmpl w:val="C248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B307F"/>
    <w:multiLevelType w:val="multilevel"/>
    <w:tmpl w:val="6734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04BC0"/>
    <w:multiLevelType w:val="multilevel"/>
    <w:tmpl w:val="7CF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64AE5"/>
    <w:multiLevelType w:val="multilevel"/>
    <w:tmpl w:val="E4F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84F35"/>
    <w:multiLevelType w:val="multilevel"/>
    <w:tmpl w:val="C3F4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50B10"/>
    <w:multiLevelType w:val="multilevel"/>
    <w:tmpl w:val="1EF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C65C3"/>
    <w:multiLevelType w:val="multilevel"/>
    <w:tmpl w:val="7A9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D717E"/>
    <w:multiLevelType w:val="multilevel"/>
    <w:tmpl w:val="7B2C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48096">
    <w:abstractNumId w:val="8"/>
  </w:num>
  <w:num w:numId="2" w16cid:durableId="1861357520">
    <w:abstractNumId w:val="12"/>
  </w:num>
  <w:num w:numId="3" w16cid:durableId="445396235">
    <w:abstractNumId w:val="11"/>
  </w:num>
  <w:num w:numId="4" w16cid:durableId="1372487580">
    <w:abstractNumId w:val="5"/>
  </w:num>
  <w:num w:numId="5" w16cid:durableId="1628656254">
    <w:abstractNumId w:val="10"/>
  </w:num>
  <w:num w:numId="6" w16cid:durableId="960458981">
    <w:abstractNumId w:val="13"/>
  </w:num>
  <w:num w:numId="7" w16cid:durableId="1055466556">
    <w:abstractNumId w:val="9"/>
  </w:num>
  <w:num w:numId="8" w16cid:durableId="2138597950">
    <w:abstractNumId w:val="3"/>
  </w:num>
  <w:num w:numId="9" w16cid:durableId="1805191208">
    <w:abstractNumId w:val="1"/>
  </w:num>
  <w:num w:numId="10" w16cid:durableId="85614842">
    <w:abstractNumId w:val="4"/>
  </w:num>
  <w:num w:numId="11" w16cid:durableId="846943370">
    <w:abstractNumId w:val="6"/>
  </w:num>
  <w:num w:numId="12" w16cid:durableId="407844083">
    <w:abstractNumId w:val="0"/>
  </w:num>
  <w:num w:numId="13" w16cid:durableId="1322461194">
    <w:abstractNumId w:val="2"/>
  </w:num>
  <w:num w:numId="14" w16cid:durableId="316495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8F"/>
    <w:rsid w:val="0010234A"/>
    <w:rsid w:val="00154358"/>
    <w:rsid w:val="0052046A"/>
    <w:rsid w:val="00621B38"/>
    <w:rsid w:val="00740EEB"/>
    <w:rsid w:val="00780712"/>
    <w:rsid w:val="008855C3"/>
    <w:rsid w:val="00A44CA2"/>
    <w:rsid w:val="00A7454E"/>
    <w:rsid w:val="00AD1A33"/>
    <w:rsid w:val="00AD4A8F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609E"/>
  <w15:chartTrackingRefBased/>
  <w15:docId w15:val="{CF7900DB-24C7-4E36-8AB1-433B6FEF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8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A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D4A8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D4A8F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talbot</dc:creator>
  <cp:keywords/>
  <dc:description/>
  <cp:lastModifiedBy>sebastien talbot</cp:lastModifiedBy>
  <cp:revision>4</cp:revision>
  <dcterms:created xsi:type="dcterms:W3CDTF">2026-01-13T16:43:00Z</dcterms:created>
  <dcterms:modified xsi:type="dcterms:W3CDTF">2026-01-13T19:53:00Z</dcterms:modified>
</cp:coreProperties>
</file>