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1135C61" w:rsidR="00F102CC" w:rsidRPr="003D5AF6" w:rsidRDefault="004F045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DCDE7E5" w:rsidR="00F102CC" w:rsidRPr="0046080E" w:rsidRDefault="004F045B">
            <w:pPr>
              <w:rPr>
                <w:rFonts w:ascii="Noto Sans" w:eastAsia="Noto Sans" w:hAnsi="Noto Sans" w:cs="Noto Sans"/>
                <w:bCs/>
                <w:color w:val="434343"/>
                <w:sz w:val="18"/>
                <w:szCs w:val="18"/>
              </w:rPr>
            </w:pPr>
            <w:r w:rsidRPr="0046080E">
              <w:rPr>
                <w:sz w:val="18"/>
                <w:szCs w:val="18"/>
              </w:rPr>
              <w:t>Materials and Methods – Flow cytometry and Western blot antibodies are reported with vendor, catalog number, and RRID:</w:t>
            </w:r>
            <w:r w:rsidRPr="0046080E">
              <w:rPr>
                <w:sz w:val="18"/>
                <w:szCs w:val="18"/>
              </w:rPr>
              <w:br/>
              <w:t>- CD45.2 (</w:t>
            </w:r>
            <w:proofErr w:type="spellStart"/>
            <w:r w:rsidRPr="0046080E">
              <w:rPr>
                <w:sz w:val="18"/>
                <w:szCs w:val="18"/>
              </w:rPr>
              <w:t>BioLegend</w:t>
            </w:r>
            <w:proofErr w:type="spellEnd"/>
            <w:r w:rsidRPr="0046080E">
              <w:rPr>
                <w:sz w:val="18"/>
                <w:szCs w:val="18"/>
              </w:rPr>
              <w:t>, 109824, RRID: AB_830789)</w:t>
            </w:r>
            <w:r w:rsidRPr="0046080E">
              <w:rPr>
                <w:sz w:val="18"/>
                <w:szCs w:val="18"/>
              </w:rPr>
              <w:br/>
              <w:t>- CD11b (</w:t>
            </w:r>
            <w:proofErr w:type="spellStart"/>
            <w:r w:rsidRPr="0046080E">
              <w:rPr>
                <w:sz w:val="18"/>
                <w:szCs w:val="18"/>
              </w:rPr>
              <w:t>Tonbo</w:t>
            </w:r>
            <w:proofErr w:type="spellEnd"/>
            <w:r w:rsidRPr="0046080E">
              <w:rPr>
                <w:sz w:val="18"/>
                <w:szCs w:val="18"/>
              </w:rPr>
              <w:t>, 35-0112-U100, RRID: AB_2621483)</w:t>
            </w:r>
            <w:r w:rsidRPr="0046080E">
              <w:rPr>
                <w:sz w:val="18"/>
                <w:szCs w:val="18"/>
              </w:rPr>
              <w:br/>
              <w:t>- Ly6G (</w:t>
            </w:r>
            <w:proofErr w:type="spellStart"/>
            <w:r w:rsidRPr="0046080E">
              <w:rPr>
                <w:sz w:val="18"/>
                <w:szCs w:val="18"/>
              </w:rPr>
              <w:t>Tonbo</w:t>
            </w:r>
            <w:proofErr w:type="spellEnd"/>
            <w:r w:rsidRPr="0046080E">
              <w:rPr>
                <w:sz w:val="18"/>
                <w:szCs w:val="18"/>
              </w:rPr>
              <w:t>, 50-1276-U100, RRID: AB_2621860)</w:t>
            </w:r>
            <w:r w:rsidRPr="0046080E">
              <w:rPr>
                <w:sz w:val="18"/>
                <w:szCs w:val="18"/>
              </w:rPr>
              <w:br/>
              <w:t>- F4/80 (</w:t>
            </w:r>
            <w:proofErr w:type="spellStart"/>
            <w:r w:rsidRPr="0046080E">
              <w:rPr>
                <w:sz w:val="18"/>
                <w:szCs w:val="18"/>
              </w:rPr>
              <w:t>Tonbo</w:t>
            </w:r>
            <w:proofErr w:type="spellEnd"/>
            <w:r w:rsidRPr="0046080E">
              <w:rPr>
                <w:sz w:val="18"/>
                <w:szCs w:val="18"/>
              </w:rPr>
              <w:t>, 50-4801-U100, RRID: AB_2621795)</w:t>
            </w:r>
            <w:r w:rsidRPr="0046080E">
              <w:rPr>
                <w:sz w:val="18"/>
                <w:szCs w:val="18"/>
              </w:rPr>
              <w:br/>
              <w:t>- CD11c (</w:t>
            </w:r>
            <w:proofErr w:type="spellStart"/>
            <w:r w:rsidRPr="0046080E">
              <w:rPr>
                <w:sz w:val="18"/>
                <w:szCs w:val="18"/>
              </w:rPr>
              <w:t>Tonbo</w:t>
            </w:r>
            <w:proofErr w:type="spellEnd"/>
            <w:r w:rsidRPr="0046080E">
              <w:rPr>
                <w:sz w:val="18"/>
                <w:szCs w:val="18"/>
              </w:rPr>
              <w:t>, 75-0114-U100, RRID: AB_2621806)</w:t>
            </w:r>
            <w:r w:rsidRPr="0046080E">
              <w:rPr>
                <w:sz w:val="18"/>
                <w:szCs w:val="18"/>
              </w:rPr>
              <w:br/>
              <w:t>- GSDMD (Abcam, ab209845, RRID: AB_2783550)</w:t>
            </w:r>
            <w:r w:rsidRPr="0046080E">
              <w:rPr>
                <w:sz w:val="18"/>
                <w:szCs w:val="18"/>
              </w:rPr>
              <w:br/>
              <w:t>- Caspase-1 (Abcam, ab179515, RRID: AB_2884954)</w:t>
            </w:r>
            <w:r w:rsidRPr="0046080E">
              <w:rPr>
                <w:sz w:val="18"/>
                <w:szCs w:val="18"/>
              </w:rPr>
              <w:br/>
              <w:t>- IL-1β (Abcam, ab9722, RRID: AB_308765)</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B500752" w:rsidR="00F102CC" w:rsidRPr="003D5AF6" w:rsidRDefault="004F045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A2F447D" w:rsidR="00F102CC" w:rsidRPr="0046080E" w:rsidRDefault="004F045B">
            <w:pPr>
              <w:rPr>
                <w:rFonts w:asciiTheme="majorHAnsi" w:eastAsia="Noto Sans" w:hAnsiTheme="majorHAnsi" w:cstheme="majorHAnsi"/>
                <w:color w:val="434343"/>
                <w:sz w:val="18"/>
                <w:szCs w:val="18"/>
              </w:rPr>
            </w:pPr>
            <w:r w:rsidRPr="0046080E">
              <w:rPr>
                <w:rFonts w:asciiTheme="majorHAnsi" w:hAnsiTheme="majorHAnsi" w:cstheme="majorHAnsi"/>
                <w:sz w:val="18"/>
                <w:szCs w:val="18"/>
              </w:rPr>
              <w:t xml:space="preserve">We used the mouse fibroblast cell line </w:t>
            </w:r>
            <w:r w:rsidRPr="0046080E">
              <w:rPr>
                <w:rStyle w:val="Strong"/>
                <w:rFonts w:asciiTheme="majorHAnsi" w:hAnsiTheme="majorHAnsi" w:cstheme="majorHAnsi"/>
                <w:b w:val="0"/>
                <w:bCs w:val="0"/>
                <w:sz w:val="18"/>
                <w:szCs w:val="18"/>
              </w:rPr>
              <w:t>L929 (RRID:</w:t>
            </w:r>
            <w:r w:rsidRPr="0046080E">
              <w:rPr>
                <w:rStyle w:val="Strong"/>
                <w:rFonts w:asciiTheme="majorHAnsi" w:hAnsiTheme="majorHAnsi" w:cstheme="majorHAnsi"/>
                <w:sz w:val="18"/>
                <w:szCs w:val="18"/>
              </w:rPr>
              <w:t xml:space="preserve"> </w:t>
            </w:r>
            <w:r w:rsidRPr="0046080E">
              <w:rPr>
                <w:rStyle w:val="Strong"/>
                <w:rFonts w:asciiTheme="majorHAnsi" w:hAnsiTheme="majorHAnsi" w:cstheme="majorHAnsi"/>
                <w:b w:val="0"/>
                <w:bCs w:val="0"/>
                <w:sz w:val="18"/>
                <w:szCs w:val="18"/>
              </w:rPr>
              <w:t>CVCL_0462)</w:t>
            </w:r>
            <w:r w:rsidRPr="0046080E">
              <w:rPr>
                <w:rFonts w:asciiTheme="majorHAnsi" w:hAnsiTheme="majorHAnsi" w:cstheme="majorHAnsi"/>
                <w:sz w:val="18"/>
                <w:szCs w:val="18"/>
              </w:rPr>
              <w:t xml:space="preserve"> for supernatant generation in bone marrow macrophage cultures. Source: ATCC (Cat# CCL-1).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7817D6A"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996A398" w:rsidR="00F102CC" w:rsidRPr="0046080E" w:rsidRDefault="00465D9C" w:rsidP="003942FF">
            <w:pPr>
              <w:rPr>
                <w:rFonts w:asciiTheme="majorHAnsi" w:eastAsia="Noto Sans" w:hAnsiTheme="majorHAnsi" w:cstheme="majorHAnsi"/>
                <w:bCs/>
                <w:color w:val="434343"/>
                <w:sz w:val="18"/>
                <w:szCs w:val="18"/>
              </w:rPr>
            </w:pPr>
            <w:r>
              <w:rPr>
                <w:rFonts w:asciiTheme="majorHAnsi" w:hAnsiTheme="majorHAnsi" w:cstheme="majorHAnsi"/>
                <w:sz w:val="18"/>
                <w:szCs w:val="18"/>
              </w:rPr>
              <w:t>Detailed i</w:t>
            </w:r>
            <w:r w:rsidRPr="0046080E">
              <w:rPr>
                <w:rFonts w:asciiTheme="majorHAnsi" w:hAnsiTheme="majorHAnsi" w:cstheme="majorHAnsi"/>
                <w:sz w:val="18"/>
                <w:szCs w:val="18"/>
              </w:rPr>
              <w:t xml:space="preserve">nformation </w:t>
            </w:r>
            <w:r>
              <w:rPr>
                <w:rFonts w:asciiTheme="majorHAnsi" w:hAnsiTheme="majorHAnsi" w:cstheme="majorHAnsi"/>
                <w:sz w:val="18"/>
                <w:szCs w:val="18"/>
              </w:rPr>
              <w:t xml:space="preserve">is provided </w:t>
            </w:r>
            <w:r w:rsidRPr="0046080E">
              <w:rPr>
                <w:rFonts w:asciiTheme="majorHAnsi" w:hAnsiTheme="majorHAnsi" w:cstheme="majorHAnsi"/>
                <w:sz w:val="18"/>
                <w:szCs w:val="18"/>
              </w:rPr>
              <w:t>in Material and Methods Section, and Figure legends.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EEFD84D" w:rsidR="00F102CC" w:rsidRPr="0046080E" w:rsidRDefault="00465D9C" w:rsidP="003942FF">
            <w:pPr>
              <w:rPr>
                <w:rFonts w:asciiTheme="majorHAnsi" w:eastAsia="Noto Sans" w:hAnsiTheme="majorHAnsi" w:cstheme="majorHAnsi"/>
                <w:bCs/>
                <w:color w:val="434343"/>
                <w:sz w:val="18"/>
                <w:szCs w:val="18"/>
              </w:rPr>
            </w:pPr>
            <w:r>
              <w:rPr>
                <w:rFonts w:asciiTheme="majorHAnsi" w:hAnsiTheme="majorHAnsi" w:cstheme="majorHAnsi"/>
                <w:sz w:val="18"/>
                <w:szCs w:val="18"/>
              </w:rPr>
              <w:t>Detailed i</w:t>
            </w:r>
            <w:r w:rsidRPr="0046080E">
              <w:rPr>
                <w:rFonts w:asciiTheme="majorHAnsi" w:hAnsiTheme="majorHAnsi" w:cstheme="majorHAnsi"/>
                <w:sz w:val="18"/>
                <w:szCs w:val="18"/>
              </w:rPr>
              <w:t xml:space="preserve">nformation </w:t>
            </w:r>
            <w:r>
              <w:rPr>
                <w:rFonts w:asciiTheme="majorHAnsi" w:hAnsiTheme="majorHAnsi" w:cstheme="majorHAnsi"/>
                <w:sz w:val="18"/>
                <w:szCs w:val="18"/>
              </w:rPr>
              <w:t xml:space="preserve">is provided </w:t>
            </w:r>
            <w:r w:rsidRPr="0046080E">
              <w:rPr>
                <w:rFonts w:asciiTheme="majorHAnsi" w:hAnsiTheme="majorHAnsi" w:cstheme="majorHAnsi"/>
                <w:sz w:val="18"/>
                <w:szCs w:val="18"/>
              </w:rPr>
              <w:t>in Material and Methods Section, and Figure legends.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8E4EC40" w:rsidR="00F102CC" w:rsidRPr="0046080E" w:rsidRDefault="00465D9C" w:rsidP="003942FF">
            <w:pPr>
              <w:rPr>
                <w:rFonts w:asciiTheme="majorHAnsi" w:eastAsia="Noto Sans" w:hAnsiTheme="majorHAnsi" w:cstheme="majorHAnsi"/>
                <w:bCs/>
                <w:color w:val="434343"/>
                <w:sz w:val="18"/>
                <w:szCs w:val="18"/>
              </w:rPr>
            </w:pPr>
            <w:r>
              <w:rPr>
                <w:rFonts w:asciiTheme="majorHAnsi" w:hAnsiTheme="majorHAnsi" w:cstheme="majorHAnsi"/>
                <w:sz w:val="18"/>
                <w:szCs w:val="18"/>
              </w:rPr>
              <w:t>Detailed i</w:t>
            </w:r>
            <w:r w:rsidRPr="0046080E">
              <w:rPr>
                <w:rFonts w:asciiTheme="majorHAnsi" w:hAnsiTheme="majorHAnsi" w:cstheme="majorHAnsi"/>
                <w:sz w:val="18"/>
                <w:szCs w:val="18"/>
              </w:rPr>
              <w:t xml:space="preserve">nformation </w:t>
            </w:r>
            <w:r>
              <w:rPr>
                <w:rFonts w:asciiTheme="majorHAnsi" w:hAnsiTheme="majorHAnsi" w:cstheme="majorHAnsi"/>
                <w:sz w:val="18"/>
                <w:szCs w:val="18"/>
              </w:rPr>
              <w:t xml:space="preserve">is provided </w:t>
            </w:r>
            <w:r w:rsidRPr="0046080E">
              <w:rPr>
                <w:rFonts w:asciiTheme="majorHAnsi" w:hAnsiTheme="majorHAnsi" w:cstheme="majorHAnsi"/>
                <w:sz w:val="18"/>
                <w:szCs w:val="18"/>
              </w:rPr>
              <w:t>in Material and Methods Section, and Figure legends.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46CE831" w:rsidR="00F102CC" w:rsidRPr="003D5AF6" w:rsidRDefault="003942F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11482A2" w:rsidR="00F102CC" w:rsidRPr="003D5AF6" w:rsidRDefault="003942F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AE44ABB" w:rsidR="00F102CC" w:rsidRDefault="003942FF">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46080E" w:rsidRPr="0046080E"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46080E" w:rsidRDefault="00427975">
            <w:pPr>
              <w:spacing w:line="225" w:lineRule="auto"/>
              <w:rPr>
                <w:rFonts w:ascii="Noto Sans" w:eastAsia="Noto Sans" w:hAnsi="Noto Sans" w:cs="Noto Sans"/>
                <w:b/>
                <w:color w:val="000000" w:themeColor="text1"/>
                <w:sz w:val="18"/>
                <w:szCs w:val="18"/>
              </w:rPr>
            </w:pPr>
            <w:r w:rsidRPr="0046080E">
              <w:rPr>
                <w:rFonts w:ascii="Noto Sans" w:eastAsia="Noto Sans" w:hAnsi="Noto Sans" w:cs="Noto Sans"/>
                <w:b/>
                <w:color w:val="000000" w:themeColor="text1"/>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46080E" w:rsidRDefault="00427975">
            <w:pPr>
              <w:spacing w:line="225" w:lineRule="auto"/>
              <w:rPr>
                <w:rFonts w:ascii="Noto Sans" w:eastAsia="Noto Sans" w:hAnsi="Noto Sans" w:cs="Noto Sans"/>
                <w:b/>
                <w:color w:val="000000" w:themeColor="text1"/>
                <w:sz w:val="18"/>
                <w:szCs w:val="18"/>
              </w:rPr>
            </w:pPr>
            <w:r w:rsidRPr="0046080E">
              <w:rPr>
                <w:rFonts w:ascii="Noto Sans" w:eastAsia="Noto Sans" w:hAnsi="Noto Sans" w:cs="Noto Sans"/>
                <w:b/>
                <w:color w:val="000000" w:themeColor="text1"/>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46080E" w:rsidRDefault="00427975">
            <w:pPr>
              <w:spacing w:line="225" w:lineRule="auto"/>
              <w:rPr>
                <w:rFonts w:ascii="Noto Sans" w:eastAsia="Noto Sans" w:hAnsi="Noto Sans" w:cs="Noto Sans"/>
                <w:b/>
                <w:color w:val="000000" w:themeColor="text1"/>
                <w:sz w:val="18"/>
                <w:szCs w:val="18"/>
              </w:rPr>
            </w:pPr>
            <w:r w:rsidRPr="0046080E">
              <w:rPr>
                <w:rFonts w:ascii="Noto Sans" w:eastAsia="Noto Sans" w:hAnsi="Noto Sans" w:cs="Noto Sans"/>
                <w:b/>
                <w:color w:val="000000" w:themeColor="text1"/>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313C585" w:rsidR="00F102CC" w:rsidRPr="003D5AF6" w:rsidRDefault="003942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BB30811" w:rsidR="00F102CC" w:rsidRPr="00C1211F" w:rsidRDefault="00C1211F">
            <w:pPr>
              <w:spacing w:line="225" w:lineRule="auto"/>
              <w:rPr>
                <w:rFonts w:ascii="Noto Sans" w:eastAsia="Noto Sans" w:hAnsi="Noto Sans" w:cs="Noto Sans"/>
                <w:bCs/>
                <w:color w:val="434343"/>
                <w:sz w:val="18"/>
                <w:szCs w:val="18"/>
              </w:rPr>
            </w:pPr>
            <w:r w:rsidRPr="00C1211F">
              <w:rPr>
                <w:sz w:val="18"/>
                <w:szCs w:val="18"/>
              </w:rPr>
              <w:t>All experimental methods are fully described in the manuscript</w:t>
            </w:r>
            <w:r w:rsidR="0046080E" w:rsidRPr="00C1211F">
              <w:rPr>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F408F54" w:rsidR="00F102CC" w:rsidRPr="003D5AF6" w:rsidRDefault="00F102CC">
            <w:pPr>
              <w:spacing w:line="225" w:lineRule="auto"/>
              <w:rPr>
                <w:rFonts w:ascii="Noto Sans" w:eastAsia="Noto Sans" w:hAnsi="Noto Sans" w:cs="Noto Sans"/>
                <w:bCs/>
                <w:color w:val="434343"/>
                <w:sz w:val="18"/>
                <w:szCs w:val="18"/>
                <w:lang w:eastAsia="ja-JP"/>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52EA736" w:rsidR="00F102CC" w:rsidRPr="0046080E" w:rsidRDefault="00465D9C" w:rsidP="003942FF">
            <w:pPr>
              <w:spacing w:line="225" w:lineRule="auto"/>
              <w:rPr>
                <w:rFonts w:ascii="Noto Sans" w:eastAsia="Noto Sans" w:hAnsi="Noto Sans" w:cs="Noto Sans"/>
                <w:bCs/>
                <w:color w:val="434343"/>
                <w:sz w:val="18"/>
                <w:szCs w:val="18"/>
              </w:rPr>
            </w:pPr>
            <w:r>
              <w:rPr>
                <w:rFonts w:asciiTheme="majorHAnsi" w:hAnsiTheme="majorHAnsi" w:cstheme="majorHAnsi"/>
                <w:sz w:val="18"/>
                <w:szCs w:val="18"/>
              </w:rPr>
              <w:t>Detailed i</w:t>
            </w:r>
            <w:r w:rsidRPr="0046080E">
              <w:rPr>
                <w:rFonts w:asciiTheme="majorHAnsi" w:hAnsiTheme="majorHAnsi" w:cstheme="majorHAnsi"/>
                <w:sz w:val="18"/>
                <w:szCs w:val="18"/>
              </w:rPr>
              <w:t xml:space="preserve">nformation </w:t>
            </w:r>
            <w:r>
              <w:rPr>
                <w:rFonts w:asciiTheme="majorHAnsi" w:hAnsiTheme="majorHAnsi" w:cstheme="majorHAnsi"/>
                <w:sz w:val="18"/>
                <w:szCs w:val="18"/>
              </w:rPr>
              <w:t xml:space="preserve">is provided </w:t>
            </w:r>
            <w:r w:rsidRPr="0046080E">
              <w:rPr>
                <w:rFonts w:asciiTheme="majorHAnsi" w:hAnsiTheme="majorHAnsi" w:cstheme="majorHAnsi"/>
                <w:sz w:val="18"/>
                <w:szCs w:val="18"/>
              </w:rPr>
              <w:t>in Material and Methods Section,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D4BB5DD" w:rsidR="00F102CC" w:rsidRPr="003942FF" w:rsidRDefault="003942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2D2A17E" w:rsidR="00F102CC" w:rsidRPr="0046080E" w:rsidRDefault="00465D9C" w:rsidP="0046080E">
            <w:pPr>
              <w:spacing w:line="225" w:lineRule="auto"/>
              <w:rPr>
                <w:rFonts w:asciiTheme="majorHAnsi" w:eastAsia="Noto Sans" w:hAnsiTheme="majorHAnsi" w:cstheme="majorHAnsi"/>
                <w:bCs/>
                <w:color w:val="434343"/>
                <w:sz w:val="18"/>
                <w:szCs w:val="18"/>
              </w:rPr>
            </w:pPr>
            <w:r>
              <w:rPr>
                <w:rFonts w:asciiTheme="majorHAnsi" w:hAnsiTheme="majorHAnsi" w:cstheme="majorHAnsi"/>
                <w:sz w:val="18"/>
                <w:szCs w:val="18"/>
              </w:rPr>
              <w:t>Detailed i</w:t>
            </w:r>
            <w:r w:rsidRPr="0046080E">
              <w:rPr>
                <w:rFonts w:asciiTheme="majorHAnsi" w:hAnsiTheme="majorHAnsi" w:cstheme="majorHAnsi"/>
                <w:sz w:val="18"/>
                <w:szCs w:val="18"/>
              </w:rPr>
              <w:t xml:space="preserve">nformation </w:t>
            </w:r>
            <w:r>
              <w:rPr>
                <w:rFonts w:asciiTheme="majorHAnsi" w:hAnsiTheme="majorHAnsi" w:cstheme="majorHAnsi"/>
                <w:sz w:val="18"/>
                <w:szCs w:val="18"/>
              </w:rPr>
              <w:t xml:space="preserve">is provided </w:t>
            </w:r>
            <w:r w:rsidRPr="0046080E">
              <w:rPr>
                <w:rFonts w:asciiTheme="majorHAnsi" w:hAnsiTheme="majorHAnsi" w:cstheme="majorHAnsi"/>
                <w:sz w:val="18"/>
                <w:szCs w:val="18"/>
              </w:rPr>
              <w:t>in Material and Methods Section</w:t>
            </w:r>
            <w:r w:rsidR="0046080E" w:rsidRPr="0046080E">
              <w:rPr>
                <w:rFonts w:asciiTheme="majorHAnsi" w:hAnsiTheme="majorHAnsi" w:cstheme="majorHAnsi"/>
                <w:sz w:val="18"/>
                <w:szCs w:val="18"/>
              </w:rPr>
              <w:t>, and Figure legends. The percentage of NET-forming neutrophils was manually evaluated by investigators blinded to sample identity.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F65ED11" w:rsidR="00F102CC" w:rsidRPr="003D5AF6" w:rsidRDefault="003942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6080E"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46080E" w:rsidRDefault="0046080E" w:rsidP="0046080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C9AD27" w14:textId="2B90EDCC" w:rsidR="0046080E" w:rsidRPr="003D5AF6" w:rsidRDefault="0046080E" w:rsidP="0046080E">
            <w:pPr>
              <w:widowControl/>
              <w:autoSpaceDE w:val="0"/>
              <w:autoSpaceDN w:val="0"/>
              <w:adjustRightInd w:val="0"/>
              <w:rPr>
                <w:rFonts w:ascii="Noto Sans" w:eastAsia="Noto Sans" w:hAnsi="Noto Sans" w:cs="Noto Sans"/>
                <w:bCs/>
                <w:color w:val="434343"/>
                <w:sz w:val="18"/>
                <w:szCs w:val="18"/>
              </w:rPr>
            </w:pPr>
            <w:r>
              <w:rPr>
                <w:rFonts w:asciiTheme="majorHAnsi" w:hAnsiTheme="majorHAnsi" w:cstheme="majorHAnsi"/>
                <w:sz w:val="18"/>
                <w:szCs w:val="18"/>
              </w:rPr>
              <w:t>The number of replicates is included in</w:t>
            </w:r>
            <w:r w:rsidRPr="0046080E">
              <w:rPr>
                <w:rFonts w:asciiTheme="majorHAnsi" w:hAnsiTheme="majorHAnsi" w:cstheme="majorHAnsi"/>
                <w:sz w:val="18"/>
                <w:szCs w:val="18"/>
              </w:rPr>
              <w:t xml:space="preserve"> Figure legends</w:t>
            </w:r>
            <w:r>
              <w:rPr>
                <w:rFonts w:asciiTheme="majorHAnsi" w:hAnsiTheme="majorHAnsi" w:cstheme="majorHAnsi"/>
                <w:sz w:val="18"/>
                <w:szCs w:val="18"/>
              </w:rPr>
              <w:t xml:space="preserve"> the respective experiments</w:t>
            </w:r>
            <w:r w:rsidRPr="0046080E">
              <w:rPr>
                <w:rFonts w:asciiTheme="majorHAnsi" w:hAnsiTheme="majorHAnsi" w:cstheme="majorHAnsi"/>
                <w:sz w:val="18"/>
                <w:szCs w:val="18"/>
              </w:rPr>
              <w:t>.</w:t>
            </w:r>
            <w:r>
              <w:rPr>
                <w:rFonts w:ascii="Times New Roman" w:hAnsi="Times New Roman" w:cs="Times New Roman"/>
                <w:color w:val="434343"/>
                <w:sz w:val="18"/>
                <w:szCs w:val="18"/>
              </w:rPr>
              <w:t xml:space="preserve"> </w:t>
            </w:r>
          </w:p>
          <w:p w14:paraId="6F0CFE7C" w14:textId="7F3FC125" w:rsidR="0046080E" w:rsidRPr="003D5AF6" w:rsidRDefault="0046080E" w:rsidP="0046080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46080E" w:rsidRPr="003D5AF6" w:rsidRDefault="0046080E" w:rsidP="0046080E">
            <w:pPr>
              <w:spacing w:line="225" w:lineRule="auto"/>
              <w:rPr>
                <w:rFonts w:ascii="Noto Sans" w:eastAsia="Noto Sans" w:hAnsi="Noto Sans" w:cs="Noto Sans"/>
                <w:bCs/>
                <w:color w:val="434343"/>
                <w:sz w:val="18"/>
                <w:szCs w:val="18"/>
              </w:rPr>
            </w:pPr>
          </w:p>
        </w:tc>
      </w:tr>
      <w:tr w:rsidR="0046080E"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46080E" w:rsidRDefault="0046080E" w:rsidP="0046080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E0199AB" w:rsidR="0046080E" w:rsidRPr="0046080E" w:rsidRDefault="0046080E" w:rsidP="0046080E">
            <w:pPr>
              <w:spacing w:line="225" w:lineRule="auto"/>
              <w:rPr>
                <w:rFonts w:ascii="Noto Sans" w:eastAsia="Noto Sans" w:hAnsi="Noto Sans" w:cs="Noto Sans"/>
                <w:bCs/>
                <w:color w:val="434343"/>
                <w:sz w:val="18"/>
                <w:szCs w:val="18"/>
              </w:rPr>
            </w:pPr>
            <w:r w:rsidRPr="0046080E">
              <w:rPr>
                <w:sz w:val="18"/>
                <w:szCs w:val="18"/>
              </w:rPr>
              <w:t>Experiments were repeated 2–3 times with biological replicates, confirming reproducibility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46080E" w:rsidRPr="003D5AF6" w:rsidRDefault="0046080E" w:rsidP="0046080E">
            <w:pPr>
              <w:spacing w:line="225" w:lineRule="auto"/>
              <w:rPr>
                <w:rFonts w:ascii="Noto Sans" w:eastAsia="Noto Sans" w:hAnsi="Noto Sans" w:cs="Noto Sans"/>
                <w:bCs/>
                <w:color w:val="434343"/>
                <w:sz w:val="18"/>
                <w:szCs w:val="18"/>
              </w:rPr>
            </w:pPr>
          </w:p>
        </w:tc>
      </w:tr>
      <w:tr w:rsidR="0046080E"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46080E" w:rsidRPr="003D5AF6" w:rsidRDefault="0046080E" w:rsidP="0046080E">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46080E" w:rsidRDefault="0046080E" w:rsidP="0046080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46080E" w:rsidRDefault="0046080E" w:rsidP="0046080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6080E"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46080E" w:rsidRDefault="0046080E" w:rsidP="0046080E">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46080E" w:rsidRDefault="0046080E" w:rsidP="0046080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46080E" w:rsidRDefault="0046080E" w:rsidP="0046080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6080E"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46080E" w:rsidRDefault="0046080E" w:rsidP="0046080E">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46080E" w:rsidRDefault="0046080E" w:rsidP="0046080E">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DE2495A" w:rsidR="0046080E" w:rsidRPr="003D5AF6" w:rsidRDefault="00465D9C" w:rsidP="004608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6080E"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46080E" w:rsidRDefault="0046080E" w:rsidP="0046080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5279AEB" w:rsidR="0046080E" w:rsidRPr="00C1211F" w:rsidRDefault="00C1211F" w:rsidP="0046080E">
            <w:pPr>
              <w:spacing w:line="225" w:lineRule="auto"/>
              <w:rPr>
                <w:rFonts w:ascii="Noto Sans" w:eastAsia="Noto Sans" w:hAnsi="Noto Sans" w:cs="Noto Sans"/>
                <w:bCs/>
                <w:color w:val="434343"/>
                <w:sz w:val="18"/>
                <w:szCs w:val="18"/>
              </w:rPr>
            </w:pPr>
            <w:r w:rsidRPr="00C1211F">
              <w:rPr>
                <w:sz w:val="18"/>
                <w:szCs w:val="18"/>
              </w:rPr>
              <w:t>All animal procedures were approved by the Cedars-Sinai Institutional Animal Care and Use Committee (IACUC). Detailed information is provided in the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46080E" w:rsidRPr="003D5AF6" w:rsidRDefault="0046080E" w:rsidP="0046080E">
            <w:pPr>
              <w:spacing w:line="225" w:lineRule="auto"/>
              <w:rPr>
                <w:rFonts w:ascii="Noto Sans" w:eastAsia="Noto Sans" w:hAnsi="Noto Sans" w:cs="Noto Sans"/>
                <w:bCs/>
                <w:color w:val="434343"/>
                <w:sz w:val="18"/>
                <w:szCs w:val="18"/>
              </w:rPr>
            </w:pPr>
          </w:p>
        </w:tc>
      </w:tr>
      <w:tr w:rsidR="0046080E"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46080E" w:rsidRDefault="0046080E" w:rsidP="0046080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46080E" w:rsidRPr="003D5AF6" w:rsidRDefault="0046080E" w:rsidP="0046080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E497AD3" w:rsidR="0046080E" w:rsidRPr="003D5AF6" w:rsidRDefault="00C1211F" w:rsidP="004608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6080E"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46080E" w:rsidRPr="003D5AF6" w:rsidRDefault="0046080E" w:rsidP="0046080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46080E" w:rsidRDefault="0046080E" w:rsidP="0046080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46080E" w:rsidRDefault="0046080E" w:rsidP="0046080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6080E"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46080E" w:rsidRDefault="0046080E" w:rsidP="0046080E">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46080E" w:rsidRDefault="0046080E" w:rsidP="0046080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46080E" w:rsidRDefault="0046080E" w:rsidP="0046080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6080E"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46080E" w:rsidRDefault="0046080E" w:rsidP="0046080E">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46080E" w:rsidRPr="003D5AF6" w:rsidRDefault="0046080E" w:rsidP="0046080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737F78F" w:rsidR="0046080E" w:rsidRPr="003D5AF6" w:rsidRDefault="00C1211F" w:rsidP="004608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ACEC2AC" w:rsidR="00F102CC" w:rsidRPr="003D5AF6" w:rsidRDefault="00C121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C0D26AF" w:rsidR="00F102CC" w:rsidRPr="003D5AF6" w:rsidRDefault="00C1211F">
            <w:pPr>
              <w:spacing w:line="225" w:lineRule="auto"/>
              <w:rPr>
                <w:rFonts w:ascii="Noto Sans" w:eastAsia="Noto Sans" w:hAnsi="Noto Sans" w:cs="Noto Sans"/>
                <w:bCs/>
                <w:color w:val="434343"/>
                <w:sz w:val="18"/>
                <w:szCs w:val="18"/>
              </w:rPr>
            </w:pPr>
            <w:r>
              <w:rPr>
                <w:rFonts w:asciiTheme="majorHAnsi" w:hAnsiTheme="majorHAnsi" w:cstheme="majorHAnsi"/>
                <w:sz w:val="18"/>
                <w:szCs w:val="18"/>
              </w:rPr>
              <w:t>Detailed i</w:t>
            </w:r>
            <w:r w:rsidRPr="0046080E">
              <w:rPr>
                <w:rFonts w:asciiTheme="majorHAnsi" w:hAnsiTheme="majorHAnsi" w:cstheme="majorHAnsi"/>
                <w:sz w:val="18"/>
                <w:szCs w:val="18"/>
              </w:rPr>
              <w:t xml:space="preserve">nformation </w:t>
            </w:r>
            <w:r>
              <w:rPr>
                <w:rFonts w:asciiTheme="majorHAnsi" w:hAnsiTheme="majorHAnsi" w:cstheme="majorHAnsi"/>
                <w:sz w:val="18"/>
                <w:szCs w:val="18"/>
              </w:rPr>
              <w:t xml:space="preserve">is provided </w:t>
            </w:r>
            <w:r w:rsidRPr="0046080E">
              <w:rPr>
                <w:rFonts w:asciiTheme="majorHAnsi" w:hAnsiTheme="majorHAnsi" w:cstheme="majorHAnsi"/>
                <w:sz w:val="18"/>
                <w:szCs w:val="18"/>
              </w:rPr>
              <w:t>in Material and Methods Section</w:t>
            </w:r>
            <w:r>
              <w:rPr>
                <w:rFonts w:asciiTheme="majorHAnsi" w:hAnsiTheme="majorHAnsi" w:cstheme="majorHAnsi"/>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73586D5" w:rsidR="00F102CC" w:rsidRPr="001D3008" w:rsidRDefault="001D3008">
            <w:pPr>
              <w:spacing w:line="225" w:lineRule="auto"/>
              <w:rPr>
                <w:rFonts w:ascii="Noto Sans" w:eastAsia="Noto Sans" w:hAnsi="Noto Sans" w:cs="Noto Sans"/>
                <w:bCs/>
                <w:color w:val="434343"/>
                <w:sz w:val="18"/>
                <w:szCs w:val="18"/>
              </w:rPr>
            </w:pPr>
            <w:r w:rsidRPr="001D3008">
              <w:rPr>
                <w:sz w:val="18"/>
                <w:szCs w:val="18"/>
              </w:rPr>
              <w:t>All data are pr</w:t>
            </w:r>
            <w:r w:rsidR="000529E9">
              <w:rPr>
                <w:sz w:val="18"/>
                <w:szCs w:val="18"/>
              </w:rPr>
              <w:t>ovided</w:t>
            </w:r>
            <w:r w:rsidRPr="001D3008">
              <w:rPr>
                <w:sz w:val="18"/>
                <w:szCs w:val="18"/>
              </w:rPr>
              <w:t xml:space="preserve"> in the manuscript.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AB637CD" w:rsidR="00F102CC" w:rsidRPr="003D5AF6" w:rsidRDefault="00C121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480C691" w:rsidR="00F102CC" w:rsidRPr="003D5AF6" w:rsidRDefault="001D30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0A06013" w:rsidR="00F102CC" w:rsidRPr="003D5AF6" w:rsidRDefault="001D30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3927393" w:rsidR="00F102CC" w:rsidRPr="003D5AF6" w:rsidRDefault="001D30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4688A7E" w:rsidR="00F102CC" w:rsidRPr="003D5AF6" w:rsidRDefault="001D30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5C1FC0C" w:rsidR="00F102CC" w:rsidRPr="00FA7C92" w:rsidRDefault="00FA7C92">
            <w:pPr>
              <w:spacing w:line="225" w:lineRule="auto"/>
              <w:rPr>
                <w:rFonts w:ascii="Noto Sans" w:eastAsia="Noto Sans" w:hAnsi="Noto Sans" w:cs="Noto Sans"/>
                <w:bCs/>
                <w:color w:val="434343"/>
                <w:sz w:val="18"/>
                <w:szCs w:val="18"/>
              </w:rPr>
            </w:pPr>
            <w:r w:rsidRPr="00FA7C92">
              <w:rPr>
                <w:sz w:val="18"/>
                <w:szCs w:val="18"/>
              </w:rPr>
              <w:t>ARRIVE guidelines were followed in accordance with institutional IACUC standards.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21F4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2B14D" w14:textId="77777777" w:rsidR="00121F46" w:rsidRDefault="00121F46">
      <w:r>
        <w:separator/>
      </w:r>
    </w:p>
  </w:endnote>
  <w:endnote w:type="continuationSeparator" w:id="0">
    <w:p w14:paraId="3F2873E7" w14:textId="77777777" w:rsidR="00121F46" w:rsidRDefault="00121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7DC67" w14:textId="77777777" w:rsidR="00121F46" w:rsidRDefault="00121F46">
      <w:r>
        <w:separator/>
      </w:r>
    </w:p>
  </w:footnote>
  <w:footnote w:type="continuationSeparator" w:id="0">
    <w:p w14:paraId="62762102" w14:textId="77777777" w:rsidR="00121F46" w:rsidRDefault="00121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29E9"/>
    <w:rsid w:val="000B600B"/>
    <w:rsid w:val="00121F46"/>
    <w:rsid w:val="001B3BCC"/>
    <w:rsid w:val="001D2D6F"/>
    <w:rsid w:val="001D3008"/>
    <w:rsid w:val="002209A8"/>
    <w:rsid w:val="00263E6B"/>
    <w:rsid w:val="00373451"/>
    <w:rsid w:val="003942FF"/>
    <w:rsid w:val="003D5AF6"/>
    <w:rsid w:val="00400C53"/>
    <w:rsid w:val="00427975"/>
    <w:rsid w:val="0046080E"/>
    <w:rsid w:val="00465D9C"/>
    <w:rsid w:val="004E2C31"/>
    <w:rsid w:val="004F045B"/>
    <w:rsid w:val="0052376F"/>
    <w:rsid w:val="005B0259"/>
    <w:rsid w:val="00675C4E"/>
    <w:rsid w:val="007054B6"/>
    <w:rsid w:val="0078687E"/>
    <w:rsid w:val="00967E95"/>
    <w:rsid w:val="009C7B26"/>
    <w:rsid w:val="00A11E52"/>
    <w:rsid w:val="00B2483D"/>
    <w:rsid w:val="00B714B8"/>
    <w:rsid w:val="00BD41E9"/>
    <w:rsid w:val="00C1211F"/>
    <w:rsid w:val="00C84413"/>
    <w:rsid w:val="00E26359"/>
    <w:rsid w:val="00F102CC"/>
    <w:rsid w:val="00F91042"/>
    <w:rsid w:val="00FA7C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80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Strong">
    <w:name w:val="Strong"/>
    <w:basedOn w:val="DefaultParagraphFont"/>
    <w:uiPriority w:val="22"/>
    <w:qFormat/>
    <w:rsid w:val="004F04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1678</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Shimada, Kenichi</cp:lastModifiedBy>
  <cp:revision>7</cp:revision>
  <dcterms:created xsi:type="dcterms:W3CDTF">2025-06-05T20:44:00Z</dcterms:created>
  <dcterms:modified xsi:type="dcterms:W3CDTF">2025-06-10T18:17:00Z</dcterms:modified>
</cp:coreProperties>
</file>