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38E2F">
      <w:pPr>
        <w:spacing w:before="60" w:line="227" w:lineRule="auto"/>
        <w:jc w:val="center"/>
        <w:rPr>
          <w:rFonts w:ascii="Noto Sans" w:hAnsi="Noto Sans" w:eastAsia="Noto Sans" w:cs="Noto Sans"/>
          <w:b/>
          <w:sz w:val="26"/>
          <w:szCs w:val="26"/>
          <w:u w:val="single"/>
        </w:rPr>
      </w:pPr>
    </w:p>
    <w:p w14:paraId="147016ED">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u w:val="single"/>
        </w:rPr>
        <w:t>M</w:t>
      </w:r>
      <w:r>
        <w:rPr>
          <w:rFonts w:ascii="Noto Sans" w:hAnsi="Noto Sans" w:eastAsia="Noto Sans" w:cs="Noto Sans"/>
          <w:b/>
          <w:sz w:val="26"/>
          <w:szCs w:val="26"/>
        </w:rPr>
        <w:t xml:space="preserve">aterials </w:t>
      </w:r>
      <w:r>
        <w:rPr>
          <w:rFonts w:ascii="Noto Sans" w:hAnsi="Noto Sans" w:eastAsia="Noto Sans" w:cs="Noto Sans"/>
          <w:b/>
          <w:sz w:val="26"/>
          <w:szCs w:val="26"/>
          <w:u w:val="single"/>
        </w:rPr>
        <w:t>D</w:t>
      </w:r>
      <w:r>
        <w:rPr>
          <w:rFonts w:ascii="Noto Sans" w:hAnsi="Noto Sans" w:eastAsia="Noto Sans" w:cs="Noto Sans"/>
          <w:b/>
          <w:sz w:val="26"/>
          <w:szCs w:val="26"/>
        </w:rPr>
        <w:t xml:space="preserve">esign </w:t>
      </w:r>
      <w:r>
        <w:rPr>
          <w:rFonts w:ascii="Noto Sans" w:hAnsi="Noto Sans" w:eastAsia="Noto Sans" w:cs="Noto Sans"/>
          <w:b/>
          <w:sz w:val="26"/>
          <w:szCs w:val="26"/>
          <w:u w:val="single"/>
        </w:rPr>
        <w:t>A</w:t>
      </w:r>
      <w:r>
        <w:rPr>
          <w:rFonts w:ascii="Noto Sans" w:hAnsi="Noto Sans" w:eastAsia="Noto Sans" w:cs="Noto Sans"/>
          <w:b/>
          <w:sz w:val="26"/>
          <w:szCs w:val="26"/>
        </w:rPr>
        <w:t xml:space="preserve">nalysis </w:t>
      </w:r>
      <w:r>
        <w:rPr>
          <w:rFonts w:ascii="Noto Sans" w:hAnsi="Noto Sans" w:eastAsia="Noto Sans" w:cs="Noto Sans"/>
          <w:b/>
          <w:sz w:val="26"/>
          <w:szCs w:val="26"/>
          <w:u w:val="single"/>
        </w:rPr>
        <w:t>R</w:t>
      </w:r>
      <w:r>
        <w:rPr>
          <w:rFonts w:ascii="Noto Sans" w:hAnsi="Noto Sans" w:eastAsia="Noto Sans" w:cs="Noto Sans"/>
          <w:b/>
          <w:sz w:val="26"/>
          <w:szCs w:val="26"/>
        </w:rPr>
        <w:t>eporting (MDAR)</w:t>
      </w:r>
    </w:p>
    <w:p w14:paraId="2B2C3068">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rPr>
        <w:t>Checklist for Authors</w:t>
      </w:r>
    </w:p>
    <w:p w14:paraId="5949C2FF">
      <w:pPr>
        <w:rPr>
          <w:rFonts w:ascii="Noto Sans" w:hAnsi="Noto Sans" w:eastAsia="Noto Sans" w:cs="Noto Sans"/>
          <w:sz w:val="20"/>
          <w:szCs w:val="20"/>
        </w:rPr>
      </w:pPr>
    </w:p>
    <w:p w14:paraId="7DCA99D5">
      <w:pPr>
        <w:rPr>
          <w:rFonts w:ascii="Noto Sans" w:hAnsi="Noto Sans" w:eastAsia="Noto Sans" w:cs="Noto Sans"/>
          <w:sz w:val="20"/>
          <w:szCs w:val="20"/>
        </w:rPr>
      </w:pPr>
      <w:r>
        <w:rPr>
          <w:rFonts w:ascii="Noto Sans" w:hAnsi="Noto Sans" w:eastAsia="Noto Sans" w:cs="Noto Sans"/>
          <w:sz w:val="20"/>
          <w:szCs w:val="20"/>
        </w:rPr>
        <w:t xml:space="preserve">The </w:t>
      </w:r>
      <w:r>
        <w:fldChar w:fldCharType="begin"/>
      </w:r>
      <w:r>
        <w:instrText xml:space="preserve"> HYPERLINK "https://osf.io/xfpn4/" \h </w:instrText>
      </w:r>
      <w:r>
        <w:fldChar w:fldCharType="separate"/>
      </w:r>
      <w:r>
        <w:rPr>
          <w:rFonts w:ascii="Noto Sans" w:hAnsi="Noto Sans" w:eastAsia="Noto Sans" w:cs="Noto Sans"/>
          <w:color w:val="1155CC"/>
          <w:sz w:val="20"/>
          <w:szCs w:val="20"/>
          <w:u w:val="single"/>
        </w:rPr>
        <w:t>MDAR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establishes a minimum set of requirements in transparent reporting mainly applicable to studies in the life sciences.</w:t>
      </w:r>
    </w:p>
    <w:p w14:paraId="607C817B">
      <w:pPr>
        <w:rPr>
          <w:rFonts w:ascii="Noto Sans" w:hAnsi="Noto Sans" w:eastAsia="Noto Sans" w:cs="Noto Sans"/>
          <w:sz w:val="16"/>
          <w:szCs w:val="16"/>
        </w:rPr>
      </w:pPr>
      <w:bookmarkStart w:id="0" w:name="_cvmm3w1hmoo8" w:colFirst="0" w:colLast="0"/>
      <w:bookmarkEnd w:id="0"/>
    </w:p>
    <w:p w14:paraId="23802453">
      <w:pPr>
        <w:rPr>
          <w:rFonts w:ascii="Noto Sans" w:hAnsi="Noto Sans" w:eastAsia="Noto Sans" w:cs="Noto Sans"/>
          <w:sz w:val="20"/>
          <w:szCs w:val="20"/>
        </w:rPr>
      </w:pPr>
      <w:r>
        <w:rPr>
          <w:rFonts w:ascii="Noto Sans" w:hAnsi="Noto Sans" w:eastAsia="Noto Sans" w:cs="Noto Sans"/>
          <w:i/>
          <w:sz w:val="20"/>
          <w:szCs w:val="20"/>
        </w:rPr>
        <w:t>eLife</w:t>
      </w:r>
      <w:r>
        <w:rPr>
          <w:rFonts w:ascii="Noto Sans" w:hAnsi="Noto Sans" w:eastAsia="Noto Sans" w:cs="Noto Sans"/>
          <w:sz w:val="20"/>
          <w:szCs w:val="20"/>
        </w:rPr>
        <w:t xml:space="preserve"> asks authors to </w:t>
      </w:r>
      <w:r>
        <w:rPr>
          <w:rFonts w:ascii="Noto Sans" w:hAnsi="Noto Sans" w:eastAsia="Noto Sans" w:cs="Noto Sans"/>
          <w:b/>
          <w:sz w:val="20"/>
          <w:szCs w:val="20"/>
        </w:rPr>
        <w:t>provide detailed information within their article</w:t>
      </w:r>
      <w:r>
        <w:rPr>
          <w:rFonts w:ascii="Noto Sans" w:hAnsi="Noto Sans" w:eastAsia="Noto Sans" w:cs="Noto Sans"/>
          <w:sz w:val="20"/>
          <w:szCs w:val="20"/>
        </w:rPr>
        <w:t xml:space="preserve"> to facilitate the interpretation and replication of their work. Authors can also upload supporting materials to comply with relevant reporting guidelines for health-related research (see </w:t>
      </w:r>
      <w:r>
        <w:fldChar w:fldCharType="begin"/>
      </w:r>
      <w:r>
        <w:instrText xml:space="preserve"> HYPERLINK "http://www.equator-network.org/%20" \h </w:instrText>
      </w:r>
      <w:r>
        <w:fldChar w:fldCharType="separate"/>
      </w:r>
      <w:r>
        <w:rPr>
          <w:rFonts w:ascii="Noto Sans" w:hAnsi="Noto Sans" w:eastAsia="Noto Sans" w:cs="Noto Sans"/>
          <w:color w:val="1155CC"/>
          <w:sz w:val="20"/>
          <w:szCs w:val="20"/>
          <w:u w:val="single"/>
        </w:rPr>
        <w:t>EQUATOR Network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life science research (see the </w:t>
      </w:r>
      <w:r>
        <w:fldChar w:fldCharType="begin"/>
      </w:r>
      <w:r>
        <w:instrText xml:space="preserve"> HYPERLINK "http://biosharing.org/" \h </w:instrText>
      </w:r>
      <w:r>
        <w:fldChar w:fldCharType="separate"/>
      </w:r>
      <w:r>
        <w:rPr>
          <w:rFonts w:ascii="Noto Sans" w:hAnsi="Noto Sans" w:eastAsia="Noto Sans" w:cs="Noto Sans"/>
          <w:color w:val="1155CC"/>
          <w:sz w:val="20"/>
          <w:szCs w:val="20"/>
          <w:u w:val="single"/>
        </w:rPr>
        <w:t>BioSharing Information Resource</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or animal research (see the </w:t>
      </w:r>
      <w:r>
        <w:fldChar w:fldCharType="begin"/>
      </w:r>
      <w:r>
        <w:instrText xml:space="preserve"> HYPERLINK "http://www.plosbiology.org/article/info:doi/10.1371/journal.pbio.1000412" \h </w:instrText>
      </w:r>
      <w:r>
        <w:fldChar w:fldCharType="separate"/>
      </w:r>
      <w:r>
        <w:rPr>
          <w:rFonts w:ascii="Noto Sans" w:hAnsi="Noto Sans" w:eastAsia="Noto Sans" w:cs="Noto Sans"/>
          <w:color w:val="1155CC"/>
          <w:sz w:val="20"/>
          <w:szCs w:val="20"/>
          <w:u w:val="single"/>
        </w:rPr>
        <w:t>ARRIVE Guidelines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and the </w:t>
      </w:r>
      <w:r>
        <w:fldChar w:fldCharType="begin"/>
      </w:r>
      <w:r>
        <w:instrText xml:space="preserve"> HYPERLINK "https://doi.org/10.1038/d41586-020-01751-5" \h </w:instrText>
      </w:r>
      <w:r>
        <w:fldChar w:fldCharType="separate"/>
      </w:r>
      <w:r>
        <w:rPr>
          <w:rFonts w:ascii="Noto Sans" w:hAnsi="Noto Sans" w:eastAsia="Noto Sans" w:cs="Noto Sans"/>
          <w:color w:val="1155CC"/>
          <w:sz w:val="20"/>
          <w:szCs w:val="20"/>
          <w:u w:val="single"/>
        </w:rPr>
        <w:t>STRANGE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for details, see </w:t>
      </w:r>
      <w:r>
        <w:rPr>
          <w:rFonts w:ascii="Noto Sans" w:hAnsi="Noto Sans" w:eastAsia="Noto Sans" w:cs="Noto Sans"/>
          <w:i/>
          <w:sz w:val="20"/>
          <w:szCs w:val="20"/>
        </w:rPr>
        <w:t>eLife</w:t>
      </w:r>
      <w:r>
        <w:rPr>
          <w:rFonts w:ascii="Noto Sans" w:hAnsi="Noto Sans" w:eastAsia="Noto Sans" w:cs="Noto Sans"/>
          <w:sz w:val="20"/>
          <w:szCs w:val="20"/>
        </w:rPr>
        <w:t xml:space="preserve">’s </w:t>
      </w:r>
      <w:r>
        <w:fldChar w:fldCharType="begin"/>
      </w:r>
      <w:r>
        <w:instrText xml:space="preserve"> HYPERLINK "https://reviewer.elifesciences.org/author-guide/journal-policies" \h </w:instrText>
      </w:r>
      <w:r>
        <w:fldChar w:fldCharType="separate"/>
      </w:r>
      <w:r>
        <w:rPr>
          <w:rFonts w:ascii="Noto Sans" w:hAnsi="Noto Sans" w:eastAsia="Noto Sans" w:cs="Noto Sans"/>
          <w:color w:val="1155CC"/>
          <w:sz w:val="20"/>
          <w:szCs w:val="20"/>
          <w:u w:val="single"/>
        </w:rPr>
        <w:t>Journal Policies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Where applicable, authors should refer to any relevant reporting standards materials in this form.</w:t>
      </w:r>
    </w:p>
    <w:p w14:paraId="05FE596D">
      <w:pPr>
        <w:rPr>
          <w:rFonts w:ascii="Noto Sans" w:hAnsi="Noto Sans" w:eastAsia="Noto Sans" w:cs="Noto Sans"/>
          <w:b/>
          <w:color w:val="434343"/>
          <w:sz w:val="16"/>
          <w:szCs w:val="16"/>
        </w:rPr>
      </w:pPr>
    </w:p>
    <w:p w14:paraId="09B952D6">
      <w:pPr>
        <w:spacing w:before="60" w:line="227" w:lineRule="auto"/>
        <w:rPr>
          <w:rFonts w:ascii="Noto Sans" w:hAnsi="Noto Sans" w:eastAsia="Noto Sans" w:cs="Noto Sans"/>
          <w:color w:val="434343"/>
          <w:sz w:val="20"/>
          <w:szCs w:val="20"/>
        </w:rPr>
      </w:pPr>
      <w:r>
        <w:rPr>
          <w:rFonts w:ascii="Noto Sans" w:hAnsi="Noto Sans" w:eastAsia="Noto Sans" w:cs="Noto Sans"/>
          <w:color w:val="434343"/>
          <w:sz w:val="20"/>
          <w:szCs w:val="20"/>
        </w:rPr>
        <w:t xml:space="preserve">For all that apply, please note </w:t>
      </w:r>
      <w:r>
        <w:rPr>
          <w:rFonts w:ascii="Noto Sans" w:hAnsi="Noto Sans" w:eastAsia="Noto Sans" w:cs="Noto Sans"/>
          <w:b/>
          <w:color w:val="434343"/>
          <w:sz w:val="20"/>
          <w:szCs w:val="20"/>
        </w:rPr>
        <w:t xml:space="preserve">where in the article </w:t>
      </w:r>
      <w:r>
        <w:rPr>
          <w:rFonts w:ascii="Noto Sans" w:hAnsi="Noto Sans" w:eastAsia="Noto Sans" w:cs="Noto Sans"/>
          <w:color w:val="434343"/>
          <w:sz w:val="20"/>
          <w:szCs w:val="20"/>
        </w:rPr>
        <w:t>the information is provided. Please note that we also collect information about data availability and ethics in the submission form.</w:t>
      </w:r>
    </w:p>
    <w:p w14:paraId="25ABA3FA">
      <w:pPr>
        <w:spacing w:before="60" w:line="227" w:lineRule="auto"/>
        <w:rPr>
          <w:rFonts w:ascii="Noto Sans" w:hAnsi="Noto Sans" w:eastAsia="Noto Sans" w:cs="Noto Sans"/>
          <w:b/>
          <w:color w:val="434343"/>
          <w:sz w:val="16"/>
          <w:szCs w:val="16"/>
          <w:u w:val="single"/>
        </w:rPr>
      </w:pPr>
    </w:p>
    <w:p w14:paraId="44BE6531">
      <w:pPr>
        <w:spacing w:before="60" w:line="227" w:lineRule="auto"/>
        <w:rPr>
          <w:rFonts w:ascii="Noto Sans" w:hAnsi="Noto Sans" w:eastAsia="Noto Sans" w:cs="Noto Sans"/>
          <w:b/>
          <w:color w:val="434343"/>
        </w:rPr>
      </w:pPr>
      <w:r>
        <w:rPr>
          <w:rFonts w:ascii="Noto Sans" w:hAnsi="Noto Sans" w:eastAsia="Noto Sans" w:cs="Noto Sans"/>
          <w:b/>
          <w:color w:val="434343"/>
        </w:rPr>
        <w:t>Materials:</w:t>
      </w:r>
    </w:p>
    <w:p w14:paraId="573CEB8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4"/>
        <w:tblW w:w="9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50"/>
        <w:gridCol w:w="3075"/>
        <w:gridCol w:w="1095"/>
      </w:tblGrid>
      <w:tr w14:paraId="737D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7258FDC">
            <w:pPr>
              <w:rPr>
                <w:rFonts w:ascii="Noto Sans" w:hAnsi="Noto Sans" w:eastAsia="Noto Sans" w:cs="Noto Sans"/>
                <w:b/>
                <w:color w:val="434343"/>
                <w:sz w:val="18"/>
                <w:szCs w:val="18"/>
              </w:rPr>
            </w:pPr>
            <w:r>
              <w:rPr>
                <w:rFonts w:ascii="Noto Sans" w:hAnsi="Noto Sans" w:eastAsia="Noto Sans" w:cs="Noto Sans"/>
                <w:b/>
                <w:color w:val="434343"/>
                <w:sz w:val="18"/>
                <w:szCs w:val="18"/>
              </w:rPr>
              <w:t>Newly created materials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570CCCA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11310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308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47"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2E2B50B3">
            <w:pPr>
              <w:rPr>
                <w:rFonts w:ascii="Noto Sans" w:hAnsi="Noto Sans" w:eastAsia="Noto Sans" w:cs="Noto Sans"/>
                <w:color w:val="434343"/>
                <w:sz w:val="18"/>
                <w:szCs w:val="18"/>
              </w:rPr>
            </w:pPr>
            <w:r>
              <w:rPr>
                <w:rFonts w:ascii="Noto Sans" w:hAnsi="Noto Sans" w:eastAsia="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4EC3BCB7">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62BA294">
            <w:pPr>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7791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nil"/>
              <w:right w:val="nil"/>
            </w:tcBorders>
            <w:tcMar>
              <w:top w:w="100" w:type="dxa"/>
              <w:left w:w="100" w:type="dxa"/>
              <w:bottom w:w="100" w:type="dxa"/>
              <w:right w:w="100" w:type="dxa"/>
            </w:tcMar>
          </w:tcPr>
          <w:p w14:paraId="57EEBB88">
            <w:pPr>
              <w:rPr>
                <w:rFonts w:ascii="Noto Sans" w:hAnsi="Noto Sans" w:eastAsia="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pPr>
              <w:spacing w:line="225" w:lineRule="auto"/>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pPr>
              <w:spacing w:line="225" w:lineRule="auto"/>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B289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27D3C6">
            <w:pPr>
              <w:rPr>
                <w:rFonts w:ascii="Noto Sans" w:hAnsi="Noto Sans" w:eastAsia="Noto Sans" w:cs="Noto Sans"/>
                <w:b/>
                <w:color w:val="434343"/>
                <w:sz w:val="18"/>
                <w:szCs w:val="18"/>
              </w:rPr>
            </w:pPr>
            <w:r>
              <w:rPr>
                <w:rFonts w:ascii="Noto Sans" w:hAnsi="Noto Sans" w:eastAsia="Noto Sans" w:cs="Noto Sans"/>
                <w:b/>
                <w:color w:val="434343"/>
                <w:sz w:val="18"/>
                <w:szCs w:val="18"/>
              </w:rPr>
              <w:t>Antibodies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78F4109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62D83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52B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403AF6F3">
            <w:pPr>
              <w:rPr>
                <w:rFonts w:ascii="Noto Sans" w:hAnsi="Noto Sans" w:eastAsia="Noto Sans" w:cs="Noto Sans"/>
                <w:color w:val="434343"/>
                <w:sz w:val="18"/>
                <w:szCs w:val="18"/>
              </w:rPr>
            </w:pPr>
            <w:r>
              <w:rPr>
                <w:rFonts w:ascii="Noto Sans" w:hAnsi="Noto Sans" w:eastAsia="Noto Sans" w:cs="Noto Sans"/>
                <w:color w:val="434343"/>
                <w:sz w:val="18"/>
                <w:szCs w:val="18"/>
              </w:rPr>
              <w:t>For commercial reagents, provide supplier name, catalogue number and</w:t>
            </w:r>
            <w:r>
              <w:fldChar w:fldCharType="begin"/>
            </w:r>
            <w:r>
              <w:instrText xml:space="preserve"> HYPERLINK "https://scicrunch.org/resources" \h </w:instrText>
            </w:r>
            <w:r>
              <w:fldChar w:fldCharType="separate"/>
            </w:r>
            <w:r>
              <w:rPr>
                <w:rFonts w:ascii="Noto Sans" w:hAnsi="Noto Sans" w:eastAsia="Noto Sans" w:cs="Noto Sans"/>
                <w:color w:val="434343"/>
                <w:sz w:val="18"/>
                <w:szCs w:val="18"/>
              </w:rPr>
              <w:t xml:space="preserve"> </w:t>
            </w:r>
            <w:r>
              <w:rPr>
                <w:rFonts w:ascii="Noto Sans" w:hAnsi="Noto Sans" w:eastAsia="Noto Sans" w:cs="Noto Sans"/>
                <w:color w:val="434343"/>
                <w:sz w:val="18"/>
                <w:szCs w:val="18"/>
              </w:rPr>
              <w:fldChar w:fldCharType="end"/>
            </w:r>
            <w:r>
              <w:fldChar w:fldCharType="begin"/>
            </w:r>
            <w:r>
              <w:instrText xml:space="preserve"> HYPERLINK "https://scicrunch.org/resources" \h </w:instrText>
            </w:r>
            <w:r>
              <w:fldChar w:fldCharType="separate"/>
            </w:r>
            <w:r>
              <w:rPr>
                <w:rFonts w:ascii="Noto Sans" w:hAnsi="Noto Sans" w:eastAsia="Noto Sans" w:cs="Noto Sans"/>
                <w:color w:val="1155CC"/>
                <w:sz w:val="18"/>
                <w:szCs w:val="18"/>
                <w:u w:val="single"/>
              </w:rPr>
              <w:t>RRID</w:t>
            </w:r>
            <w:r>
              <w:rPr>
                <w:rFonts w:ascii="Noto Sans" w:hAnsi="Noto Sans" w:eastAsia="Noto Sans" w:cs="Noto Sans"/>
                <w:color w:val="1155CC"/>
                <w:sz w:val="18"/>
                <w:szCs w:val="18"/>
                <w:u w:val="single"/>
              </w:rPr>
              <w:fldChar w:fldCharType="end"/>
            </w:r>
            <w:r>
              <w:rPr>
                <w:rFonts w:ascii="Noto Sans" w:hAnsi="Noto Sans" w:eastAsia="Noto Sans" w:cs="Noto Sans"/>
                <w:color w:val="434343"/>
                <w:sz w:val="18"/>
                <w:szCs w:val="18"/>
              </w:rPr>
              <w:t>, if available.</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31209F92">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B966EF8">
            <w:pPr>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448F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610F2F4A">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1E9620A6">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006F2FF7">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3FB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88FC47B">
            <w:pPr>
              <w:rPr>
                <w:rFonts w:ascii="Noto Sans" w:hAnsi="Noto Sans" w:eastAsia="Noto Sans" w:cs="Noto Sans"/>
                <w:b/>
                <w:color w:val="434343"/>
                <w:sz w:val="18"/>
                <w:szCs w:val="18"/>
              </w:rPr>
            </w:pPr>
            <w:r>
              <w:rPr>
                <w:rFonts w:ascii="Noto Sans" w:hAnsi="Noto Sans" w:eastAsia="Noto Sans" w:cs="Noto Sans"/>
                <w:b/>
                <w:color w:val="434343"/>
                <w:sz w:val="18"/>
                <w:szCs w:val="18"/>
              </w:rPr>
              <w:t>DNA and RNA sequences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E718FA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59FF16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5E7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9"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B233DEC">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0B6931">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ACF4A34">
            <w:pPr>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465EA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85" w:hRule="atLeast"/>
        </w:trPr>
        <w:tc>
          <w:tcPr>
            <w:tcW w:w="5550" w:type="dxa"/>
            <w:tcBorders>
              <w:top w:val="single" w:color="000000" w:sz="8" w:space="0"/>
              <w:left w:val="nil"/>
              <w:bottom w:val="single" w:color="000000" w:sz="8" w:space="0"/>
              <w:right w:val="nil"/>
            </w:tcBorders>
            <w:tcMar>
              <w:top w:w="100" w:type="dxa"/>
              <w:left w:w="100" w:type="dxa"/>
              <w:bottom w:w="100" w:type="dxa"/>
              <w:right w:w="100" w:type="dxa"/>
            </w:tcMar>
          </w:tcPr>
          <w:p w14:paraId="5C49FDCA">
            <w:pPr>
              <w:rPr>
                <w:rFonts w:ascii="Noto Sans" w:hAnsi="Noto Sans" w:eastAsia="Noto Sans" w:cs="Noto Sans"/>
                <w:b/>
                <w:color w:val="434343"/>
                <w:sz w:val="16"/>
                <w:szCs w:val="16"/>
              </w:rPr>
            </w:pPr>
          </w:p>
        </w:tc>
        <w:tc>
          <w:tcPr>
            <w:tcW w:w="3075" w:type="dxa"/>
            <w:tcBorders>
              <w:top w:val="single" w:color="000000" w:sz="8" w:space="0"/>
              <w:left w:val="nil"/>
              <w:bottom w:val="single" w:color="000000" w:sz="8" w:space="0"/>
              <w:right w:val="nil"/>
            </w:tcBorders>
            <w:tcMar>
              <w:top w:w="100" w:type="dxa"/>
              <w:left w:w="100" w:type="dxa"/>
              <w:bottom w:w="100" w:type="dxa"/>
              <w:right w:w="100" w:type="dxa"/>
            </w:tcMar>
          </w:tcPr>
          <w:p w14:paraId="1D9A0B39">
            <w:pPr>
              <w:ind w:left="400"/>
              <w:rPr>
                <w:rFonts w:ascii="Noto Sans" w:hAnsi="Noto Sans" w:eastAsia="Noto Sans" w:cs="Noto Sans"/>
                <w:b/>
                <w:color w:val="434343"/>
              </w:rPr>
            </w:pPr>
            <w:r>
              <w:rPr>
                <w:rFonts w:ascii="Noto Sans" w:hAnsi="Noto Sans" w:eastAsia="Noto Sans" w:cs="Noto Sans"/>
                <w:b/>
                <w:color w:val="434343"/>
              </w:rPr>
              <w:t xml:space="preserve"> </w:t>
            </w:r>
          </w:p>
        </w:tc>
        <w:tc>
          <w:tcPr>
            <w:tcW w:w="1095" w:type="dxa"/>
            <w:tcBorders>
              <w:top w:val="single" w:color="000000" w:sz="8" w:space="0"/>
              <w:left w:val="nil"/>
              <w:bottom w:val="single" w:color="000000" w:sz="8" w:space="0"/>
              <w:right w:val="nil"/>
            </w:tcBorders>
            <w:tcMar>
              <w:top w:w="100" w:type="dxa"/>
              <w:left w:w="100" w:type="dxa"/>
              <w:bottom w:w="100" w:type="dxa"/>
              <w:right w:w="100" w:type="dxa"/>
            </w:tcMar>
          </w:tcPr>
          <w:p w14:paraId="39AD3F35">
            <w:pPr>
              <w:ind w:left="400"/>
              <w:jc w:val="center"/>
              <w:rPr>
                <w:rFonts w:ascii="Noto Sans" w:hAnsi="Noto Sans" w:eastAsia="Noto Sans" w:cs="Noto Sans"/>
                <w:b/>
                <w:color w:val="434343"/>
              </w:rPr>
            </w:pPr>
            <w:r>
              <w:rPr>
                <w:rFonts w:ascii="Noto Sans" w:hAnsi="Noto Sans" w:eastAsia="Noto Sans" w:cs="Noto Sans"/>
                <w:b/>
                <w:color w:val="434343"/>
              </w:rPr>
              <w:t xml:space="preserve"> </w:t>
            </w:r>
          </w:p>
        </w:tc>
      </w:tr>
      <w:tr w14:paraId="23672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78374D3">
            <w:pPr>
              <w:rPr>
                <w:rFonts w:ascii="Noto Sans" w:hAnsi="Noto Sans" w:eastAsia="Noto Sans" w:cs="Noto Sans"/>
                <w:b/>
                <w:color w:val="434343"/>
                <w:sz w:val="18"/>
                <w:szCs w:val="18"/>
              </w:rPr>
            </w:pPr>
            <w:r>
              <w:rPr>
                <w:rFonts w:ascii="Noto Sans" w:hAnsi="Noto Sans" w:eastAsia="Noto Sans" w:cs="Noto Sans"/>
                <w:b/>
                <w:color w:val="434343"/>
                <w:sz w:val="18"/>
                <w:szCs w:val="18"/>
              </w:rPr>
              <w:t>Cell materials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9259AF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2B7E20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77C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90"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80F7601">
            <w:pPr>
              <w:rPr>
                <w:rFonts w:ascii="Noto Sans" w:hAnsi="Noto Sans" w:eastAsia="Noto Sans" w:cs="Noto Sans"/>
                <w:color w:val="434343"/>
                <w:sz w:val="18"/>
                <w:szCs w:val="18"/>
              </w:rPr>
            </w:pPr>
            <w:r>
              <w:rPr>
                <w:rFonts w:ascii="Noto Sans" w:hAnsi="Noto Sans" w:eastAsia="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142EF030">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67C12386">
            <w:pPr>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7D69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5176349">
            <w:pPr>
              <w:rPr>
                <w:rFonts w:ascii="Noto Sans" w:hAnsi="Noto Sans" w:eastAsia="Noto Sans" w:cs="Noto Sans"/>
                <w:color w:val="434343"/>
                <w:sz w:val="18"/>
                <w:szCs w:val="18"/>
              </w:rPr>
            </w:pPr>
            <w:r>
              <w:rPr>
                <w:rFonts w:ascii="Noto Sans" w:hAnsi="Noto Sans" w:eastAsia="Noto Sans" w:cs="Noto Sans"/>
                <w:color w:val="434343"/>
                <w:sz w:val="18"/>
                <w:szCs w:val="18"/>
              </w:rPr>
              <w:t xml:space="preserve">Primary cultures: Provide species, strain, sex of origin, genetic modification status. </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6D488BB5">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132494B2">
            <w:pPr>
              <w:rPr>
                <w:rFonts w:ascii="Noto Sans" w:hAnsi="Noto Sans" w:eastAsia="Noto Sans" w:cs="Noto Sans"/>
                <w:bCs/>
                <w:color w:val="434343"/>
                <w:sz w:val="18"/>
                <w:szCs w:val="18"/>
              </w:rPr>
            </w:pPr>
            <w:r>
              <w:rPr>
                <w:rFonts w:hint="eastAsia" w:ascii="Noto Sans" w:hAnsi="Noto Sans" w:eastAsia="宋体" w:cs="Noto Sans"/>
                <w:bCs/>
                <w:color w:val="434343"/>
                <w:sz w:val="18"/>
                <w:szCs w:val="18"/>
                <w:lang w:val="en-US" w:eastAsia="zh-CN"/>
              </w:rPr>
              <w:t>N/A</w:t>
            </w:r>
          </w:p>
        </w:tc>
      </w:tr>
      <w:tr w14:paraId="6599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451250F5">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6AB8A689">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48D9C650">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4EB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20EF3A">
            <w:pPr>
              <w:rPr>
                <w:rFonts w:ascii="Noto Sans" w:hAnsi="Noto Sans" w:eastAsia="Noto Sans" w:cs="Noto Sans"/>
                <w:b/>
                <w:color w:val="434343"/>
                <w:sz w:val="18"/>
                <w:szCs w:val="18"/>
              </w:rPr>
            </w:pPr>
            <w:r>
              <w:rPr>
                <w:rFonts w:ascii="Noto Sans" w:hAnsi="Noto Sans" w:eastAsia="Noto Sans" w:cs="Noto Sans"/>
                <w:b/>
                <w:color w:val="434343"/>
                <w:sz w:val="18"/>
                <w:szCs w:val="18"/>
              </w:rPr>
              <w:t>Experimental animals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886771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9359DC">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E88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9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615F5D47">
            <w:pPr>
              <w:rPr>
                <w:rFonts w:ascii="Noto Sans" w:hAnsi="Noto Sans" w:eastAsia="Noto Sans" w:cs="Noto Sans"/>
                <w:color w:val="434343"/>
                <w:sz w:val="18"/>
                <w:szCs w:val="18"/>
              </w:rPr>
            </w:pPr>
            <w:r>
              <w:rPr>
                <w:rFonts w:ascii="Noto Sans" w:hAnsi="Noto Sans" w:eastAsia="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8A64E8">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24DD247">
            <w:pPr>
              <w:rPr>
                <w:rFonts w:ascii="Noto Sans" w:hAnsi="Noto Sans" w:eastAsia="Noto Sans" w:cs="Noto Sans"/>
                <w:bCs/>
                <w:color w:val="434343"/>
                <w:sz w:val="18"/>
                <w:szCs w:val="18"/>
              </w:rPr>
            </w:pPr>
            <w:r>
              <w:rPr>
                <w:rFonts w:hint="eastAsia" w:ascii="Noto Sans" w:hAnsi="Noto Sans" w:eastAsia="宋体" w:cs="Noto Sans"/>
                <w:bCs/>
                <w:color w:val="434343"/>
                <w:sz w:val="18"/>
                <w:szCs w:val="18"/>
                <w:lang w:val="en-US" w:eastAsia="zh-CN"/>
              </w:rPr>
              <w:t>N/A</w:t>
            </w:r>
          </w:p>
        </w:tc>
      </w:tr>
      <w:tr w14:paraId="6BA0C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6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E03BEAF">
            <w:pPr>
              <w:rPr>
                <w:rFonts w:ascii="Noto Sans" w:hAnsi="Noto Sans" w:eastAsia="Noto Sans" w:cs="Noto Sans"/>
                <w:color w:val="434343"/>
                <w:sz w:val="18"/>
                <w:szCs w:val="18"/>
              </w:rPr>
            </w:pPr>
            <w:r>
              <w:rPr>
                <w:rFonts w:ascii="Noto Sans" w:hAnsi="Noto Sans" w:eastAsia="Noto Sans" w:cs="Noto Sans"/>
                <w:color w:val="434343"/>
                <w:sz w:val="18"/>
                <w:szCs w:val="18"/>
              </w:rPr>
              <w:t>Animal observed in or captured from the field: Provide species, sex, and age where possible.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0B70808">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8BBE72F">
            <w:pPr>
              <w:rPr>
                <w:rFonts w:ascii="Noto Sans" w:hAnsi="Noto Sans" w:eastAsia="Noto Sans" w:cs="Noto Sans"/>
                <w:bCs/>
                <w:color w:val="434343"/>
                <w:sz w:val="18"/>
                <w:szCs w:val="18"/>
              </w:rPr>
            </w:pPr>
            <w:r>
              <w:rPr>
                <w:rFonts w:hint="eastAsia" w:ascii="Noto Sans" w:hAnsi="Noto Sans" w:eastAsia="宋体" w:cs="Noto Sans"/>
                <w:bCs/>
                <w:color w:val="434343"/>
                <w:sz w:val="18"/>
                <w:szCs w:val="18"/>
                <w:lang w:val="en-US" w:eastAsia="zh-CN"/>
              </w:rPr>
              <w:t>N/A</w:t>
            </w:r>
          </w:p>
        </w:tc>
      </w:tr>
      <w:tr w14:paraId="639E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12D0DBA2">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718686A1">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50E7B1D8">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885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29E02AF">
            <w:pPr>
              <w:rPr>
                <w:rFonts w:ascii="Noto Sans" w:hAnsi="Noto Sans" w:eastAsia="Noto Sans" w:cs="Noto Sans"/>
                <w:b/>
                <w:color w:val="434343"/>
                <w:sz w:val="18"/>
                <w:szCs w:val="18"/>
              </w:rPr>
            </w:pPr>
            <w:r>
              <w:rPr>
                <w:rFonts w:ascii="Noto Sans" w:hAnsi="Noto Sans" w:eastAsia="Noto Sans" w:cs="Noto Sans"/>
                <w:b/>
                <w:color w:val="434343"/>
                <w:sz w:val="18"/>
                <w:szCs w:val="18"/>
              </w:rPr>
              <w:t>Plants and microbes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2D9C2C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711FF8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48DA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EF291E1">
            <w:pPr>
              <w:spacing w:line="225" w:lineRule="auto"/>
              <w:rPr>
                <w:rFonts w:ascii="Noto Sans" w:hAnsi="Noto Sans" w:eastAsia="Noto Sans" w:cs="Noto Sans"/>
                <w:b/>
                <w:color w:val="434343"/>
                <w:sz w:val="18"/>
                <w:szCs w:val="18"/>
              </w:rPr>
            </w:pPr>
            <w:r>
              <w:rPr>
                <w:rFonts w:ascii="Noto Sans" w:hAnsi="Noto Sans" w:eastAsia="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D331D7">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32BDB6D">
            <w:pPr>
              <w:rPr>
                <w:rFonts w:ascii="Noto Sans" w:hAnsi="Noto Sans" w:eastAsia="Noto Sans" w:cs="Noto Sans"/>
                <w:bCs/>
                <w:color w:val="434343"/>
                <w:sz w:val="18"/>
                <w:szCs w:val="18"/>
              </w:rPr>
            </w:pPr>
            <w:r>
              <w:rPr>
                <w:rFonts w:hint="eastAsia" w:ascii="Noto Sans" w:hAnsi="Noto Sans" w:eastAsia="宋体" w:cs="Noto Sans"/>
                <w:bCs/>
                <w:color w:val="434343"/>
                <w:sz w:val="18"/>
                <w:szCs w:val="18"/>
                <w:lang w:val="en-US" w:eastAsia="zh-CN"/>
              </w:rPr>
              <w:t>N/A</w:t>
            </w:r>
          </w:p>
        </w:tc>
      </w:tr>
      <w:tr w14:paraId="5468C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4"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87FD206">
            <w:pPr>
              <w:rPr>
                <w:rFonts w:ascii="Noto Sans" w:hAnsi="Noto Sans" w:eastAsia="Noto Sans" w:cs="Noto Sans"/>
                <w:color w:val="434343"/>
                <w:sz w:val="18"/>
                <w:szCs w:val="18"/>
              </w:rPr>
            </w:pPr>
            <w:r>
              <w:rPr>
                <w:rFonts w:ascii="Noto Sans" w:hAnsi="Noto Sans" w:eastAsia="Noto Sans" w:cs="Noto Sans"/>
                <w:color w:val="434343"/>
                <w:sz w:val="18"/>
                <w:szCs w:val="18"/>
              </w:rPr>
              <w:t>Microbes: provide species and strain, unique accession number if available, and source.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A8ECCC">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D9125ED">
            <w:pPr>
              <w:rPr>
                <w:rFonts w:ascii="Noto Sans" w:hAnsi="Noto Sans" w:eastAsia="Noto Sans" w:cs="Noto Sans"/>
                <w:bCs/>
                <w:color w:val="434343"/>
                <w:sz w:val="18"/>
                <w:szCs w:val="18"/>
              </w:rPr>
            </w:pPr>
            <w:r>
              <w:rPr>
                <w:rFonts w:hint="eastAsia" w:ascii="Noto Sans" w:hAnsi="Noto Sans" w:eastAsia="宋体" w:cs="Noto Sans"/>
                <w:bCs/>
                <w:color w:val="434343"/>
                <w:sz w:val="18"/>
                <w:szCs w:val="18"/>
                <w:lang w:val="en-US" w:eastAsia="zh-CN"/>
              </w:rPr>
              <w:t>N/A</w:t>
            </w:r>
          </w:p>
        </w:tc>
      </w:tr>
      <w:tr w14:paraId="7D75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532B269E">
            <w:pPr>
              <w:spacing w:line="225" w:lineRule="auto"/>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397565DF">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67D1FA1F">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AC6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9841AC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Human research participants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C053490">
            <w:pPr>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or state if these demographics were not collected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EBE6F7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A22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1"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794538F">
            <w:pPr>
              <w:spacing w:line="225" w:lineRule="auto"/>
              <w:rPr>
                <w:rFonts w:ascii="Noto Sans" w:hAnsi="Noto Sans" w:eastAsia="Noto Sans" w:cs="Noto Sans"/>
                <w:color w:val="434343"/>
                <w:sz w:val="18"/>
                <w:szCs w:val="18"/>
              </w:rPr>
            </w:pPr>
            <w:r>
              <w:rPr>
                <w:rFonts w:ascii="Noto Sans" w:hAnsi="Noto Sans" w:eastAsia="Noto Sans" w:cs="Noto Sans"/>
                <w:color w:val="434343"/>
                <w:sz w:val="18"/>
                <w:szCs w:val="18"/>
              </w:rPr>
              <w:t>If collected and within the bounds of privacy constraints report on age,</w:t>
            </w:r>
            <w:r>
              <w:rPr>
                <w:rFonts w:ascii="Noto Sans" w:hAnsi="Noto Sans" w:eastAsia="Noto Sans" w:cs="Noto Sans"/>
                <w:color w:val="434343"/>
              </w:rPr>
              <w:t xml:space="preserve"> </w:t>
            </w:r>
            <w:r>
              <w:rPr>
                <w:rFonts w:ascii="Noto Sans" w:hAnsi="Noto Sans" w:eastAsia="Noto Sans" w:cs="Noto Sans"/>
                <w:color w:val="434343"/>
                <w:sz w:val="18"/>
                <w:szCs w:val="18"/>
              </w:rPr>
              <w:t>sex, gender and ethnicity for all study participants.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30BF1CDA">
            <w:pPr>
              <w:rPr>
                <w:rFonts w:hint="eastAsia" w:ascii="Noto Sans" w:hAnsi="Noto Sans" w:eastAsia="Noto Sans" w:cs="Noto Sans"/>
                <w:bCs/>
                <w:color w:val="434343"/>
                <w:sz w:val="18"/>
                <w:szCs w:val="18"/>
              </w:rPr>
            </w:pPr>
            <w:r>
              <w:rPr>
                <w:rFonts w:hint="eastAsia" w:ascii="Noto Sans" w:hAnsi="Noto Sans" w:eastAsia="Noto Sans" w:cs="Noto Sans"/>
                <w:bCs/>
                <w:color w:val="434343"/>
                <w:sz w:val="18"/>
                <w:szCs w:val="18"/>
              </w:rPr>
              <w:t>For HCP datasets (HCP-YA, HCP-D, HCP-A): Age and sex are reported in the Methods section (e.g., 1070 HCP-YA participants (586 females, ages 22-37, S1200 release)).</w:t>
            </w:r>
            <w:r>
              <w:rPr>
                <w:rFonts w:hint="eastAsia" w:ascii="Noto Sans" w:hAnsi="Noto Sans" w:eastAsia="宋体" w:cs="Noto Sans"/>
                <w:bCs/>
                <w:color w:val="434343"/>
                <w:sz w:val="18"/>
                <w:szCs w:val="18"/>
                <w:lang w:val="en-US" w:eastAsia="zh-CN"/>
              </w:rPr>
              <w:t xml:space="preserve"> </w:t>
            </w:r>
            <w:r>
              <w:rPr>
                <w:rFonts w:hint="eastAsia" w:ascii="Noto Sans" w:hAnsi="Noto Sans" w:eastAsia="Noto Sans" w:cs="Noto Sans"/>
                <w:bCs/>
                <w:color w:val="434343"/>
                <w:sz w:val="18"/>
                <w:szCs w:val="18"/>
              </w:rPr>
              <w:t xml:space="preserve">Ethnicity/race </w:t>
            </w:r>
            <w:r>
              <w:rPr>
                <w:rFonts w:hint="eastAsia" w:ascii="Noto Sans" w:hAnsi="Noto Sans" w:eastAsia="宋体" w:cs="Noto Sans"/>
                <w:bCs/>
                <w:color w:val="434343"/>
                <w:sz w:val="18"/>
                <w:szCs w:val="18"/>
                <w:lang w:val="en-US" w:eastAsia="zh-CN"/>
              </w:rPr>
              <w:t>are</w:t>
            </w:r>
            <w:r>
              <w:rPr>
                <w:rFonts w:hint="eastAsia" w:ascii="Noto Sans" w:hAnsi="Noto Sans" w:eastAsia="Noto Sans" w:cs="Noto Sans"/>
                <w:bCs/>
                <w:color w:val="434343"/>
                <w:sz w:val="18"/>
                <w:szCs w:val="18"/>
              </w:rPr>
              <w:t xml:space="preserve"> part of the HCP demographic metadata and are accessible via restricted data access, consistent with HCP's reporting standards; they are inherently covered by the study's use of these datasets.</w:t>
            </w:r>
          </w:p>
          <w:p w14:paraId="51218326">
            <w:pPr>
              <w:rPr>
                <w:rFonts w:hint="eastAsia" w:ascii="Noto Sans" w:hAnsi="Noto Sans" w:eastAsia="Noto Sans" w:cs="Noto Sans"/>
                <w:bCs/>
                <w:color w:val="434343"/>
                <w:sz w:val="18"/>
                <w:szCs w:val="18"/>
              </w:rPr>
            </w:pPr>
          </w:p>
          <w:p w14:paraId="2056814C">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For the in-house pRF experiment: 21 participants were scanned at Princeton University. Specific age/sex breakdown is not detailed in the manuscript text, but the study followed IRB protocol #13074, with informed consent obtained from all participants (see Methods: Ethical Compliance).</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1AB0D1D">
            <w:pPr>
              <w:rPr>
                <w:rFonts w:ascii="Noto Sans" w:hAnsi="Noto Sans" w:eastAsia="Noto Sans" w:cs="Noto Sans"/>
                <w:b/>
                <w:color w:val="434343"/>
                <w:sz w:val="18"/>
                <w:szCs w:val="18"/>
              </w:rPr>
            </w:pPr>
          </w:p>
        </w:tc>
      </w:tr>
    </w:tbl>
    <w:p w14:paraId="758A97A0">
      <w:pPr>
        <w:spacing w:before="80" w:line="227" w:lineRule="auto"/>
        <w:rPr>
          <w:rFonts w:ascii="Noto Sans" w:hAnsi="Noto Sans" w:eastAsia="Noto Sans" w:cs="Noto Sans"/>
          <w:b/>
          <w:color w:val="434343"/>
          <w:sz w:val="16"/>
          <w:szCs w:val="16"/>
          <w:u w:val="single"/>
        </w:rPr>
      </w:pPr>
    </w:p>
    <w:p w14:paraId="60E7D3C1">
      <w:pPr>
        <w:spacing w:before="80" w:line="227" w:lineRule="auto"/>
        <w:rPr>
          <w:rFonts w:ascii="Noto Sans" w:hAnsi="Noto Sans" w:eastAsia="Noto Sans" w:cs="Noto Sans"/>
          <w:b/>
          <w:color w:val="434343"/>
          <w:sz w:val="24"/>
          <w:szCs w:val="24"/>
        </w:rPr>
      </w:pPr>
      <w:bookmarkStart w:id="1" w:name="_ff5b8dustxkx" w:colFirst="0" w:colLast="0"/>
      <w:bookmarkEnd w:id="1"/>
      <w:r>
        <w:rPr>
          <w:rFonts w:ascii="Noto Sans" w:hAnsi="Noto Sans" w:eastAsia="Noto Sans" w:cs="Noto Sans"/>
          <w:b/>
          <w:color w:val="434343"/>
          <w:sz w:val="24"/>
          <w:szCs w:val="24"/>
        </w:rPr>
        <w:t>Design:</w:t>
      </w:r>
    </w:p>
    <w:p w14:paraId="38B36C0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5"/>
        <w:tblW w:w="96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95"/>
        <w:gridCol w:w="3105"/>
        <w:gridCol w:w="990"/>
      </w:tblGrid>
      <w:tr w14:paraId="449C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0"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451F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Study protocol</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E445C4">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5539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49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6"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C87E005">
            <w:pPr>
              <w:rPr>
                <w:rFonts w:ascii="Noto Sans" w:hAnsi="Noto Sans" w:eastAsia="Noto Sans" w:cs="Noto Sans"/>
                <w:color w:val="434343"/>
                <w:sz w:val="18"/>
                <w:szCs w:val="18"/>
              </w:rPr>
            </w:pPr>
            <w:r>
              <w:rPr>
                <w:rFonts w:ascii="Noto Sans" w:hAnsi="Noto Sans" w:eastAsia="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43A9EA38">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688B4E58">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6BDD2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7199D21C">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51E6AD8">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6AF59EE2">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74703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95C3EC">
            <w:pPr>
              <w:rPr>
                <w:rFonts w:ascii="Noto Sans" w:hAnsi="Noto Sans" w:eastAsia="Noto Sans" w:cs="Noto Sans"/>
                <w:b/>
                <w:color w:val="434343"/>
                <w:sz w:val="18"/>
                <w:szCs w:val="18"/>
              </w:rPr>
            </w:pPr>
            <w:r>
              <w:rPr>
                <w:rFonts w:ascii="Noto Sans" w:hAnsi="Noto Sans" w:eastAsia="Noto Sans" w:cs="Noto Sans"/>
                <w:b/>
                <w:color w:val="434343"/>
                <w:sz w:val="18"/>
                <w:szCs w:val="18"/>
              </w:rPr>
              <w:t>Laboratory protocol</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289ED0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30562903">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03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1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FE4C160">
            <w:pPr>
              <w:rPr>
                <w:rFonts w:ascii="Noto Sans" w:hAnsi="Noto Sans" w:eastAsia="Noto Sans" w:cs="Noto Sans"/>
                <w:b/>
                <w:color w:val="434343"/>
                <w:sz w:val="18"/>
                <w:szCs w:val="18"/>
              </w:rPr>
            </w:pPr>
            <w:r>
              <w:rPr>
                <w:rFonts w:ascii="Noto Sans" w:hAnsi="Noto Sans" w:eastAsia="Noto Sans" w:cs="Noto Sans"/>
                <w:color w:val="434343"/>
                <w:sz w:val="18"/>
                <w:szCs w:val="18"/>
              </w:rPr>
              <w:t>Provide DOI OR other citation details if detailed step-by-step protocols are available.</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5DB4854">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Detailed protocols are described in the Methods section; no external DOI for step-by-step protocols is cited.</w:t>
            </w: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5872B128">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2C68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6A394521">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21E007F">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4405C521">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61F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9690" w:type="dxa"/>
            <w:gridSpan w:val="3"/>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9E94C4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Experimental study design (statistics details) *</w:t>
            </w:r>
          </w:p>
        </w:tc>
      </w:tr>
      <w:tr w14:paraId="6394C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B697CBD">
            <w:pPr>
              <w:rPr>
                <w:rFonts w:ascii="Noto Sans" w:hAnsi="Noto Sans" w:eastAsia="Noto Sans" w:cs="Noto Sans"/>
                <w:b/>
                <w:color w:val="434343"/>
                <w:sz w:val="18"/>
                <w:szCs w:val="18"/>
              </w:rPr>
            </w:pPr>
            <w:r>
              <w:rPr>
                <w:rFonts w:ascii="Noto Sans" w:hAnsi="Noto Sans" w:eastAsia="Noto Sans" w:cs="Noto Sans"/>
                <w:b/>
                <w:color w:val="434343"/>
                <w:sz w:val="18"/>
                <w:szCs w:val="18"/>
              </w:rPr>
              <w:t>For in vivo studies: State whether and how the following have been done</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8E3227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If it could have been done, but was not, write “not done”</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CAE3E3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896D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49"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5E9D3A7C">
            <w:pPr>
              <w:rPr>
                <w:rFonts w:ascii="Noto Sans" w:hAnsi="Noto Sans" w:eastAsia="Noto Sans" w:cs="Noto Sans"/>
                <w:color w:val="434343"/>
                <w:sz w:val="18"/>
                <w:szCs w:val="18"/>
              </w:rPr>
            </w:pPr>
            <w:r>
              <w:rPr>
                <w:rFonts w:ascii="Noto Sans" w:hAnsi="Noto Sans" w:eastAsia="Noto Sans" w:cs="Noto Sans"/>
                <w:color w:val="434343"/>
                <w:sz w:val="18"/>
                <w:szCs w:val="18"/>
              </w:rPr>
              <w:t>Sample size determination</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0D998B6">
            <w:pPr>
              <w:spacing w:line="225" w:lineRule="auto"/>
              <w:rPr>
                <w:rFonts w:hint="eastAsia" w:ascii="Noto Sans" w:hAnsi="Noto Sans" w:eastAsia="Noto Sans" w:cs="Noto Sans"/>
                <w:bCs/>
                <w:color w:val="434343"/>
                <w:sz w:val="18"/>
                <w:szCs w:val="18"/>
              </w:rPr>
            </w:pPr>
            <w:r>
              <w:rPr>
                <w:rFonts w:hint="eastAsia" w:ascii="Noto Sans" w:hAnsi="Noto Sans" w:eastAsia="Noto Sans" w:cs="Noto Sans"/>
                <w:bCs/>
                <w:color w:val="434343"/>
                <w:sz w:val="18"/>
                <w:szCs w:val="18"/>
              </w:rPr>
              <w:t>Not done (secondary analysis of existing HCP datasets; no a priori sample-size/power calculation, all eligible participants included).</w:t>
            </w:r>
          </w:p>
          <w:p w14:paraId="604EB3A3">
            <w:pPr>
              <w:spacing w:line="225" w:lineRule="auto"/>
              <w:rPr>
                <w:rFonts w:hint="eastAsia" w:ascii="Noto Sans" w:hAnsi="Noto Sans" w:eastAsia="Noto Sans" w:cs="Noto Sans"/>
                <w:bCs/>
                <w:color w:val="434343"/>
                <w:sz w:val="18"/>
                <w:szCs w:val="18"/>
              </w:rPr>
            </w:pPr>
            <w:r>
              <w:rPr>
                <w:rFonts w:hint="eastAsia" w:ascii="Noto Sans" w:hAnsi="Noto Sans" w:eastAsia="Noto Sans" w:cs="Noto Sans"/>
                <w:bCs/>
                <w:color w:val="434343"/>
                <w:sz w:val="18"/>
                <w:szCs w:val="18"/>
              </w:rPr>
              <w:t>For the in-house pRF experiment, N=21 was determined by feasibility.</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6C46D03">
            <w:pPr>
              <w:spacing w:line="225" w:lineRule="auto"/>
              <w:rPr>
                <w:rFonts w:ascii="Noto Sans" w:hAnsi="Noto Sans" w:eastAsia="Noto Sans" w:cs="Noto Sans"/>
                <w:bCs/>
                <w:color w:val="434343"/>
                <w:sz w:val="18"/>
                <w:szCs w:val="18"/>
              </w:rPr>
            </w:pPr>
          </w:p>
        </w:tc>
      </w:tr>
      <w:tr w14:paraId="640B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61"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4F02B883">
            <w:pPr>
              <w:rPr>
                <w:rFonts w:ascii="Noto Sans" w:hAnsi="Noto Sans" w:eastAsia="Noto Sans" w:cs="Noto Sans"/>
                <w:color w:val="434343"/>
                <w:sz w:val="18"/>
                <w:szCs w:val="18"/>
              </w:rPr>
            </w:pPr>
            <w:r>
              <w:rPr>
                <w:rFonts w:ascii="Noto Sans" w:hAnsi="Noto Sans" w:eastAsia="Noto Sans" w:cs="Noto Sans"/>
                <w:color w:val="434343"/>
                <w:sz w:val="18"/>
                <w:szCs w:val="18"/>
              </w:rPr>
              <w:t>Randomisation</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366D6483">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Not applicable (observational design; no experimental groups to randomise).</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DB5D726">
            <w:pPr>
              <w:spacing w:line="225" w:lineRule="auto"/>
              <w:rPr>
                <w:rFonts w:hint="default" w:ascii="Noto Sans" w:hAnsi="Noto Sans" w:eastAsia="宋体" w:cs="Noto Sans"/>
                <w:b/>
                <w:color w:val="434343"/>
                <w:sz w:val="18"/>
                <w:szCs w:val="18"/>
                <w:lang w:val="en-US" w:eastAsia="zh-CN"/>
              </w:rPr>
            </w:pPr>
            <w:r>
              <w:rPr>
                <w:rFonts w:hint="eastAsia" w:ascii="Noto Sans" w:hAnsi="Noto Sans" w:eastAsia="宋体" w:cs="Noto Sans"/>
                <w:b w:val="0"/>
                <w:bCs/>
                <w:color w:val="434343"/>
                <w:sz w:val="18"/>
                <w:szCs w:val="18"/>
                <w:lang w:val="en-US" w:eastAsia="zh-CN"/>
              </w:rPr>
              <w:t>N/A</w:t>
            </w:r>
          </w:p>
        </w:tc>
      </w:tr>
      <w:tr w14:paraId="6EEA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73"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B1F3AFB">
            <w:pPr>
              <w:rPr>
                <w:rFonts w:ascii="Noto Sans" w:hAnsi="Noto Sans" w:eastAsia="Noto Sans" w:cs="Noto Sans"/>
                <w:color w:val="434343"/>
                <w:sz w:val="18"/>
                <w:szCs w:val="18"/>
              </w:rPr>
            </w:pPr>
            <w:r>
              <w:rPr>
                <w:rFonts w:ascii="Noto Sans" w:hAnsi="Noto Sans" w:eastAsia="Noto Sans" w:cs="Noto Sans"/>
                <w:color w:val="434343"/>
                <w:sz w:val="18"/>
                <w:szCs w:val="18"/>
              </w:rPr>
              <w:t>Blinding</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8267DA2">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Not applicable (observational analysis of existing data; no intervention).</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7AE9083">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0AB73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98"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C9CF9E6">
            <w:pPr>
              <w:rPr>
                <w:rFonts w:ascii="Noto Sans" w:hAnsi="Noto Sans" w:eastAsia="Noto Sans" w:cs="Noto Sans"/>
                <w:color w:val="434343"/>
                <w:sz w:val="18"/>
                <w:szCs w:val="18"/>
              </w:rPr>
            </w:pPr>
            <w:r>
              <w:rPr>
                <w:rFonts w:ascii="Noto Sans" w:hAnsi="Noto Sans" w:eastAsia="Noto Sans" w:cs="Noto Sans"/>
                <w:color w:val="434343"/>
                <w:sz w:val="18"/>
                <w:szCs w:val="18"/>
              </w:rPr>
              <w:t>Inclusion/exclusion criteria</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D2BB682">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Pre-established criteria are described in Methods: participants with invalid MSM‑All registration or without rs‑fMRI data were excluded from HCP data.</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1057DC8">
            <w:pPr>
              <w:spacing w:line="225" w:lineRule="auto"/>
              <w:rPr>
                <w:rFonts w:ascii="Noto Sans" w:hAnsi="Noto Sans" w:eastAsia="Noto Sans" w:cs="Noto Sans"/>
                <w:bCs/>
                <w:color w:val="434343"/>
                <w:sz w:val="18"/>
                <w:szCs w:val="18"/>
              </w:rPr>
            </w:pPr>
          </w:p>
        </w:tc>
      </w:tr>
      <w:tr w14:paraId="14D70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pPr>
              <w:rPr>
                <w:rFonts w:ascii="Noto Sans" w:hAnsi="Noto Sans" w:eastAsia="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A15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811F0CF">
            <w:pPr>
              <w:rPr>
                <w:rFonts w:ascii="Noto Sans" w:hAnsi="Noto Sans" w:eastAsia="Noto Sans" w:cs="Noto Sans"/>
                <w:b/>
                <w:color w:val="434343"/>
                <w:sz w:val="18"/>
                <w:szCs w:val="18"/>
              </w:rPr>
            </w:pPr>
            <w:r>
              <w:rPr>
                <w:rFonts w:ascii="Noto Sans" w:hAnsi="Noto Sans" w:eastAsia="Noto Sans" w:cs="Noto Sans"/>
                <w:b/>
                <w:color w:val="434343"/>
                <w:sz w:val="18"/>
                <w:szCs w:val="18"/>
              </w:rPr>
              <w:t>Sample definition and in-laboratory replication</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034FF51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D7B310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871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50"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5A9707A4">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State number of times the experiment was replicated in the laboratory</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F0CFE7C">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The study is a cross‑sectional analysis of large public datasets and one in-house pRF experiment. No repeated laboratory experiments were performed.</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08BC811">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36469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8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72DAEDFB">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Define whether data describe technical or biological replicates</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3E8B9FB">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Individual participants from HCP and the in-house pRF experiment are treated as biological replicates. Technical replicates are not separately defined.</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233BF82">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7376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shd w:val="clear" w:color="auto" w:fill="auto"/>
            <w:tcMar>
              <w:top w:w="100" w:type="dxa"/>
              <w:left w:w="100" w:type="dxa"/>
              <w:bottom w:w="100" w:type="dxa"/>
              <w:right w:w="100" w:type="dxa"/>
            </w:tcMar>
          </w:tcPr>
          <w:p w14:paraId="4C649728">
            <w:pPr>
              <w:rPr>
                <w:rFonts w:ascii="Noto Sans" w:hAnsi="Noto Sans" w:eastAsia="Noto Sans" w:cs="Noto Sans"/>
                <w:b/>
                <w:color w:val="434343"/>
                <w:sz w:val="16"/>
                <w:szCs w:val="16"/>
                <w:highlight w:val="white"/>
              </w:rPr>
            </w:pPr>
          </w:p>
        </w:tc>
        <w:tc>
          <w:tcPr>
            <w:tcW w:w="3105" w:type="dxa"/>
            <w:tcBorders>
              <w:top w:val="nil"/>
              <w:left w:val="nil"/>
              <w:bottom w:val="single" w:color="000000" w:sz="8" w:space="0"/>
              <w:right w:val="nil"/>
            </w:tcBorders>
            <w:shd w:val="clear" w:color="auto" w:fill="auto"/>
            <w:tcMar>
              <w:top w:w="100" w:type="dxa"/>
              <w:left w:w="100" w:type="dxa"/>
              <w:bottom w:w="100" w:type="dxa"/>
              <w:right w:w="100" w:type="dxa"/>
            </w:tcMar>
          </w:tcPr>
          <w:p w14:paraId="4A07BC70">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shd w:val="clear" w:color="auto" w:fill="auto"/>
            <w:tcMar>
              <w:top w:w="100" w:type="dxa"/>
              <w:left w:w="100" w:type="dxa"/>
              <w:bottom w:w="100" w:type="dxa"/>
              <w:right w:w="100" w:type="dxa"/>
            </w:tcMar>
          </w:tcPr>
          <w:p w14:paraId="25D4E58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27C0F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6D4DCFE">
            <w:pPr>
              <w:rPr>
                <w:rFonts w:ascii="Noto Sans" w:hAnsi="Noto Sans" w:eastAsia="Noto Sans" w:cs="Noto Sans"/>
                <w:b/>
                <w:color w:val="434343"/>
                <w:sz w:val="18"/>
                <w:szCs w:val="18"/>
              </w:rPr>
            </w:pPr>
            <w:r>
              <w:rPr>
                <w:rFonts w:ascii="Noto Sans" w:hAnsi="Noto Sans" w:eastAsia="Noto Sans" w:cs="Noto Sans"/>
                <w:b/>
                <w:color w:val="434343"/>
                <w:sz w:val="18"/>
                <w:szCs w:val="18"/>
              </w:rPr>
              <w:t>Ethics</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F2EC3F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021478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4D0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84"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1214119">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E3E7739">
            <w:pPr>
              <w:spacing w:line="225" w:lineRule="auto"/>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For HCP data analysis: </w:t>
            </w:r>
            <w:r>
              <w:rPr>
                <w:rFonts w:hint="eastAsia" w:ascii="Noto Sans" w:hAnsi="Noto Sans" w:eastAsia="Noto Sans" w:cs="Noto Sans"/>
                <w:b w:val="0"/>
                <w:bCs/>
                <w:color w:val="434343"/>
                <w:sz w:val="18"/>
                <w:szCs w:val="18"/>
              </w:rPr>
              <w:t>Approved by the Institutional Review Boards of Beijing Normal University (No. ICBIR_A_0111_001) and Princeton University (No. 13074).</w:t>
            </w:r>
          </w:p>
          <w:p w14:paraId="031412B0">
            <w:pPr>
              <w:spacing w:line="225" w:lineRule="auto"/>
              <w:rPr>
                <w:rFonts w:hint="eastAsia" w:ascii="Noto Sans" w:hAnsi="Noto Sans" w:eastAsia="Noto Sans" w:cs="Noto Sans"/>
                <w:b/>
                <w:color w:val="434343"/>
                <w:sz w:val="18"/>
                <w:szCs w:val="18"/>
              </w:rPr>
            </w:pPr>
          </w:p>
          <w:p w14:paraId="2684F099">
            <w:pPr>
              <w:spacing w:line="225" w:lineRule="auto"/>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For the in-house pRF data collection: </w:t>
            </w:r>
            <w:r>
              <w:rPr>
                <w:rFonts w:hint="eastAsia" w:ascii="Noto Sans" w:hAnsi="Noto Sans" w:eastAsia="Noto Sans" w:cs="Noto Sans"/>
                <w:b w:val="0"/>
                <w:bCs/>
                <w:color w:val="434343"/>
                <w:sz w:val="18"/>
                <w:szCs w:val="18"/>
              </w:rPr>
              <w:t>Approved by Princeton University IRB (protocol #13074). Informed consent was obtained.</w:t>
            </w:r>
          </w:p>
          <w:p w14:paraId="1378E609">
            <w:pPr>
              <w:spacing w:line="225" w:lineRule="auto"/>
              <w:rPr>
                <w:rFonts w:hint="eastAsia" w:ascii="Noto Sans" w:hAnsi="Noto Sans" w:eastAsia="Noto Sans" w:cs="Noto Sans"/>
                <w:b/>
                <w:color w:val="434343"/>
                <w:sz w:val="18"/>
                <w:szCs w:val="18"/>
              </w:rPr>
            </w:pPr>
          </w:p>
          <w:p w14:paraId="63CB3013">
            <w:pPr>
              <w:spacing w:line="225" w:lineRule="auto"/>
              <w:rPr>
                <w:rFonts w:ascii="Noto Sans" w:hAnsi="Noto Sans" w:eastAsia="Noto Sans" w:cs="Noto Sans"/>
                <w:b/>
                <w:color w:val="434343"/>
                <w:sz w:val="18"/>
                <w:szCs w:val="18"/>
              </w:rPr>
            </w:pPr>
            <w:r>
              <w:rPr>
                <w:rFonts w:hint="eastAsia" w:ascii="Noto Sans" w:hAnsi="Noto Sans" w:eastAsia="Noto Sans" w:cs="Noto Sans"/>
                <w:b w:val="0"/>
                <w:bCs/>
                <w:color w:val="434343"/>
                <w:sz w:val="18"/>
                <w:szCs w:val="18"/>
              </w:rPr>
              <w:t>All details are in the Methods</w:t>
            </w:r>
            <w:r>
              <w:rPr>
                <w:rFonts w:hint="eastAsia" w:ascii="Noto Sans" w:hAnsi="Noto Sans" w:eastAsia="宋体" w:cs="Noto Sans"/>
                <w:b w:val="0"/>
                <w:bCs/>
                <w:color w:val="434343"/>
                <w:sz w:val="18"/>
                <w:szCs w:val="18"/>
                <w:lang w:val="en-US" w:eastAsia="zh-CN"/>
              </w:rPr>
              <w:t xml:space="preserve"> and </w:t>
            </w:r>
            <w:r>
              <w:rPr>
                <w:rFonts w:hint="eastAsia" w:ascii="Noto Sans" w:hAnsi="Noto Sans" w:eastAsia="Noto Sans" w:cs="Noto Sans"/>
                <w:b w:val="0"/>
                <w:bCs/>
                <w:color w:val="434343"/>
                <w:sz w:val="18"/>
                <w:szCs w:val="18"/>
              </w:rPr>
              <w:t>Ethical Compliance section</w:t>
            </w:r>
            <w:r>
              <w:rPr>
                <w:rFonts w:hint="eastAsia" w:ascii="Noto Sans" w:hAnsi="Noto Sans" w:eastAsia="宋体" w:cs="Noto Sans"/>
                <w:b w:val="0"/>
                <w:bCs/>
                <w:color w:val="434343"/>
                <w:sz w:val="18"/>
                <w:szCs w:val="18"/>
                <w:lang w:val="en-US" w:eastAsia="zh-CN"/>
              </w:rPr>
              <w:t>s</w:t>
            </w:r>
            <w:r>
              <w:rPr>
                <w:rFonts w:hint="eastAsia" w:ascii="Noto Sans" w:hAnsi="Noto Sans" w:eastAsia="Noto Sans" w:cs="Noto Sans"/>
                <w:b w:val="0"/>
                <w:bCs/>
                <w:color w:val="434343"/>
                <w:sz w:val="18"/>
                <w:szCs w:val="18"/>
              </w:rPr>
              <w:t>.</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05003A7F">
            <w:pPr>
              <w:spacing w:line="225" w:lineRule="auto"/>
              <w:rPr>
                <w:rFonts w:ascii="Noto Sans" w:hAnsi="Noto Sans" w:eastAsia="Noto Sans" w:cs="Noto Sans"/>
                <w:bCs/>
                <w:color w:val="434343"/>
                <w:sz w:val="18"/>
                <w:szCs w:val="18"/>
              </w:rPr>
            </w:pPr>
          </w:p>
        </w:tc>
      </w:tr>
      <w:tr w14:paraId="76515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7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B893966">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A6BA9BD">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F5B8D86">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5D62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89"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9115E3F">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A59584D">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09D4B66">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79A7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shd w:val="clear" w:color="auto" w:fill="auto"/>
            <w:tcMar>
              <w:top w:w="100" w:type="dxa"/>
              <w:left w:w="100" w:type="dxa"/>
              <w:bottom w:w="100" w:type="dxa"/>
              <w:right w:w="100" w:type="dxa"/>
            </w:tcMar>
          </w:tcPr>
          <w:p w14:paraId="281D9D35">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shd w:val="clear" w:color="auto" w:fill="auto"/>
            <w:tcMar>
              <w:top w:w="100" w:type="dxa"/>
              <w:left w:w="100" w:type="dxa"/>
              <w:bottom w:w="100" w:type="dxa"/>
              <w:right w:w="100" w:type="dxa"/>
            </w:tcMar>
          </w:tcPr>
          <w:p w14:paraId="1324CA21">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shd w:val="clear" w:color="auto" w:fill="auto"/>
            <w:tcMar>
              <w:top w:w="100" w:type="dxa"/>
              <w:left w:w="100" w:type="dxa"/>
              <w:bottom w:w="100" w:type="dxa"/>
              <w:right w:w="100" w:type="dxa"/>
            </w:tcMar>
          </w:tcPr>
          <w:p w14:paraId="056B1F98">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3B5D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4BA751A">
            <w:pPr>
              <w:rPr>
                <w:rFonts w:ascii="Noto Sans" w:hAnsi="Noto Sans" w:eastAsia="Noto Sans" w:cs="Noto Sans"/>
                <w:b/>
                <w:color w:val="434343"/>
                <w:sz w:val="18"/>
                <w:szCs w:val="18"/>
              </w:rPr>
            </w:pPr>
            <w:r>
              <w:rPr>
                <w:rFonts w:ascii="Noto Sans" w:hAnsi="Noto Sans" w:eastAsia="Noto Sans" w:cs="Noto Sans"/>
                <w:b/>
                <w:color w:val="434343"/>
                <w:sz w:val="18"/>
                <w:szCs w:val="18"/>
              </w:rPr>
              <w:t>Dual Use Research of Concern (DURC)</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02B3A4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5680C8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CFA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196348C">
            <w:pPr>
              <w:rPr>
                <w:rFonts w:ascii="Noto Sans" w:hAnsi="Noto Sans" w:eastAsia="Noto Sans" w:cs="Noto Sans"/>
                <w:color w:val="434343"/>
                <w:sz w:val="18"/>
                <w:szCs w:val="18"/>
              </w:rPr>
            </w:pPr>
            <w:r>
              <w:rPr>
                <w:rFonts w:ascii="Noto Sans" w:hAnsi="Noto Sans" w:eastAsia="Noto Sans" w:cs="Noto Sans"/>
                <w:color w:val="434343"/>
                <w:sz w:val="18"/>
                <w:szCs w:val="18"/>
              </w:rPr>
              <w:t>If</w:t>
            </w:r>
            <w:r>
              <w:rPr>
                <w:rFonts w:ascii="Noto Sans" w:hAnsi="Noto Sans" w:eastAsia="Noto Sans" w:cs="Noto Sans"/>
                <w:color w:val="434343"/>
                <w:sz w:val="18"/>
                <w:szCs w:val="18"/>
                <w:highlight w:val="white"/>
              </w:rPr>
              <w:t xml:space="preserve"> study is subject to dual use research of</w:t>
            </w:r>
            <w:r>
              <w:rPr>
                <w:rFonts w:ascii="Noto Sans" w:hAnsi="Noto Sans" w:eastAsia="Noto Sans" w:cs="Noto Sans"/>
                <w:color w:val="434343"/>
                <w:sz w:val="20"/>
                <w:szCs w:val="20"/>
                <w:highlight w:val="white"/>
              </w:rPr>
              <w:t xml:space="preserve"> </w:t>
            </w:r>
            <w:r>
              <w:rPr>
                <w:rFonts w:ascii="Noto Sans" w:hAnsi="Noto Sans" w:eastAsia="Noto Sans" w:cs="Noto Sans"/>
                <w:color w:val="434343"/>
                <w:sz w:val="18"/>
                <w:szCs w:val="18"/>
                <w:highlight w:val="white"/>
              </w:rPr>
              <w:t xml:space="preserve">concern regulations, state </w:t>
            </w:r>
            <w:r>
              <w:rPr>
                <w:rFonts w:ascii="Noto Sans" w:hAnsi="Noto Sans" w:eastAsia="Noto Sans" w:cs="Noto Sans"/>
                <w:color w:val="434343"/>
                <w:sz w:val="18"/>
                <w:szCs w:val="18"/>
              </w:rPr>
              <w:t>the authority granting approval and reference number for the regulatory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A6AAF8E">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9DDCC7B">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bl>
    <w:p w14:paraId="57B9765C">
      <w:pPr>
        <w:spacing w:line="227" w:lineRule="auto"/>
        <w:rPr>
          <w:rFonts w:ascii="Noto Sans" w:hAnsi="Noto Sans" w:eastAsia="Noto Sans" w:cs="Noto Sans"/>
          <w:b/>
          <w:color w:val="434343"/>
          <w:sz w:val="18"/>
          <w:szCs w:val="18"/>
        </w:rPr>
      </w:pPr>
    </w:p>
    <w:p w14:paraId="00FE7AF9">
      <w:pPr>
        <w:spacing w:before="60" w:line="227" w:lineRule="auto"/>
        <w:rPr>
          <w:rFonts w:ascii="Noto Sans" w:hAnsi="Noto Sans" w:eastAsia="Noto Sans" w:cs="Noto Sans"/>
          <w:b/>
          <w:color w:val="434343"/>
          <w:sz w:val="24"/>
          <w:szCs w:val="24"/>
        </w:rPr>
      </w:pPr>
      <w:r>
        <w:rPr>
          <w:rFonts w:ascii="Noto Sans" w:hAnsi="Noto Sans" w:eastAsia="Noto Sans" w:cs="Noto Sans"/>
          <w:b/>
          <w:color w:val="434343"/>
          <w:sz w:val="24"/>
          <w:szCs w:val="24"/>
        </w:rPr>
        <w:t>Analysis:</w:t>
      </w:r>
    </w:p>
    <w:p w14:paraId="3DC043E0">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6"/>
        <w:tblW w:w="97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65"/>
        <w:gridCol w:w="3165"/>
        <w:gridCol w:w="975"/>
      </w:tblGrid>
      <w:tr w14:paraId="34F82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3F8C2A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Attrition</w:t>
            </w:r>
          </w:p>
        </w:tc>
        <w:tc>
          <w:tcPr>
            <w:tcW w:w="316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950D45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CEEEC9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D8BF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6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F4FF9D7">
            <w:pPr>
              <w:rPr>
                <w:rFonts w:ascii="Noto Sans" w:hAnsi="Noto Sans" w:eastAsia="Noto Sans" w:cs="Noto Sans"/>
                <w:color w:val="434343"/>
                <w:sz w:val="18"/>
                <w:szCs w:val="18"/>
              </w:rPr>
            </w:pPr>
            <w:r>
              <w:rPr>
                <w:rFonts w:ascii="Noto Sans" w:hAnsi="Noto Sans" w:eastAsia="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A306ED2">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Pre‑established exclusion criteria are described in Methods: participants with invalid MSM‑All registration or without rs‑fMRI data were excluded from the HCP samples. For the pRF analysis, vertices with &lt;10% variance explained were excluded</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F182D3B">
            <w:pPr>
              <w:spacing w:line="225" w:lineRule="auto"/>
              <w:rPr>
                <w:rFonts w:ascii="Noto Sans" w:hAnsi="Noto Sans" w:eastAsia="Noto Sans" w:cs="Noto Sans"/>
                <w:bCs/>
                <w:color w:val="434343"/>
                <w:sz w:val="18"/>
                <w:szCs w:val="18"/>
              </w:rPr>
            </w:pPr>
          </w:p>
        </w:tc>
      </w:tr>
      <w:tr w14:paraId="3864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7E060D08">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492EF39A">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294432FD">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84C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0FB77651">
            <w:pPr>
              <w:rPr>
                <w:rFonts w:ascii="Noto Sans" w:hAnsi="Noto Sans" w:eastAsia="Noto Sans" w:cs="Noto Sans"/>
                <w:b/>
                <w:color w:val="434343"/>
                <w:sz w:val="18"/>
                <w:szCs w:val="18"/>
              </w:rPr>
            </w:pPr>
            <w:r>
              <w:rPr>
                <w:rFonts w:ascii="Noto Sans" w:hAnsi="Noto Sans" w:eastAsia="Noto Sans" w:cs="Noto Sans"/>
                <w:b/>
                <w:color w:val="434343"/>
                <w:sz w:val="18"/>
                <w:szCs w:val="18"/>
              </w:rPr>
              <w:t>Statistics</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C42C6A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8CC14F0">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A23E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19"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CDA7C52">
            <w:pPr>
              <w:rPr>
                <w:rFonts w:ascii="Noto Sans" w:hAnsi="Noto Sans" w:eastAsia="Noto Sans" w:cs="Noto Sans"/>
                <w:b/>
                <w:color w:val="434343"/>
                <w:sz w:val="18"/>
                <w:szCs w:val="18"/>
              </w:rPr>
            </w:pPr>
            <w:r>
              <w:rPr>
                <w:rFonts w:ascii="Noto Sans" w:hAnsi="Noto Sans" w:eastAsia="Noto Sans" w:cs="Noto Sans"/>
                <w:color w:val="434343"/>
                <w:sz w:val="18"/>
                <w:szCs w:val="18"/>
              </w:rPr>
              <w:t>Describe statistical tests used and justify choice of tests.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4E0127B">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Statistical methods (PCA, CCA, linear regression, t-</w:t>
            </w:r>
            <w:bookmarkStart w:id="4" w:name="_GoBack"/>
            <w:bookmarkEnd w:id="4"/>
            <w:r>
              <w:rPr>
                <w:rFonts w:hint="eastAsia" w:ascii="Noto Sans" w:hAnsi="Noto Sans" w:eastAsia="Noto Sans" w:cs="Noto Sans"/>
                <w:bCs/>
                <w:color w:val="434343"/>
                <w:sz w:val="18"/>
                <w:szCs w:val="18"/>
              </w:rPr>
              <w:t>tests, logistic regression classifiers) are described in detail in the Methods section. Justifications are provided where relevant (e.g., PCA for dimensionality reduction, CCA for multivariate association).</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3331D778">
            <w:pPr>
              <w:spacing w:line="225" w:lineRule="auto"/>
              <w:rPr>
                <w:rFonts w:ascii="Noto Sans" w:hAnsi="Noto Sans" w:eastAsia="Noto Sans" w:cs="Noto Sans"/>
                <w:bCs/>
                <w:color w:val="434343"/>
                <w:sz w:val="18"/>
                <w:szCs w:val="18"/>
              </w:rPr>
            </w:pPr>
          </w:p>
        </w:tc>
      </w:tr>
      <w:tr w14:paraId="208D4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6E8112DE">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68BDB599">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50EC9E9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82AE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6641D54E">
            <w:pPr>
              <w:rPr>
                <w:rFonts w:ascii="Noto Sans" w:hAnsi="Noto Sans" w:eastAsia="Noto Sans" w:cs="Noto Sans"/>
                <w:b/>
                <w:color w:val="434343"/>
                <w:sz w:val="18"/>
                <w:szCs w:val="18"/>
              </w:rPr>
            </w:pPr>
            <w:r>
              <w:rPr>
                <w:rFonts w:ascii="Noto Sans" w:hAnsi="Noto Sans" w:eastAsia="Noto Sans" w:cs="Noto Sans"/>
                <w:b/>
                <w:color w:val="434343"/>
                <w:sz w:val="18"/>
                <w:szCs w:val="18"/>
              </w:rPr>
              <w:t>Data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6A101B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CC281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52659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29"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1DE4884">
            <w:pPr>
              <w:rPr>
                <w:rFonts w:ascii="Noto Sans" w:hAnsi="Noto Sans" w:eastAsia="Noto Sans" w:cs="Noto Sans"/>
                <w:color w:val="434343"/>
                <w:sz w:val="18"/>
                <w:szCs w:val="18"/>
              </w:rPr>
            </w:pPr>
            <w:r>
              <w:rPr>
                <w:rFonts w:ascii="Noto Sans" w:hAnsi="Noto Sans" w:eastAsia="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790A381">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Yes, a dedicated "Data availability" section is provided.</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2DD6482">
            <w:pPr>
              <w:spacing w:line="225" w:lineRule="auto"/>
              <w:rPr>
                <w:rFonts w:ascii="Noto Sans" w:hAnsi="Noto Sans" w:eastAsia="Noto Sans" w:cs="Noto Sans"/>
                <w:bCs/>
                <w:color w:val="434343"/>
                <w:sz w:val="18"/>
                <w:szCs w:val="18"/>
              </w:rPr>
            </w:pPr>
          </w:p>
        </w:tc>
      </w:tr>
      <w:tr w14:paraId="2BD9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1E172540">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8FCD14D">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The in-house pRF dataset (raw neuroimaging data from 21 participants) is not deposited in a public repository and is therefore not publicly available.</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5F67B00">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r w14:paraId="1944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06"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4DF4305F">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BF0859A">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Noto Sans" w:cs="Noto Sans"/>
                <w:bCs/>
                <w:color w:val="434343"/>
                <w:sz w:val="18"/>
                <w:szCs w:val="18"/>
              </w:rPr>
              <w:t>Section “Data Availability”: HCP-YA (humanconnectome.org)</w:t>
            </w:r>
            <w:r>
              <w:rPr>
                <w:rFonts w:hint="eastAsia" w:ascii="Noto Sans" w:hAnsi="Noto Sans" w:eastAsia="宋体" w:cs="Noto Sans"/>
                <w:bCs/>
                <w:color w:val="434343"/>
                <w:sz w:val="18"/>
                <w:szCs w:val="18"/>
                <w:lang w:val="en-US" w:eastAsia="zh-CN"/>
              </w:rPr>
              <w:t>,</w:t>
            </w:r>
            <w:r>
              <w:rPr>
                <w:rFonts w:hint="eastAsia" w:ascii="Noto Sans" w:hAnsi="Noto Sans" w:eastAsia="Noto Sans" w:cs="Noto Sans"/>
                <w:bCs/>
                <w:color w:val="434343"/>
                <w:sz w:val="18"/>
                <w:szCs w:val="18"/>
              </w:rPr>
              <w:t xml:space="preserve"> HCP-D and HCP-A (nda.nih.gov)</w:t>
            </w:r>
            <w:r>
              <w:rPr>
                <w:rFonts w:hint="eastAsia" w:ascii="Noto Sans" w:hAnsi="Noto Sans" w:eastAsia="宋体" w:cs="Noto Sans"/>
                <w:bCs/>
                <w:color w:val="434343"/>
                <w:sz w:val="18"/>
                <w:szCs w:val="18"/>
                <w:lang w:val="en-US" w:eastAsia="zh-CN"/>
              </w:rPr>
              <w:t xml:space="preserve"> </w:t>
            </w:r>
            <w:r>
              <w:rPr>
                <w:rFonts w:hint="eastAsia" w:ascii="Noto Sans" w:hAnsi="Noto Sans" w:eastAsia="Noto Sans" w:cs="Noto Sans"/>
                <w:bCs/>
                <w:color w:val="434343"/>
                <w:sz w:val="18"/>
                <w:szCs w:val="18"/>
              </w:rPr>
              <w:t>,</w:t>
            </w:r>
            <w:r>
              <w:rPr>
                <w:rFonts w:hint="eastAsia" w:ascii="Noto Sans" w:hAnsi="Noto Sans" w:eastAsia="宋体" w:cs="Noto Sans"/>
                <w:bCs/>
                <w:color w:val="434343"/>
                <w:sz w:val="18"/>
                <w:szCs w:val="18"/>
                <w:lang w:val="en-US" w:eastAsia="zh-CN"/>
              </w:rPr>
              <w:t xml:space="preserve"> </w:t>
            </w:r>
            <w:r>
              <w:rPr>
                <w:rFonts w:hint="eastAsia" w:ascii="Noto Sans" w:hAnsi="Noto Sans" w:eastAsia="Noto Sans" w:cs="Noto Sans"/>
                <w:bCs/>
                <w:color w:val="434343"/>
                <w:sz w:val="18"/>
                <w:szCs w:val="18"/>
              </w:rPr>
              <w:t>with registration required; BigBrain data described in Methods</w:t>
            </w:r>
            <w:r>
              <w:rPr>
                <w:rFonts w:hint="eastAsia" w:ascii="Noto Sans" w:hAnsi="Noto Sans" w:eastAsia="宋体" w:cs="Noto Sans"/>
                <w:bCs/>
                <w:color w:val="434343"/>
                <w:sz w:val="18"/>
                <w:szCs w:val="18"/>
                <w:lang w:val="en-US" w:eastAsia="zh-CN"/>
              </w:rPr>
              <w:t>; Citations are provided.</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5423DA9">
            <w:pPr>
              <w:spacing w:line="225" w:lineRule="auto"/>
              <w:rPr>
                <w:rFonts w:ascii="Noto Sans" w:hAnsi="Noto Sans" w:eastAsia="Noto Sans" w:cs="Noto Sans"/>
                <w:bCs/>
                <w:color w:val="434343"/>
                <w:sz w:val="18"/>
                <w:szCs w:val="18"/>
              </w:rPr>
            </w:pPr>
          </w:p>
        </w:tc>
      </w:tr>
      <w:tr w14:paraId="196E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6E090954">
            <w:pPr>
              <w:rPr>
                <w:rFonts w:ascii="Noto Sans" w:hAnsi="Noto Sans" w:eastAsia="Noto Sans" w:cs="Noto Sans"/>
                <w:b/>
                <w:color w:val="434343"/>
                <w:sz w:val="16"/>
                <w:szCs w:val="16"/>
                <w:highlight w:val="white"/>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6BB7CA7B">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04DFD157">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447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44CD8152">
            <w:pPr>
              <w:rPr>
                <w:rFonts w:ascii="Noto Sans" w:hAnsi="Noto Sans" w:eastAsia="Noto Sans" w:cs="Noto Sans"/>
                <w:b/>
                <w:color w:val="434343"/>
                <w:sz w:val="18"/>
                <w:szCs w:val="18"/>
              </w:rPr>
            </w:pPr>
            <w:r>
              <w:rPr>
                <w:rFonts w:ascii="Noto Sans" w:hAnsi="Noto Sans" w:eastAsia="Noto Sans" w:cs="Noto Sans"/>
                <w:b/>
                <w:color w:val="434343"/>
                <w:sz w:val="18"/>
                <w:szCs w:val="18"/>
              </w:rPr>
              <w:t>Code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AE6F325">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290A897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1F2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341"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1438A240">
            <w:pPr>
              <w:rPr>
                <w:rFonts w:ascii="Noto Sans" w:hAnsi="Noto Sans" w:eastAsia="Noto Sans" w:cs="Noto Sans"/>
                <w:color w:val="434343"/>
                <w:sz w:val="18"/>
                <w:szCs w:val="18"/>
              </w:rPr>
            </w:pPr>
            <w:r>
              <w:rPr>
                <w:rFonts w:ascii="Noto Sans" w:hAnsi="Noto Sans" w:eastAsia="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BB52AB8">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Code Availability statement (section “Code Availability”).</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034BAE5">
            <w:pPr>
              <w:spacing w:line="225" w:lineRule="auto"/>
              <w:rPr>
                <w:rFonts w:ascii="Noto Sans" w:hAnsi="Noto Sans" w:eastAsia="Noto Sans" w:cs="Noto Sans"/>
                <w:bCs/>
                <w:color w:val="434343"/>
                <w:sz w:val="18"/>
                <w:szCs w:val="18"/>
              </w:rPr>
            </w:pPr>
          </w:p>
        </w:tc>
      </w:tr>
      <w:tr w14:paraId="1178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8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A8F5375">
            <w:pPr>
              <w:rPr>
                <w:rFonts w:ascii="Noto Sans" w:hAnsi="Noto Sans" w:eastAsia="Noto Sans" w:cs="Noto Sans"/>
                <w:color w:val="434343"/>
                <w:sz w:val="18"/>
                <w:szCs w:val="18"/>
              </w:rPr>
            </w:pPr>
            <w:r>
              <w:rPr>
                <w:rFonts w:ascii="Noto Sans" w:hAnsi="Noto Sans" w:eastAsia="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7816E11">
            <w:pPr>
              <w:spacing w:line="225" w:lineRule="auto"/>
              <w:rPr>
                <w:rFonts w:hint="default" w:ascii="Noto Sans" w:hAnsi="Noto Sans" w:eastAsia="宋体" w:cs="Noto Sans"/>
                <w:bCs/>
                <w:color w:val="434343"/>
                <w:lang w:val="en-US" w:eastAsia="zh-CN"/>
              </w:rPr>
            </w:pPr>
            <w:r>
              <w:rPr>
                <w:rFonts w:hint="eastAsia" w:ascii="Noto Sans" w:hAnsi="Noto Sans" w:eastAsia="Noto Sans" w:cs="Noto Sans"/>
                <w:bCs/>
                <w:color w:val="434343"/>
                <w:sz w:val="18"/>
                <w:szCs w:val="18"/>
              </w:rPr>
              <w:t>Custom code for gradient analysis can be found at https://github.com/BNUCNL/VisualCortexGradient. Code to reproduce population receptive field mapping figures can be found at: https://github.com/gomezj/entorhinal_prf</w:t>
            </w:r>
            <w:r>
              <w:rPr>
                <w:rFonts w:hint="eastAsia" w:ascii="Noto Sans" w:hAnsi="Noto Sans" w:eastAsia="宋体" w:cs="Noto Sans"/>
                <w:bCs/>
                <w:color w:val="434343"/>
                <w:sz w:val="18"/>
                <w:szCs w:val="18"/>
                <w:lang w:val="en-US" w:eastAsia="zh-CN"/>
              </w:rPr>
              <w:t>.</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B6875B8">
            <w:pPr>
              <w:spacing w:line="225" w:lineRule="auto"/>
              <w:rPr>
                <w:rFonts w:ascii="Noto Sans" w:hAnsi="Noto Sans" w:eastAsia="Noto Sans" w:cs="Noto Sans"/>
                <w:bCs/>
                <w:color w:val="434343"/>
                <w:sz w:val="18"/>
                <w:szCs w:val="18"/>
              </w:rPr>
            </w:pPr>
          </w:p>
        </w:tc>
      </w:tr>
      <w:tr w14:paraId="7047B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6207A083">
            <w:pPr>
              <w:rPr>
                <w:rFonts w:ascii="Noto Sans" w:hAnsi="Noto Sans" w:eastAsia="Noto Sans" w:cs="Noto Sans"/>
                <w:color w:val="434343"/>
                <w:sz w:val="18"/>
                <w:szCs w:val="18"/>
                <w:highlight w:val="white"/>
              </w:rPr>
            </w:pPr>
            <w:r>
              <w:rPr>
                <w:rFonts w:ascii="Noto Sans" w:hAnsi="Noto Sans" w:eastAsia="Noto Sans" w:cs="Noto Sans"/>
                <w:color w:val="434343"/>
                <w:sz w:val="18"/>
                <w:szCs w:val="18"/>
              </w:rPr>
              <w:t xml:space="preserve">If reused code is </w:t>
            </w:r>
            <w:r>
              <w:rPr>
                <w:rFonts w:ascii="Noto Sans" w:hAnsi="Noto Sans" w:eastAsia="Noto Sans" w:cs="Noto Sans"/>
                <w:color w:val="434343"/>
                <w:sz w:val="18"/>
                <w:szCs w:val="18"/>
                <w:highlight w:val="white"/>
              </w:rPr>
              <w:t>publicly available provide accession number in repository OR DOI OR URL, OR citation.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9A59D3A">
            <w:pPr>
              <w:spacing w:line="225" w:lineRule="auto"/>
              <w:rPr>
                <w:rFonts w:hint="eastAsia"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Methods section: the VISTA Lab toolbox (github.com/vistalab) and compressive nonlinearity (cvnlab.net/analyzePRF)</w:t>
            </w:r>
          </w:p>
          <w:p w14:paraId="768203BF">
            <w:pPr>
              <w:spacing w:line="225" w:lineRule="auto"/>
              <w:rPr>
                <w:rFonts w:hint="default" w:ascii="Noto Sans" w:hAnsi="Noto Sans" w:eastAsia="宋体" w:cs="Noto Sans"/>
                <w:bCs/>
                <w:color w:val="434343"/>
                <w:sz w:val="18"/>
                <w:szCs w:val="18"/>
                <w:lang w:val="en-US" w:eastAsia="zh-CN"/>
              </w:rPr>
            </w:pPr>
            <w:r>
              <w:rPr>
                <w:rFonts w:hint="default" w:ascii="Noto Sans" w:hAnsi="Noto Sans" w:eastAsia="宋体" w:cs="Noto Sans"/>
                <w:bCs/>
                <w:color w:val="434343"/>
                <w:sz w:val="18"/>
                <w:szCs w:val="18"/>
                <w:lang w:val="en-US" w:eastAsia="zh-CN"/>
              </w:rPr>
              <w:t>Code Availability</w:t>
            </w:r>
            <w:r>
              <w:rPr>
                <w:rFonts w:hint="eastAsia" w:ascii="Noto Sans" w:hAnsi="Noto Sans" w:eastAsia="宋体" w:cs="Noto Sans"/>
                <w:bCs/>
                <w:color w:val="434343"/>
                <w:sz w:val="18"/>
                <w:szCs w:val="18"/>
                <w:lang w:val="en-US" w:eastAsia="zh-CN"/>
              </w:rPr>
              <w:t>: The HCP data were preprocessed using the HCP-Pipeline analyses (https://github.com/Washington-University/HCPpipelines)</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18D9987">
            <w:pPr>
              <w:spacing w:line="225" w:lineRule="auto"/>
              <w:rPr>
                <w:rFonts w:ascii="Noto Sans" w:hAnsi="Noto Sans" w:eastAsia="Noto Sans" w:cs="Noto Sans"/>
                <w:bCs/>
                <w:color w:val="434343"/>
                <w:sz w:val="18"/>
                <w:szCs w:val="18"/>
              </w:rPr>
            </w:pPr>
          </w:p>
        </w:tc>
      </w:tr>
    </w:tbl>
    <w:p w14:paraId="0AA8B99E">
      <w:pPr>
        <w:spacing w:before="60" w:line="227" w:lineRule="auto"/>
        <w:rPr>
          <w:rFonts w:ascii="Noto Sans" w:hAnsi="Noto Sans" w:eastAsia="Noto Sans" w:cs="Noto Sans"/>
          <w:b/>
          <w:color w:val="434343"/>
          <w:sz w:val="16"/>
          <w:szCs w:val="16"/>
          <w:u w:val="single"/>
        </w:rPr>
      </w:pPr>
    </w:p>
    <w:p w14:paraId="05E5A65D">
      <w:pPr>
        <w:spacing w:before="60" w:line="227" w:lineRule="auto"/>
        <w:rPr>
          <w:rFonts w:ascii="Noto Sans" w:hAnsi="Noto Sans" w:eastAsia="Noto Sans" w:cs="Noto Sans"/>
          <w:b/>
          <w:color w:val="434343"/>
          <w:sz w:val="24"/>
          <w:szCs w:val="24"/>
        </w:rPr>
      </w:pPr>
      <w:bookmarkStart w:id="2" w:name="_qing2gdaj9k6" w:colFirst="0" w:colLast="0"/>
      <w:bookmarkEnd w:id="2"/>
      <w:r>
        <w:rPr>
          <w:rFonts w:ascii="Noto Sans" w:hAnsi="Noto Sans" w:eastAsia="Noto Sans" w:cs="Noto Sans"/>
          <w:b/>
          <w:color w:val="434343"/>
          <w:sz w:val="24"/>
          <w:szCs w:val="24"/>
        </w:rPr>
        <w:t>Reporting:</w:t>
      </w:r>
    </w:p>
    <w:p w14:paraId="562BE798">
      <w:pPr>
        <w:spacing w:before="80" w:line="227" w:lineRule="auto"/>
        <w:rPr>
          <w:rFonts w:ascii="Noto Sans" w:hAnsi="Noto Sans" w:eastAsia="Noto Sans" w:cs="Noto Sans"/>
          <w:color w:val="434343"/>
          <w:sz w:val="18"/>
          <w:szCs w:val="18"/>
        </w:rPr>
      </w:pPr>
      <w:r>
        <w:rPr>
          <w:rFonts w:ascii="Noto Sans" w:hAnsi="Noto Sans" w:eastAsia="Noto Sans" w:cs="Noto Sans"/>
          <w:color w:val="434343"/>
          <w:sz w:val="18"/>
          <w:szCs w:val="18"/>
        </w:rPr>
        <w:t>The MDAR framework recommends adoption of discipline-specific guidelines, established and endorsed through community initiatives.</w:t>
      </w:r>
    </w:p>
    <w:p w14:paraId="6D6099B1">
      <w:pPr>
        <w:spacing w:line="227" w:lineRule="auto"/>
        <w:ind w:left="46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7"/>
        <w:tblW w:w="96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490"/>
        <w:gridCol w:w="3330"/>
        <w:gridCol w:w="855"/>
      </w:tblGrid>
      <w:tr w14:paraId="6C39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00" w:hRule="atLeast"/>
        </w:trPr>
        <w:tc>
          <w:tcPr>
            <w:tcW w:w="549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DF5159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Adherence to community standards</w:t>
            </w:r>
          </w:p>
        </w:tc>
        <w:tc>
          <w:tcPr>
            <w:tcW w:w="333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E49DFC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85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6319B4C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231E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15" w:hRule="atLeast"/>
        </w:trPr>
        <w:tc>
          <w:tcPr>
            <w:tcW w:w="5490"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07E33DE">
            <w:pPr>
              <w:rPr>
                <w:rFonts w:ascii="Noto Sans" w:hAnsi="Noto Sans" w:eastAsia="Noto Sans" w:cs="Noto Sans"/>
                <w:color w:val="434343"/>
                <w:sz w:val="18"/>
                <w:szCs w:val="18"/>
              </w:rPr>
            </w:pPr>
            <w:r>
              <w:rPr>
                <w:rFonts w:ascii="Noto Sans" w:hAnsi="Noto Sans" w:eastAsia="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049881D3">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The study does not explicitly state adherence to specific reporting guidelines. As it is not a clinical trial, animal study, or systematic review, these are not applicable. However, the manuscript follows standard practices for neuroimaging data reporting.</w:t>
            </w:r>
          </w:p>
        </w:tc>
        <w:tc>
          <w:tcPr>
            <w:tcW w:w="85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9B93BA4">
            <w:pPr>
              <w:spacing w:line="225" w:lineRule="auto"/>
              <w:rPr>
                <w:rFonts w:hint="default" w:ascii="Noto Sans" w:hAnsi="Noto Sans" w:eastAsia="宋体" w:cs="Noto Sans"/>
                <w:bCs/>
                <w:color w:val="434343"/>
                <w:sz w:val="18"/>
                <w:szCs w:val="18"/>
                <w:lang w:val="en-US" w:eastAsia="zh-CN"/>
              </w:rPr>
            </w:pPr>
            <w:r>
              <w:rPr>
                <w:rFonts w:hint="eastAsia" w:ascii="Noto Sans" w:hAnsi="Noto Sans" w:eastAsia="宋体" w:cs="Noto Sans"/>
                <w:bCs/>
                <w:color w:val="434343"/>
                <w:sz w:val="18"/>
                <w:szCs w:val="18"/>
                <w:lang w:val="en-US" w:eastAsia="zh-CN"/>
              </w:rPr>
              <w:t>N/A</w:t>
            </w:r>
          </w:p>
        </w:tc>
      </w:tr>
    </w:tbl>
    <w:p w14:paraId="504D0CB4">
      <w:pPr>
        <w:spacing w:line="227" w:lineRule="auto"/>
        <w:rPr>
          <w:rFonts w:ascii="Noto Sans" w:hAnsi="Noto Sans" w:eastAsia="Noto Sans" w:cs="Noto Sans"/>
          <w:b/>
          <w:color w:val="434343"/>
          <w:sz w:val="18"/>
          <w:szCs w:val="18"/>
        </w:rPr>
      </w:pPr>
    </w:p>
    <w:p w14:paraId="36ED3EAB">
      <w:pPr>
        <w:spacing w:before="80"/>
      </w:pPr>
      <w:bookmarkStart w:id="3" w:name="_cm0qssfkw66b" w:colFirst="0" w:colLast="0"/>
      <w:bookmarkEnd w:id="3"/>
      <w:r>
        <w:pict>
          <v:rect id="_x0000_i1025" o:spt="1" style="height:0.05pt;width:468pt;" fillcolor="#A0A0A0" filled="t" stroked="f" coordsize="21600,21600" o:hr="t" o:hrstd="t" o:hralign="center">
            <v:path/>
            <v:fill on="t" focussize="0,0"/>
            <v:stroke on="f"/>
            <v:imagedata o:title=""/>
            <o:lock v:ext="edit"/>
            <w10:wrap type="none"/>
            <w10:anchorlock/>
          </v:rect>
        </w:pict>
      </w:r>
    </w:p>
    <w:p w14:paraId="71B6A149"/>
    <w:p w14:paraId="4689F878">
      <w:pPr>
        <w:rPr>
          <w:color w:val="FF0000"/>
        </w:rPr>
      </w:pPr>
      <w:r>
        <w:t xml:space="preserve">* We provide the following guidance regarding transparent reporting and statistics; we also refer authors to </w:t>
      </w:r>
      <w:r>
        <w:fldChar w:fldCharType="begin"/>
      </w:r>
      <w:r>
        <w:instrText xml:space="preserve"> HYPERLINK "https://doi.org/10.7554/eLife.48175" \h </w:instrText>
      </w:r>
      <w:r>
        <w:fldChar w:fldCharType="separate"/>
      </w:r>
      <w:r>
        <w:rPr>
          <w:color w:val="1155CC"/>
          <w:u w:val="single"/>
        </w:rPr>
        <w:t>Ten common statistical mistakes to watch out for when writing or reviewing a manuscript</w:t>
      </w:r>
      <w:r>
        <w:rPr>
          <w:color w:val="1155CC"/>
          <w:u w:val="single"/>
        </w:rPr>
        <w:fldChar w:fldCharType="end"/>
      </w:r>
      <w:r>
        <w:t>.</w:t>
      </w:r>
    </w:p>
    <w:p w14:paraId="360DDEF9"/>
    <w:p w14:paraId="4D2FC5F5">
      <w:pPr>
        <w:rPr>
          <w:b/>
        </w:rPr>
      </w:pPr>
      <w:r>
        <w:rPr>
          <w:b/>
        </w:rPr>
        <w:t>Sample-size estimation</w:t>
      </w:r>
    </w:p>
    <w:p w14:paraId="3CCA1721">
      <w:pPr>
        <w:numPr>
          <w:ilvl w:val="0"/>
          <w:numId w:val="1"/>
        </w:numPr>
      </w:pPr>
      <w:r>
        <w:t>You should state whether an appropriate sample size was computed when the study was being designed</w:t>
      </w:r>
    </w:p>
    <w:p w14:paraId="2FE61FA3">
      <w:pPr>
        <w:numPr>
          <w:ilvl w:val="0"/>
          <w:numId w:val="1"/>
        </w:numPr>
      </w:pPr>
      <w:r>
        <w:t>You should state the statistical method of sample size computation and any required assumptions</w:t>
      </w:r>
    </w:p>
    <w:p w14:paraId="2A58711B">
      <w:pPr>
        <w:numPr>
          <w:ilvl w:val="0"/>
          <w:numId w:val="1"/>
        </w:numPr>
      </w:pPr>
      <w:r>
        <w:t>If no explicit power analysis was used, you should describe how you decided what sample (replicate) size (number) to use</w:t>
      </w:r>
    </w:p>
    <w:p w14:paraId="1DF7D7D3"/>
    <w:p w14:paraId="481F8A46">
      <w:pPr>
        <w:rPr>
          <w:b/>
        </w:rPr>
      </w:pPr>
      <w:r>
        <w:rPr>
          <w:b/>
        </w:rPr>
        <w:t>Replicates</w:t>
      </w:r>
    </w:p>
    <w:p w14:paraId="7D088A59">
      <w:pPr>
        <w:numPr>
          <w:ilvl w:val="0"/>
          <w:numId w:val="2"/>
        </w:numPr>
      </w:pPr>
      <w:r>
        <w:t>You should report how often each experiment was performed</w:t>
      </w:r>
    </w:p>
    <w:p w14:paraId="4BB08040">
      <w:pPr>
        <w:numPr>
          <w:ilvl w:val="0"/>
          <w:numId w:val="2"/>
        </w:numPr>
      </w:pPr>
      <w:r>
        <w:t>You should include a definition of biological versus technical replication</w:t>
      </w:r>
    </w:p>
    <w:p w14:paraId="4D350445">
      <w:pPr>
        <w:numPr>
          <w:ilvl w:val="0"/>
          <w:numId w:val="2"/>
        </w:numPr>
      </w:pPr>
      <w:r>
        <w:t>The data obtained should be provided and sufficient information should be provided to indicate the number of independent biological and/or technical replicates</w:t>
      </w:r>
    </w:p>
    <w:p w14:paraId="05F1AFEC">
      <w:pPr>
        <w:numPr>
          <w:ilvl w:val="0"/>
          <w:numId w:val="2"/>
        </w:numPr>
      </w:pPr>
      <w:r>
        <w:t>If you encountered any outliers, you should describe how these were handled</w:t>
      </w:r>
    </w:p>
    <w:p w14:paraId="23F6B6F2">
      <w:pPr>
        <w:numPr>
          <w:ilvl w:val="0"/>
          <w:numId w:val="2"/>
        </w:numPr>
      </w:pPr>
      <w:r>
        <w:t>Criteria for exclusion/inclusion of data should be clearly stated</w:t>
      </w:r>
    </w:p>
    <w:p w14:paraId="4AD51CF5">
      <w:pPr>
        <w:numPr>
          <w:ilvl w:val="0"/>
          <w:numId w:val="2"/>
        </w:numPr>
      </w:pPr>
      <w:r>
        <w:t>High-throughput sequence data should be uploaded before submission, with a private link for reviewers provided (these are available from both GEO and ArrayExpress)</w:t>
      </w:r>
    </w:p>
    <w:p w14:paraId="6CC4C1F0"/>
    <w:p w14:paraId="5350F358">
      <w:pPr>
        <w:rPr>
          <w:b/>
        </w:rPr>
      </w:pPr>
      <w:r>
        <w:rPr>
          <w:b/>
        </w:rPr>
        <w:t>Statistical reporting</w:t>
      </w:r>
    </w:p>
    <w:p w14:paraId="63946B2E">
      <w:pPr>
        <w:numPr>
          <w:ilvl w:val="0"/>
          <w:numId w:val="3"/>
        </w:numPr>
      </w:pPr>
      <w:r>
        <w:t>Statistical analysis methods should be described and justified</w:t>
      </w:r>
    </w:p>
    <w:p w14:paraId="4FE0B959">
      <w:pPr>
        <w:numPr>
          <w:ilvl w:val="0"/>
          <w:numId w:val="3"/>
        </w:numPr>
      </w:pPr>
      <w:r>
        <w:t>Raw data should be presented in figures whenever informative to do so (typically when N per group is less than 10)</w:t>
      </w:r>
    </w:p>
    <w:p w14:paraId="7B336BE9">
      <w:pPr>
        <w:numPr>
          <w:ilvl w:val="0"/>
          <w:numId w:val="3"/>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pPr>
        <w:numPr>
          <w:ilvl w:val="0"/>
          <w:numId w:val="3"/>
        </w:numPr>
      </w:pPr>
      <w:r>
        <w:t>Report exact p-values wherever possible alongside the summary statistics and 95% confidence intervals. These should be reported for all key questions and not only when the p-value is less than 0.05.</w:t>
      </w:r>
    </w:p>
    <w:p w14:paraId="1F75B295"/>
    <w:p w14:paraId="0150C7CA">
      <w:pPr>
        <w:rPr>
          <w:b/>
        </w:rPr>
      </w:pPr>
      <w:r>
        <w:rPr>
          <w:b/>
        </w:rPr>
        <w:t>Group allocation</w:t>
      </w:r>
    </w:p>
    <w:p w14:paraId="130D32B4">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pPr>
        <w:numPr>
          <w:ilvl w:val="0"/>
          <w:numId w:val="4"/>
        </w:numPr>
      </w:pPr>
      <w:r>
        <w:t>Indicate if masking was used during group allocation, data collection and/or data analysis</w:t>
      </w:r>
    </w:p>
    <w:sectPr>
      <w:headerReference r:id="rId4" w:type="first"/>
      <w:headerReference r:id="rId3" w:type="default"/>
      <w:footerReference r:id="rId5" w:type="default"/>
      <w:pgSz w:w="11910" w:h="16840"/>
      <w:pgMar w:top="1360" w:right="1220" w:bottom="280" w:left="1040" w:header="720" w:footer="720" w:gutter="0"/>
      <w:pgNumType w:start="1"/>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Noto Sans">
    <w:altName w:val="Noto Sans HK"/>
    <w:panose1 w:val="020B0604020202020204"/>
    <w:charset w:val="00"/>
    <w:family w:val="swiss"/>
    <w:pitch w:val="default"/>
    <w:sig w:usb0="00000000" w:usb1="00000000" w:usb2="00000021" w:usb3="00000000" w:csb0="0000019F" w:csb1="00000000"/>
  </w:font>
  <w:font w:name="Noto Sans HK">
    <w:panose1 w:val="020B0200000000000000"/>
    <w:charset w:val="88"/>
    <w:family w:val="auto"/>
    <w:pitch w:val="default"/>
    <w:sig w:usb0="20000083" w:usb1="2ADF3C10" w:usb2="00000016" w:usb3="00000000" w:csb0="60120107"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84E96">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p>
  <w:p w14:paraId="674BA7DB">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C160">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861E9">
    <w:pPr>
      <w:pStyle w:val="9"/>
    </w:pPr>
    <w:r>
      <w:drawing>
        <wp:inline distT="19050" distB="19050" distL="19050" distR="19050">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121BF"/>
    <w:multiLevelType w:val="multilevel"/>
    <w:tmpl w:val="337121B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45F335CF"/>
    <w:multiLevelType w:val="multilevel"/>
    <w:tmpl w:val="45F335C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
    <w:nsid w:val="63BD0F57"/>
    <w:multiLevelType w:val="multilevel"/>
    <w:tmpl w:val="63BD0F5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736D606B"/>
    <w:multiLevelType w:val="multilevel"/>
    <w:tmpl w:val="736D606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CC"/>
    <w:rsid w:val="000B600B"/>
    <w:rsid w:val="001B3BCC"/>
    <w:rsid w:val="002209A8"/>
    <w:rsid w:val="003D5AF6"/>
    <w:rsid w:val="00400C53"/>
    <w:rsid w:val="00427975"/>
    <w:rsid w:val="004E2C31"/>
    <w:rsid w:val="005B0259"/>
    <w:rsid w:val="007054B6"/>
    <w:rsid w:val="0078687E"/>
    <w:rsid w:val="009C7B26"/>
    <w:rsid w:val="00A11E52"/>
    <w:rsid w:val="00B2483D"/>
    <w:rsid w:val="00BD41E9"/>
    <w:rsid w:val="00C84413"/>
    <w:rsid w:val="00F102CC"/>
    <w:rsid w:val="00F91042"/>
    <w:rsid w:val="04431586"/>
    <w:rsid w:val="0C6C00A7"/>
    <w:rsid w:val="0D7B01A2"/>
    <w:rsid w:val="13884638"/>
    <w:rsid w:val="18734755"/>
    <w:rsid w:val="1B190004"/>
    <w:rsid w:val="1FA47700"/>
    <w:rsid w:val="2A811CD4"/>
    <w:rsid w:val="2E81758A"/>
    <w:rsid w:val="342F3017"/>
    <w:rsid w:val="34403A44"/>
    <w:rsid w:val="346239BA"/>
    <w:rsid w:val="36D1141F"/>
    <w:rsid w:val="386B727B"/>
    <w:rsid w:val="3C84516C"/>
    <w:rsid w:val="3D14236A"/>
    <w:rsid w:val="402333DE"/>
    <w:rsid w:val="41C52EE3"/>
    <w:rsid w:val="437C436D"/>
    <w:rsid w:val="44D2693A"/>
    <w:rsid w:val="469A6FE4"/>
    <w:rsid w:val="5A5F5124"/>
    <w:rsid w:val="5A7631A9"/>
    <w:rsid w:val="5AE725D9"/>
    <w:rsid w:val="66D65BAA"/>
    <w:rsid w:val="68513114"/>
    <w:rsid w:val="68754193"/>
    <w:rsid w:val="6DB91B96"/>
    <w:rsid w:val="73DA4614"/>
    <w:rsid w:val="74281C0D"/>
    <w:rsid w:val="777D690E"/>
    <w:rsid w:val="795E2293"/>
    <w:rsid w:val="7C835849"/>
    <w:rsid w:val="7EB72EE7"/>
    <w:rsid w:val="7F204B4A"/>
    <w:rsid w:val="7FAE2D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Calibri" w:cs="Calibri"/>
      <w:sz w:val="22"/>
      <w:szCs w:val="22"/>
      <w:lang w:val="en-US" w:eastAsia="en-GB"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19"/>
    <w:unhideWhenUsed/>
    <w:qFormat/>
    <w:uiPriority w:val="99"/>
    <w:pPr>
      <w:tabs>
        <w:tab w:val="center" w:pos="4513"/>
        <w:tab w:val="right" w:pos="9026"/>
      </w:tabs>
    </w:pPr>
  </w:style>
  <w:style w:type="paragraph" w:styleId="9">
    <w:name w:val="header"/>
    <w:basedOn w:val="1"/>
    <w:link w:val="18"/>
    <w:unhideWhenUsed/>
    <w:qFormat/>
    <w:uiPriority w:val="99"/>
    <w:pPr>
      <w:tabs>
        <w:tab w:val="center" w:pos="4513"/>
        <w:tab w:val="right" w:pos="9026"/>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table" w:customStyle="1" w:styleId="14">
    <w:name w:val="_Style 11"/>
    <w:basedOn w:val="12"/>
    <w:qFormat/>
    <w:uiPriority w:val="0"/>
    <w:tblPr>
      <w:tblCellMar>
        <w:top w:w="100" w:type="dxa"/>
        <w:left w:w="100" w:type="dxa"/>
        <w:bottom w:w="100" w:type="dxa"/>
        <w:right w:w="100" w:type="dxa"/>
      </w:tblCellMar>
    </w:tblPr>
  </w:style>
  <w:style w:type="table" w:customStyle="1" w:styleId="15">
    <w:name w:val="_Style 12"/>
    <w:basedOn w:val="12"/>
    <w:qFormat/>
    <w:uiPriority w:val="0"/>
    <w:tblPr>
      <w:tblCellMar>
        <w:top w:w="100" w:type="dxa"/>
        <w:left w:w="100" w:type="dxa"/>
        <w:bottom w:w="100" w:type="dxa"/>
        <w:right w:w="100" w:type="dxa"/>
      </w:tblCellMar>
    </w:tblPr>
  </w:style>
  <w:style w:type="table" w:customStyle="1" w:styleId="16">
    <w:name w:val="_Style 13"/>
    <w:basedOn w:val="12"/>
    <w:qFormat/>
    <w:uiPriority w:val="0"/>
    <w:tblPr>
      <w:tblCellMar>
        <w:top w:w="100" w:type="dxa"/>
        <w:left w:w="100" w:type="dxa"/>
        <w:bottom w:w="100" w:type="dxa"/>
        <w:right w:w="100" w:type="dxa"/>
      </w:tblCellMar>
    </w:tblPr>
  </w:style>
  <w:style w:type="table" w:customStyle="1" w:styleId="17">
    <w:name w:val="_Style 14"/>
    <w:basedOn w:val="12"/>
    <w:qFormat/>
    <w:uiPriority w:val="0"/>
    <w:tblPr>
      <w:tblCellMar>
        <w:top w:w="100" w:type="dxa"/>
        <w:left w:w="100" w:type="dxa"/>
        <w:bottom w:w="100" w:type="dxa"/>
        <w:right w:w="100" w:type="dxa"/>
      </w:tblCellMar>
    </w:tblPr>
  </w:style>
  <w:style w:type="character" w:customStyle="1" w:styleId="18">
    <w:name w:val="Header Char"/>
    <w:basedOn w:val="13"/>
    <w:link w:val="9"/>
    <w:qFormat/>
    <w:uiPriority w:val="99"/>
  </w:style>
  <w:style w:type="character" w:customStyle="1" w:styleId="19">
    <w:name w:val="Footer Char"/>
    <w:basedOn w:val="13"/>
    <w:link w:val="8"/>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Pages>
  <Words>1211</Words>
  <Characters>7497</Characters>
  <Lines>67</Lines>
  <Paragraphs>18</Paragraphs>
  <TotalTime>7</TotalTime>
  <ScaleCrop>false</ScaleCrop>
  <LinksUpToDate>false</LinksUpToDate>
  <CharactersWithSpaces>8622</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2022-02-28T12:21:00Z</dcterms:created>
  <dc:creator>chenxiayu</dc:creator>
  <cp:lastModifiedBy>陈侠宇</cp:lastModifiedBy>
  <dcterms:modified xsi:type="dcterms:W3CDTF">2026-09-19T08:52:40Z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eyJoZGlkIjoiNzgwMTQzMDljNzllN2I5MmM5YWQ0MWVjZDI4ZmY3ZDkiLCJ1c2VySWQiOiIxNjkyMjE4Njg2In0=</vt:lpwstr>
  </property>
  <property fmtid="{D5CDD505-2E9C-101B-9397-08002B2CF9AE}" pid="3" name="KSOProductBuildVer">
    <vt:lpwstr>2052-12.1.0.24031</vt:lpwstr>
  </property>
  <property fmtid="{D5CDD505-2E9C-101B-9397-08002B2CF9AE}" pid="4" name="ICV">
    <vt:lpwstr>9F76000095A34732A57920281A3A741D_12</vt:lpwstr>
  </property>
</Properties>
</file>