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4"/>
        <w:tblW w:w="8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2"/>
        <w:gridCol w:w="2362"/>
        <w:gridCol w:w="1702"/>
        <w:gridCol w:w="3250"/>
      </w:tblGrid>
      <w:tr w14:paraId="65C6B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13">
            <w:pPr>
              <w:jc w:val="center"/>
              <w:rPr>
                <w:rFonts w:ascii="Arial" w:hAnsi="Arial" w:eastAsia="Arial" w:cs="Arial"/>
                <w:b/>
                <w:bCs/>
                <w:sz w:val="24"/>
                <w:szCs w:val="24"/>
              </w:rPr>
            </w:pPr>
            <w:r>
              <w:rPr>
                <w:rFonts w:ascii="Arial" w:hAnsi="Arial" w:eastAsia="Arial" w:cs="Arial"/>
                <w:b/>
                <w:bCs/>
                <w:sz w:val="24"/>
                <w:szCs w:val="24"/>
              </w:rPr>
              <w:t>Area</w:t>
            </w:r>
            <w:r>
              <w:rPr>
                <w:rFonts w:ascii="Arial" w:hAnsi="Arial" w:eastAsia="Arial" w:cs="Arial"/>
                <w:b/>
                <w:bCs/>
                <w:sz w:val="24"/>
                <w:szCs w:val="24"/>
              </w:rPr>
              <w:br w:type="textWrapping"/>
            </w:r>
            <w:r>
              <w:rPr>
                <w:rFonts w:ascii="Arial" w:hAnsi="Arial" w:eastAsia="Arial" w:cs="Arial"/>
                <w:b/>
                <w:bCs/>
                <w:sz w:val="24"/>
                <w:szCs w:val="24"/>
              </w:rPr>
              <w:t>Name</w:t>
            </w:r>
          </w:p>
        </w:tc>
        <w:tc>
          <w:tcPr>
            <w:tcW w:w="2362" w:type="dxa"/>
          </w:tcPr>
          <w:p w14:paraId="00000014">
            <w:pPr>
              <w:jc w:val="center"/>
              <w:rPr>
                <w:rFonts w:ascii="Arial" w:hAnsi="Arial" w:eastAsia="Arial" w:cs="Arial"/>
                <w:b/>
                <w:bCs/>
                <w:sz w:val="24"/>
                <w:szCs w:val="24"/>
              </w:rPr>
            </w:pPr>
            <w:r>
              <w:rPr>
                <w:rFonts w:ascii="Arial" w:hAnsi="Arial" w:eastAsia="Arial" w:cs="Arial"/>
                <w:b/>
                <w:bCs/>
                <w:sz w:val="24"/>
                <w:szCs w:val="24"/>
              </w:rPr>
              <w:t>Area Description</w:t>
            </w:r>
          </w:p>
        </w:tc>
        <w:tc>
          <w:tcPr>
            <w:tcW w:w="1702" w:type="dxa"/>
          </w:tcPr>
          <w:p w14:paraId="00000015">
            <w:pPr>
              <w:jc w:val="center"/>
              <w:rPr>
                <w:rFonts w:ascii="Arial" w:hAnsi="Arial" w:eastAsia="Arial" w:cs="Arial"/>
                <w:b/>
                <w:bCs/>
                <w:sz w:val="24"/>
                <w:szCs w:val="24"/>
              </w:rPr>
            </w:pPr>
            <w:r>
              <w:rPr>
                <w:rFonts w:ascii="Arial" w:hAnsi="Arial" w:eastAsia="Arial" w:cs="Arial"/>
                <w:b/>
                <w:bCs/>
                <w:sz w:val="24"/>
                <w:szCs w:val="24"/>
              </w:rPr>
              <w:t>Other Names</w:t>
            </w:r>
          </w:p>
        </w:tc>
        <w:tc>
          <w:tcPr>
            <w:tcW w:w="3250" w:type="dxa"/>
          </w:tcPr>
          <w:p w14:paraId="00000016">
            <w:pPr>
              <w:jc w:val="center"/>
              <w:rPr>
                <w:rFonts w:ascii="Arial" w:hAnsi="Arial" w:eastAsia="Arial" w:cs="Arial"/>
                <w:b/>
                <w:bCs/>
                <w:sz w:val="24"/>
                <w:szCs w:val="24"/>
              </w:rPr>
            </w:pPr>
            <w:r>
              <w:rPr>
                <w:rFonts w:ascii="Arial" w:hAnsi="Arial" w:eastAsia="Arial" w:cs="Arial"/>
                <w:b/>
                <w:bCs/>
                <w:sz w:val="24"/>
                <w:szCs w:val="24"/>
              </w:rPr>
              <w:t>Key Studies</w:t>
            </w:r>
          </w:p>
        </w:tc>
      </w:tr>
      <w:tr w14:paraId="133BC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jc w:val="center"/>
        </w:trPr>
        <w:tc>
          <w:tcPr>
            <w:tcW w:w="982" w:type="dxa"/>
          </w:tcPr>
          <w:p w14:paraId="00000017">
            <w:pPr>
              <w:jc w:val="center"/>
              <w:rPr>
                <w:rFonts w:ascii="Arial" w:hAnsi="Arial" w:eastAsia="Arial" w:cs="Arial"/>
                <w:sz w:val="24"/>
                <w:szCs w:val="24"/>
              </w:rPr>
            </w:pPr>
            <w:r>
              <w:rPr>
                <w:rFonts w:ascii="Arial" w:hAnsi="Arial" w:eastAsia="Arial" w:cs="Arial"/>
                <w:sz w:val="24"/>
                <w:szCs w:val="24"/>
              </w:rPr>
              <w:t>V1</w:t>
            </w:r>
          </w:p>
        </w:tc>
        <w:tc>
          <w:tcPr>
            <w:tcW w:w="2362" w:type="dxa"/>
          </w:tcPr>
          <w:p w14:paraId="00000018">
            <w:pPr>
              <w:jc w:val="left"/>
              <w:rPr>
                <w:rFonts w:ascii="Arial" w:hAnsi="Arial" w:eastAsia="Arial" w:cs="Arial"/>
                <w:sz w:val="24"/>
                <w:szCs w:val="24"/>
              </w:rPr>
            </w:pPr>
            <w:r>
              <w:rPr>
                <w:rFonts w:ascii="Arial" w:hAnsi="Arial" w:eastAsia="Arial" w:cs="Arial"/>
                <w:sz w:val="24"/>
                <w:szCs w:val="24"/>
              </w:rPr>
              <w:t>Primary Visual Cortex</w:t>
            </w:r>
          </w:p>
        </w:tc>
        <w:tc>
          <w:tcPr>
            <w:tcW w:w="1702" w:type="dxa"/>
          </w:tcPr>
          <w:p w14:paraId="00000019">
            <w:pPr>
              <w:jc w:val="left"/>
              <w:rPr>
                <w:rFonts w:ascii="Arial" w:hAnsi="Arial" w:eastAsia="Arial" w:cs="Arial"/>
                <w:sz w:val="24"/>
                <w:szCs w:val="24"/>
              </w:rPr>
            </w:pPr>
            <w:r>
              <w:rPr>
                <w:rFonts w:ascii="Arial" w:hAnsi="Arial" w:eastAsia="Arial" w:cs="Arial"/>
                <w:sz w:val="24"/>
                <w:szCs w:val="24"/>
              </w:rPr>
              <w:t>17, hOC1, OC, BA17</w:t>
            </w:r>
          </w:p>
        </w:tc>
        <w:tc>
          <w:tcPr>
            <w:tcW w:w="3250" w:type="dxa"/>
          </w:tcPr>
          <w:p w14:paraId="0000001A">
            <w:pPr>
              <w:jc w:val="left"/>
              <w:rPr>
                <w:rFonts w:ascii="Arial" w:hAnsi="Arial" w:eastAsia="Arial" w:cs="Arial"/>
                <w:sz w:val="24"/>
                <w:szCs w:val="24"/>
              </w:rPr>
            </w:pPr>
            <w:r>
              <w:rPr>
                <w:rFonts w:ascii="Arial" w:hAnsi="Arial" w:eastAsia="Arial" w:cs="Arial"/>
                <w:sz w:val="24"/>
                <w:szCs w:val="24"/>
              </w:rPr>
              <w:t>Amunts et al 2000, Fischl et al 2008, Abdollahi et al 2014</w:t>
            </w:r>
          </w:p>
        </w:tc>
      </w:tr>
      <w:tr w14:paraId="770E5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982" w:type="dxa"/>
          </w:tcPr>
          <w:p w14:paraId="0000001B">
            <w:pPr>
              <w:jc w:val="center"/>
              <w:rPr>
                <w:rFonts w:ascii="Arial" w:hAnsi="Arial" w:eastAsia="Arial" w:cs="Arial"/>
                <w:sz w:val="24"/>
                <w:szCs w:val="24"/>
              </w:rPr>
            </w:pPr>
            <w:r>
              <w:rPr>
                <w:rFonts w:ascii="Arial" w:hAnsi="Arial" w:eastAsia="Arial" w:cs="Arial"/>
                <w:sz w:val="24"/>
                <w:szCs w:val="24"/>
              </w:rPr>
              <w:t>MST</w:t>
            </w:r>
          </w:p>
        </w:tc>
        <w:tc>
          <w:tcPr>
            <w:tcW w:w="2362" w:type="dxa"/>
          </w:tcPr>
          <w:p w14:paraId="0000001C">
            <w:pPr>
              <w:jc w:val="left"/>
              <w:rPr>
                <w:rFonts w:ascii="Arial" w:hAnsi="Arial" w:eastAsia="Arial" w:cs="Arial"/>
                <w:sz w:val="24"/>
                <w:szCs w:val="24"/>
              </w:rPr>
            </w:pPr>
            <w:r>
              <w:rPr>
                <w:rFonts w:ascii="Arial" w:hAnsi="Arial" w:eastAsia="Arial" w:cs="Arial"/>
                <w:sz w:val="24"/>
                <w:szCs w:val="24"/>
              </w:rPr>
              <w:t>Medial Superior Temporal Area</w:t>
            </w:r>
          </w:p>
        </w:tc>
        <w:tc>
          <w:tcPr>
            <w:tcW w:w="1702" w:type="dxa"/>
          </w:tcPr>
          <w:p w14:paraId="0000001D">
            <w:pPr>
              <w:jc w:val="left"/>
              <w:rPr>
                <w:rFonts w:ascii="Arial" w:hAnsi="Arial" w:eastAsia="Arial" w:cs="Arial"/>
                <w:sz w:val="24"/>
                <w:szCs w:val="24"/>
              </w:rPr>
            </w:pPr>
            <w:r>
              <w:rPr>
                <w:rFonts w:ascii="Arial" w:hAnsi="Arial" w:eastAsia="Arial" w:cs="Arial"/>
                <w:sz w:val="24"/>
                <w:szCs w:val="24"/>
              </w:rPr>
              <w:t>MSTv, hOC5, hOC5v</w:t>
            </w:r>
          </w:p>
        </w:tc>
        <w:tc>
          <w:tcPr>
            <w:tcW w:w="3250" w:type="dxa"/>
          </w:tcPr>
          <w:p w14:paraId="0000001E">
            <w:pPr>
              <w:jc w:val="left"/>
              <w:rPr>
                <w:rFonts w:ascii="Arial" w:hAnsi="Arial" w:eastAsia="Arial" w:cs="Arial"/>
                <w:sz w:val="24"/>
                <w:szCs w:val="24"/>
              </w:rPr>
            </w:pPr>
            <w:r>
              <w:rPr>
                <w:rFonts w:ascii="Arial" w:hAnsi="Arial" w:eastAsia="Arial" w:cs="Arial"/>
                <w:sz w:val="24"/>
                <w:szCs w:val="24"/>
              </w:rPr>
              <w:t>Abdollahi et al 2014, Kolster et al 2010, Malikovic et al 2007, Fischl et al 2008</w:t>
            </w:r>
          </w:p>
        </w:tc>
      </w:tr>
      <w:tr w14:paraId="7D1AF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982" w:type="dxa"/>
          </w:tcPr>
          <w:p w14:paraId="0000001F">
            <w:pPr>
              <w:jc w:val="center"/>
              <w:rPr>
                <w:rFonts w:ascii="Arial" w:hAnsi="Arial" w:eastAsia="Arial" w:cs="Arial"/>
                <w:sz w:val="24"/>
                <w:szCs w:val="24"/>
              </w:rPr>
            </w:pPr>
            <w:r>
              <w:rPr>
                <w:rFonts w:ascii="Arial" w:hAnsi="Arial" w:eastAsia="Arial" w:cs="Arial"/>
                <w:sz w:val="24"/>
                <w:szCs w:val="24"/>
              </w:rPr>
              <w:t>V6</w:t>
            </w:r>
          </w:p>
        </w:tc>
        <w:tc>
          <w:tcPr>
            <w:tcW w:w="2362" w:type="dxa"/>
          </w:tcPr>
          <w:p w14:paraId="00000020">
            <w:pPr>
              <w:jc w:val="left"/>
              <w:rPr>
                <w:rFonts w:ascii="Arial" w:hAnsi="Arial" w:eastAsia="Arial" w:cs="Arial"/>
                <w:sz w:val="24"/>
                <w:szCs w:val="24"/>
              </w:rPr>
            </w:pPr>
            <w:r>
              <w:rPr>
                <w:rFonts w:ascii="Arial" w:hAnsi="Arial" w:eastAsia="Arial" w:cs="Arial"/>
                <w:sz w:val="24"/>
                <w:szCs w:val="24"/>
              </w:rPr>
              <w:t>Sixth Visual Area</w:t>
            </w:r>
          </w:p>
        </w:tc>
        <w:tc>
          <w:tcPr>
            <w:tcW w:w="1702" w:type="dxa"/>
          </w:tcPr>
          <w:p w14:paraId="00000021">
            <w:pPr>
              <w:jc w:val="left"/>
              <w:rPr>
                <w:rFonts w:ascii="Arial" w:hAnsi="Arial" w:eastAsia="Arial" w:cs="Arial"/>
                <w:sz w:val="24"/>
                <w:szCs w:val="24"/>
              </w:rPr>
            </w:pPr>
            <w:r>
              <w:rPr>
                <w:rFonts w:ascii="Arial" w:hAnsi="Arial" w:eastAsia="Arial" w:cs="Arial"/>
                <w:sz w:val="24"/>
                <w:szCs w:val="24"/>
              </w:rPr>
              <w:t>112</w:t>
            </w:r>
          </w:p>
        </w:tc>
        <w:tc>
          <w:tcPr>
            <w:tcW w:w="3250" w:type="dxa"/>
          </w:tcPr>
          <w:p w14:paraId="00000022">
            <w:pPr>
              <w:jc w:val="left"/>
              <w:rPr>
                <w:rFonts w:ascii="Arial" w:hAnsi="Arial" w:eastAsia="Arial" w:cs="Arial"/>
                <w:sz w:val="24"/>
                <w:szCs w:val="24"/>
              </w:rPr>
            </w:pPr>
            <w:r>
              <w:rPr>
                <w:rFonts w:ascii="Arial" w:hAnsi="Arial" w:eastAsia="Arial" w:cs="Arial"/>
                <w:sz w:val="24"/>
                <w:szCs w:val="24"/>
              </w:rPr>
              <w:t>Pitzalis et al 2006, Pitzalis et al 2013, Sereno et al 2012, Nieuwenhuys et al 2014</w:t>
            </w:r>
          </w:p>
        </w:tc>
      </w:tr>
      <w:tr w14:paraId="0DEFE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0" w:hRule="atLeast"/>
          <w:jc w:val="center"/>
        </w:trPr>
        <w:tc>
          <w:tcPr>
            <w:tcW w:w="982" w:type="dxa"/>
          </w:tcPr>
          <w:p w14:paraId="00000023">
            <w:pPr>
              <w:jc w:val="center"/>
              <w:rPr>
                <w:rFonts w:ascii="Arial" w:hAnsi="Arial" w:eastAsia="Arial" w:cs="Arial"/>
                <w:sz w:val="24"/>
                <w:szCs w:val="24"/>
              </w:rPr>
            </w:pPr>
            <w:r>
              <w:rPr>
                <w:rFonts w:ascii="Arial" w:hAnsi="Arial" w:eastAsia="Arial" w:cs="Arial"/>
                <w:sz w:val="24"/>
                <w:szCs w:val="24"/>
              </w:rPr>
              <w:t>V2</w:t>
            </w:r>
          </w:p>
        </w:tc>
        <w:tc>
          <w:tcPr>
            <w:tcW w:w="2362" w:type="dxa"/>
          </w:tcPr>
          <w:p w14:paraId="00000024">
            <w:pPr>
              <w:jc w:val="left"/>
              <w:rPr>
                <w:rFonts w:ascii="Arial" w:hAnsi="Arial" w:eastAsia="Arial" w:cs="Arial"/>
                <w:sz w:val="24"/>
                <w:szCs w:val="24"/>
              </w:rPr>
            </w:pPr>
            <w:r>
              <w:rPr>
                <w:rFonts w:ascii="Arial" w:hAnsi="Arial" w:eastAsia="Arial" w:cs="Arial"/>
                <w:sz w:val="24"/>
                <w:szCs w:val="24"/>
              </w:rPr>
              <w:t>Second Visual Area</w:t>
            </w:r>
          </w:p>
        </w:tc>
        <w:tc>
          <w:tcPr>
            <w:tcW w:w="1702" w:type="dxa"/>
          </w:tcPr>
          <w:p w14:paraId="00000025">
            <w:pPr>
              <w:jc w:val="left"/>
              <w:rPr>
                <w:rFonts w:ascii="Arial" w:hAnsi="Arial" w:eastAsia="Arial" w:cs="Arial"/>
                <w:sz w:val="24"/>
                <w:szCs w:val="24"/>
              </w:rPr>
            </w:pPr>
            <w:r>
              <w:rPr>
                <w:rFonts w:ascii="Arial" w:hAnsi="Arial" w:eastAsia="Arial" w:cs="Arial"/>
                <w:sz w:val="24"/>
                <w:szCs w:val="24"/>
              </w:rPr>
              <w:t>18, hOC2, OB, BA18</w:t>
            </w:r>
          </w:p>
        </w:tc>
        <w:tc>
          <w:tcPr>
            <w:tcW w:w="3250" w:type="dxa"/>
          </w:tcPr>
          <w:p w14:paraId="00000026">
            <w:pPr>
              <w:jc w:val="left"/>
              <w:rPr>
                <w:rFonts w:ascii="Arial" w:hAnsi="Arial" w:eastAsia="Arial" w:cs="Arial"/>
                <w:sz w:val="24"/>
                <w:szCs w:val="24"/>
              </w:rPr>
            </w:pPr>
            <w:r>
              <w:rPr>
                <w:rFonts w:ascii="Arial" w:hAnsi="Arial" w:eastAsia="Arial" w:cs="Arial"/>
                <w:sz w:val="24"/>
                <w:szCs w:val="24"/>
              </w:rPr>
              <w:t>Amunts et al 2000, Fischl et al 2008, Schira et al 2009, Abdollahi et al 2014, Wang et al 2015, Wandell and Winawer 2011</w:t>
            </w:r>
          </w:p>
        </w:tc>
      </w:tr>
      <w:tr w14:paraId="47FB7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0" w:hRule="atLeast"/>
          <w:jc w:val="center"/>
        </w:trPr>
        <w:tc>
          <w:tcPr>
            <w:tcW w:w="982" w:type="dxa"/>
          </w:tcPr>
          <w:p w14:paraId="00000027">
            <w:pPr>
              <w:jc w:val="center"/>
              <w:rPr>
                <w:rFonts w:ascii="Arial" w:hAnsi="Arial" w:eastAsia="Arial" w:cs="Arial"/>
                <w:sz w:val="24"/>
                <w:szCs w:val="24"/>
              </w:rPr>
            </w:pPr>
            <w:r>
              <w:rPr>
                <w:rFonts w:ascii="Arial" w:hAnsi="Arial" w:eastAsia="Arial" w:cs="Arial"/>
                <w:sz w:val="24"/>
                <w:szCs w:val="24"/>
              </w:rPr>
              <w:t>V3</w:t>
            </w:r>
          </w:p>
        </w:tc>
        <w:tc>
          <w:tcPr>
            <w:tcW w:w="2362" w:type="dxa"/>
          </w:tcPr>
          <w:p w14:paraId="00000028">
            <w:pPr>
              <w:jc w:val="left"/>
              <w:rPr>
                <w:rFonts w:ascii="Arial" w:hAnsi="Arial" w:eastAsia="Arial" w:cs="Arial"/>
                <w:sz w:val="24"/>
                <w:szCs w:val="24"/>
              </w:rPr>
            </w:pPr>
            <w:r>
              <w:rPr>
                <w:rFonts w:ascii="Arial" w:hAnsi="Arial" w:eastAsia="Arial" w:cs="Arial"/>
                <w:sz w:val="24"/>
                <w:szCs w:val="24"/>
              </w:rPr>
              <w:t>Third Visual Area</w:t>
            </w:r>
          </w:p>
        </w:tc>
        <w:tc>
          <w:tcPr>
            <w:tcW w:w="1702" w:type="dxa"/>
          </w:tcPr>
          <w:p w14:paraId="00000029">
            <w:pPr>
              <w:jc w:val="left"/>
              <w:rPr>
                <w:rFonts w:ascii="Arial" w:hAnsi="Arial" w:eastAsia="Arial" w:cs="Arial"/>
                <w:sz w:val="24"/>
                <w:szCs w:val="24"/>
              </w:rPr>
            </w:pPr>
            <w:r>
              <w:rPr>
                <w:rFonts w:ascii="Arial" w:hAnsi="Arial" w:eastAsia="Arial" w:cs="Arial"/>
                <w:sz w:val="24"/>
                <w:szCs w:val="24"/>
              </w:rPr>
              <w:t>V3d, V3v, VP, hOC3d, hOC3v</w:t>
            </w:r>
          </w:p>
        </w:tc>
        <w:tc>
          <w:tcPr>
            <w:tcW w:w="3250" w:type="dxa"/>
          </w:tcPr>
          <w:p w14:paraId="0000002A">
            <w:pPr>
              <w:jc w:val="left"/>
              <w:rPr>
                <w:rFonts w:ascii="Arial" w:hAnsi="Arial" w:eastAsia="Arial" w:cs="Arial"/>
                <w:sz w:val="24"/>
                <w:szCs w:val="24"/>
              </w:rPr>
            </w:pPr>
            <w:r>
              <w:rPr>
                <w:rFonts w:ascii="Arial" w:hAnsi="Arial" w:eastAsia="Arial" w:cs="Arial"/>
                <w:sz w:val="24"/>
                <w:szCs w:val="24"/>
              </w:rPr>
              <w:t>Abdollahi et al 2014, Rottschy et al 2007, Schira et al 2009, Kujovic et al 2012, Wang et al 2015, Wandell and Winawer 2011</w:t>
            </w:r>
          </w:p>
        </w:tc>
      </w:tr>
      <w:tr w14:paraId="14795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982" w:type="dxa"/>
          </w:tcPr>
          <w:p w14:paraId="0000002B">
            <w:pPr>
              <w:jc w:val="center"/>
              <w:rPr>
                <w:rFonts w:ascii="Arial" w:hAnsi="Arial" w:eastAsia="Arial" w:cs="Arial"/>
                <w:sz w:val="24"/>
                <w:szCs w:val="24"/>
              </w:rPr>
            </w:pPr>
            <w:r>
              <w:rPr>
                <w:rFonts w:ascii="Arial" w:hAnsi="Arial" w:eastAsia="Arial" w:cs="Arial"/>
                <w:sz w:val="24"/>
                <w:szCs w:val="24"/>
              </w:rPr>
              <w:t>V4</w:t>
            </w:r>
          </w:p>
        </w:tc>
        <w:tc>
          <w:tcPr>
            <w:tcW w:w="2362" w:type="dxa"/>
          </w:tcPr>
          <w:p w14:paraId="0000002C">
            <w:pPr>
              <w:jc w:val="left"/>
              <w:rPr>
                <w:rFonts w:ascii="Arial" w:hAnsi="Arial" w:eastAsia="Arial" w:cs="Arial"/>
                <w:sz w:val="24"/>
                <w:szCs w:val="24"/>
              </w:rPr>
            </w:pPr>
            <w:r>
              <w:rPr>
                <w:rFonts w:ascii="Arial" w:hAnsi="Arial" w:eastAsia="Arial" w:cs="Arial"/>
                <w:sz w:val="24"/>
                <w:szCs w:val="24"/>
              </w:rPr>
              <w:t>Fourth Visual Area</w:t>
            </w:r>
          </w:p>
        </w:tc>
        <w:tc>
          <w:tcPr>
            <w:tcW w:w="1702" w:type="dxa"/>
          </w:tcPr>
          <w:p w14:paraId="0000002D">
            <w:pPr>
              <w:jc w:val="left"/>
              <w:rPr>
                <w:rFonts w:ascii="Arial" w:hAnsi="Arial" w:eastAsia="Arial" w:cs="Arial"/>
                <w:sz w:val="24"/>
                <w:szCs w:val="24"/>
              </w:rPr>
            </w:pPr>
            <w:r>
              <w:rPr>
                <w:rFonts w:ascii="Arial" w:hAnsi="Arial" w:eastAsia="Arial" w:cs="Arial"/>
                <w:sz w:val="24"/>
                <w:szCs w:val="24"/>
              </w:rPr>
              <w:t>V4d, V4v, hV4, hOC4v, hOC4lp, LO1</w:t>
            </w:r>
          </w:p>
        </w:tc>
        <w:tc>
          <w:tcPr>
            <w:tcW w:w="3250" w:type="dxa"/>
          </w:tcPr>
          <w:p w14:paraId="0000002E">
            <w:pPr>
              <w:jc w:val="left"/>
              <w:rPr>
                <w:rFonts w:ascii="Arial" w:hAnsi="Arial" w:eastAsia="Arial" w:cs="Arial"/>
                <w:sz w:val="24"/>
                <w:szCs w:val="24"/>
              </w:rPr>
            </w:pPr>
            <w:r>
              <w:rPr>
                <w:rFonts w:ascii="Arial" w:hAnsi="Arial" w:eastAsia="Arial" w:cs="Arial"/>
                <w:sz w:val="24"/>
                <w:szCs w:val="24"/>
              </w:rPr>
              <w:t>Hansen et al 2007, Abdollahi et al 2014, Rottschy et al 2007, Malikovic et al 2015</w:t>
            </w:r>
          </w:p>
        </w:tc>
      </w:tr>
      <w:tr w14:paraId="0D2ED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2F">
            <w:pPr>
              <w:jc w:val="center"/>
              <w:rPr>
                <w:rFonts w:ascii="Arial" w:hAnsi="Arial" w:eastAsia="Arial" w:cs="Arial"/>
                <w:sz w:val="24"/>
                <w:szCs w:val="24"/>
              </w:rPr>
            </w:pPr>
            <w:r>
              <w:rPr>
                <w:rFonts w:ascii="Arial" w:hAnsi="Arial" w:eastAsia="Arial" w:cs="Arial"/>
                <w:sz w:val="24"/>
                <w:szCs w:val="24"/>
              </w:rPr>
              <w:t>V8</w:t>
            </w:r>
          </w:p>
        </w:tc>
        <w:tc>
          <w:tcPr>
            <w:tcW w:w="2362" w:type="dxa"/>
          </w:tcPr>
          <w:p w14:paraId="00000030">
            <w:pPr>
              <w:jc w:val="left"/>
              <w:rPr>
                <w:rFonts w:ascii="Arial" w:hAnsi="Arial" w:eastAsia="Arial" w:cs="Arial"/>
                <w:sz w:val="24"/>
                <w:szCs w:val="24"/>
              </w:rPr>
            </w:pPr>
            <w:r>
              <w:rPr>
                <w:rFonts w:ascii="Arial" w:hAnsi="Arial" w:eastAsia="Arial" w:cs="Arial"/>
                <w:sz w:val="24"/>
                <w:szCs w:val="24"/>
              </w:rPr>
              <w:t>Eighth Visual Area</w:t>
            </w:r>
          </w:p>
        </w:tc>
        <w:tc>
          <w:tcPr>
            <w:tcW w:w="1702" w:type="dxa"/>
          </w:tcPr>
          <w:p w14:paraId="00000031">
            <w:pPr>
              <w:jc w:val="left"/>
              <w:rPr>
                <w:rFonts w:ascii="Arial" w:hAnsi="Arial" w:eastAsia="Arial" w:cs="Arial"/>
                <w:sz w:val="24"/>
                <w:szCs w:val="24"/>
              </w:rPr>
            </w:pPr>
            <w:r>
              <w:rPr>
                <w:rFonts w:ascii="Arial" w:hAnsi="Arial" w:eastAsia="Arial" w:cs="Arial"/>
                <w:sz w:val="24"/>
                <w:szCs w:val="24"/>
              </w:rPr>
              <w:t>VO1</w:t>
            </w:r>
          </w:p>
        </w:tc>
        <w:tc>
          <w:tcPr>
            <w:tcW w:w="3250" w:type="dxa"/>
          </w:tcPr>
          <w:p w14:paraId="00000032">
            <w:pPr>
              <w:jc w:val="left"/>
              <w:rPr>
                <w:rFonts w:ascii="Arial" w:hAnsi="Arial" w:eastAsia="Arial" w:cs="Arial"/>
                <w:sz w:val="24"/>
                <w:szCs w:val="24"/>
              </w:rPr>
            </w:pPr>
            <w:r>
              <w:rPr>
                <w:rFonts w:ascii="Arial" w:hAnsi="Arial" w:eastAsia="Arial" w:cs="Arial"/>
                <w:sz w:val="24"/>
                <w:szCs w:val="24"/>
              </w:rPr>
              <w:t>Hadjikhani et al 1998, Abdollahi et al 2014</w:t>
            </w:r>
          </w:p>
        </w:tc>
      </w:tr>
      <w:tr w14:paraId="5A3EA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0" w:hRule="atLeast"/>
          <w:jc w:val="center"/>
        </w:trPr>
        <w:tc>
          <w:tcPr>
            <w:tcW w:w="982" w:type="dxa"/>
          </w:tcPr>
          <w:p w14:paraId="00000033">
            <w:pPr>
              <w:jc w:val="center"/>
              <w:rPr>
                <w:rFonts w:ascii="Arial" w:hAnsi="Arial" w:eastAsia="Arial" w:cs="Arial"/>
                <w:sz w:val="24"/>
                <w:szCs w:val="24"/>
              </w:rPr>
            </w:pPr>
            <w:r>
              <w:rPr>
                <w:rFonts w:ascii="Arial" w:hAnsi="Arial" w:eastAsia="Arial" w:cs="Arial"/>
                <w:sz w:val="24"/>
                <w:szCs w:val="24"/>
              </w:rPr>
              <w:t>V3A</w:t>
            </w:r>
          </w:p>
        </w:tc>
        <w:tc>
          <w:tcPr>
            <w:tcW w:w="2362" w:type="dxa"/>
          </w:tcPr>
          <w:p w14:paraId="00000034">
            <w:pPr>
              <w:jc w:val="left"/>
              <w:rPr>
                <w:rFonts w:ascii="Arial" w:hAnsi="Arial" w:eastAsia="Arial" w:cs="Arial"/>
                <w:sz w:val="24"/>
                <w:szCs w:val="24"/>
              </w:rPr>
            </w:pPr>
            <w:r>
              <w:rPr>
                <w:rFonts w:ascii="Arial" w:hAnsi="Arial" w:eastAsia="Arial" w:cs="Arial"/>
                <w:sz w:val="24"/>
                <w:szCs w:val="24"/>
              </w:rPr>
              <w:t>Area V3A</w:t>
            </w:r>
          </w:p>
        </w:tc>
        <w:tc>
          <w:tcPr>
            <w:tcW w:w="1702" w:type="dxa"/>
          </w:tcPr>
          <w:p w14:paraId="00000035">
            <w:pPr>
              <w:jc w:val="left"/>
              <w:rPr>
                <w:rFonts w:ascii="Arial" w:hAnsi="Arial" w:eastAsia="Arial" w:cs="Arial"/>
                <w:sz w:val="24"/>
                <w:szCs w:val="24"/>
              </w:rPr>
            </w:pPr>
            <w:r>
              <w:rPr>
                <w:rFonts w:ascii="Arial" w:hAnsi="Arial" w:eastAsia="Arial" w:cs="Arial"/>
                <w:sz w:val="24"/>
                <w:szCs w:val="24"/>
              </w:rPr>
              <w:t>V3D, hOC4d</w:t>
            </w:r>
          </w:p>
        </w:tc>
        <w:tc>
          <w:tcPr>
            <w:tcW w:w="3250" w:type="dxa"/>
          </w:tcPr>
          <w:p w14:paraId="00000036">
            <w:pPr>
              <w:jc w:val="left"/>
              <w:rPr>
                <w:rFonts w:ascii="Arial" w:hAnsi="Arial" w:eastAsia="Arial" w:cs="Arial"/>
                <w:sz w:val="24"/>
                <w:szCs w:val="24"/>
              </w:rPr>
            </w:pPr>
            <w:r>
              <w:rPr>
                <w:rFonts w:ascii="Arial" w:hAnsi="Arial" w:eastAsia="Arial" w:cs="Arial"/>
                <w:sz w:val="24"/>
                <w:szCs w:val="24"/>
              </w:rPr>
              <w:t>Abdollahi et al 2014, Swisher et al 2007, Kujovic et al 2012, Wandell and Winawer 2011, Larsson and Heeger 2006, Tootell et al 1997</w:t>
            </w:r>
          </w:p>
        </w:tc>
      </w:tr>
      <w:tr w14:paraId="30B45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37">
            <w:pPr>
              <w:jc w:val="center"/>
              <w:rPr>
                <w:rFonts w:ascii="Arial" w:hAnsi="Arial" w:eastAsia="Arial" w:cs="Arial"/>
                <w:sz w:val="24"/>
                <w:szCs w:val="24"/>
              </w:rPr>
            </w:pPr>
            <w:r>
              <w:rPr>
                <w:rFonts w:ascii="Arial" w:hAnsi="Arial" w:eastAsia="Arial" w:cs="Arial"/>
                <w:sz w:val="24"/>
                <w:szCs w:val="24"/>
              </w:rPr>
              <w:t>POS2</w:t>
            </w:r>
          </w:p>
        </w:tc>
        <w:tc>
          <w:tcPr>
            <w:tcW w:w="2362" w:type="dxa"/>
          </w:tcPr>
          <w:p w14:paraId="00000038">
            <w:pPr>
              <w:jc w:val="left"/>
              <w:rPr>
                <w:rFonts w:ascii="Arial" w:hAnsi="Arial" w:eastAsia="Arial" w:cs="Arial"/>
                <w:sz w:val="24"/>
                <w:szCs w:val="24"/>
              </w:rPr>
            </w:pPr>
            <w:r>
              <w:rPr>
                <w:rFonts w:ascii="Arial" w:hAnsi="Arial" w:eastAsia="Arial" w:cs="Arial"/>
                <w:sz w:val="24"/>
                <w:szCs w:val="24"/>
              </w:rPr>
              <w:t>Parieto-Occipital Sulcus Area 2</w:t>
            </w:r>
          </w:p>
        </w:tc>
        <w:tc>
          <w:tcPr>
            <w:tcW w:w="1702" w:type="dxa"/>
          </w:tcPr>
          <w:p w14:paraId="00000039">
            <w:pPr>
              <w:jc w:val="left"/>
              <w:rPr>
                <w:rFonts w:ascii="Arial" w:hAnsi="Arial" w:eastAsia="Arial" w:cs="Arial"/>
                <w:sz w:val="24"/>
                <w:szCs w:val="24"/>
              </w:rPr>
            </w:pPr>
          </w:p>
        </w:tc>
        <w:tc>
          <w:tcPr>
            <w:tcW w:w="3250" w:type="dxa"/>
          </w:tcPr>
          <w:p w14:paraId="0000003A">
            <w:pPr>
              <w:jc w:val="left"/>
              <w:rPr>
                <w:rFonts w:ascii="Arial" w:hAnsi="Arial" w:eastAsia="Arial" w:cs="Arial"/>
                <w:sz w:val="24"/>
                <w:szCs w:val="24"/>
              </w:rPr>
            </w:pPr>
            <w:r>
              <w:rPr>
                <w:rFonts w:ascii="Arial" w:hAnsi="Arial" w:eastAsia="Arial" w:cs="Arial"/>
                <w:sz w:val="24"/>
                <w:szCs w:val="24"/>
              </w:rPr>
              <w:t>Glasser and Van Essen 2011</w:t>
            </w:r>
          </w:p>
        </w:tc>
      </w:tr>
      <w:tr w14:paraId="11EC2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0" w:hRule="atLeast"/>
          <w:jc w:val="center"/>
        </w:trPr>
        <w:tc>
          <w:tcPr>
            <w:tcW w:w="982" w:type="dxa"/>
          </w:tcPr>
          <w:p w14:paraId="0000003B">
            <w:pPr>
              <w:jc w:val="center"/>
              <w:rPr>
                <w:rFonts w:ascii="Arial" w:hAnsi="Arial" w:eastAsia="Arial" w:cs="Arial"/>
                <w:sz w:val="24"/>
                <w:szCs w:val="24"/>
              </w:rPr>
            </w:pPr>
            <w:r>
              <w:rPr>
                <w:rFonts w:ascii="Arial" w:hAnsi="Arial" w:eastAsia="Arial" w:cs="Arial"/>
                <w:sz w:val="24"/>
                <w:szCs w:val="24"/>
              </w:rPr>
              <w:t>V7</w:t>
            </w:r>
          </w:p>
        </w:tc>
        <w:tc>
          <w:tcPr>
            <w:tcW w:w="2362" w:type="dxa"/>
          </w:tcPr>
          <w:p w14:paraId="0000003C">
            <w:pPr>
              <w:jc w:val="left"/>
              <w:rPr>
                <w:rFonts w:ascii="Arial" w:hAnsi="Arial" w:eastAsia="Arial" w:cs="Arial"/>
                <w:sz w:val="24"/>
                <w:szCs w:val="24"/>
              </w:rPr>
            </w:pPr>
            <w:r>
              <w:rPr>
                <w:rFonts w:ascii="Arial" w:hAnsi="Arial" w:eastAsia="Arial" w:cs="Arial"/>
                <w:sz w:val="24"/>
                <w:szCs w:val="24"/>
              </w:rPr>
              <w:t>Seventh Visual Area</w:t>
            </w:r>
          </w:p>
        </w:tc>
        <w:tc>
          <w:tcPr>
            <w:tcW w:w="1702" w:type="dxa"/>
          </w:tcPr>
          <w:p w14:paraId="0000003D">
            <w:pPr>
              <w:jc w:val="left"/>
              <w:rPr>
                <w:rFonts w:ascii="Arial" w:hAnsi="Arial" w:eastAsia="Arial" w:cs="Arial"/>
                <w:sz w:val="24"/>
                <w:szCs w:val="24"/>
              </w:rPr>
            </w:pPr>
            <w:r>
              <w:rPr>
                <w:rFonts w:ascii="Arial" w:hAnsi="Arial" w:eastAsia="Arial" w:cs="Arial"/>
                <w:sz w:val="24"/>
                <w:szCs w:val="24"/>
              </w:rPr>
              <w:t>IPS0</w:t>
            </w:r>
          </w:p>
        </w:tc>
        <w:tc>
          <w:tcPr>
            <w:tcW w:w="3250" w:type="dxa"/>
          </w:tcPr>
          <w:p w14:paraId="0000003E">
            <w:pPr>
              <w:jc w:val="left"/>
              <w:rPr>
                <w:rFonts w:ascii="Arial" w:hAnsi="Arial" w:eastAsia="Arial" w:cs="Arial"/>
                <w:sz w:val="24"/>
                <w:szCs w:val="24"/>
              </w:rPr>
            </w:pPr>
            <w:r>
              <w:rPr>
                <w:rFonts w:ascii="Arial" w:hAnsi="Arial" w:eastAsia="Arial" w:cs="Arial"/>
                <w:sz w:val="24"/>
                <w:szCs w:val="24"/>
              </w:rPr>
              <w:t>Abdollahi et al 2014, Swisher et al 2007, Larsson and Heeger 2006, Tootell et al 1998, Hagler et al 2007, Wang et al., 2015</w:t>
            </w:r>
          </w:p>
        </w:tc>
      </w:tr>
      <w:tr w14:paraId="2CA20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jc w:val="center"/>
        </w:trPr>
        <w:tc>
          <w:tcPr>
            <w:tcW w:w="982" w:type="dxa"/>
          </w:tcPr>
          <w:p w14:paraId="0000003F">
            <w:pPr>
              <w:jc w:val="center"/>
              <w:rPr>
                <w:rFonts w:ascii="Arial" w:hAnsi="Arial" w:eastAsia="Arial" w:cs="Arial"/>
                <w:sz w:val="24"/>
                <w:szCs w:val="24"/>
              </w:rPr>
            </w:pPr>
            <w:r>
              <w:rPr>
                <w:rFonts w:ascii="Arial" w:hAnsi="Arial" w:eastAsia="Arial" w:cs="Arial"/>
                <w:sz w:val="24"/>
                <w:szCs w:val="24"/>
              </w:rPr>
              <w:t>IPS1</w:t>
            </w:r>
          </w:p>
        </w:tc>
        <w:tc>
          <w:tcPr>
            <w:tcW w:w="2362" w:type="dxa"/>
          </w:tcPr>
          <w:p w14:paraId="00000040">
            <w:pPr>
              <w:jc w:val="left"/>
              <w:rPr>
                <w:rFonts w:ascii="Arial" w:hAnsi="Arial" w:eastAsia="Arial" w:cs="Arial"/>
                <w:sz w:val="24"/>
                <w:szCs w:val="24"/>
              </w:rPr>
            </w:pPr>
            <w:r>
              <w:rPr>
                <w:rFonts w:ascii="Arial" w:hAnsi="Arial" w:eastAsia="Arial" w:cs="Arial"/>
                <w:sz w:val="24"/>
                <w:szCs w:val="24"/>
              </w:rPr>
              <w:t>IntraParietal Sulcus Area 1</w:t>
            </w:r>
          </w:p>
        </w:tc>
        <w:tc>
          <w:tcPr>
            <w:tcW w:w="1702" w:type="dxa"/>
          </w:tcPr>
          <w:p w14:paraId="00000041">
            <w:pPr>
              <w:jc w:val="left"/>
              <w:rPr>
                <w:rFonts w:ascii="Arial" w:hAnsi="Arial" w:eastAsia="Arial" w:cs="Arial"/>
                <w:sz w:val="24"/>
                <w:szCs w:val="24"/>
              </w:rPr>
            </w:pPr>
          </w:p>
        </w:tc>
        <w:tc>
          <w:tcPr>
            <w:tcW w:w="3250" w:type="dxa"/>
          </w:tcPr>
          <w:p w14:paraId="00000042">
            <w:pPr>
              <w:jc w:val="left"/>
              <w:rPr>
                <w:rFonts w:ascii="Arial" w:hAnsi="Arial" w:eastAsia="Arial" w:cs="Arial"/>
                <w:sz w:val="24"/>
                <w:szCs w:val="24"/>
              </w:rPr>
            </w:pPr>
            <w:r>
              <w:rPr>
                <w:rFonts w:ascii="Arial" w:hAnsi="Arial" w:eastAsia="Arial" w:cs="Arial"/>
                <w:sz w:val="24"/>
                <w:szCs w:val="24"/>
              </w:rPr>
              <w:t>Swisher et al 2007, Wang et al., 2015, Hagler et al 2007</w:t>
            </w:r>
          </w:p>
        </w:tc>
      </w:tr>
      <w:tr w14:paraId="5EAB2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982" w:type="dxa"/>
          </w:tcPr>
          <w:p w14:paraId="00000043">
            <w:pPr>
              <w:jc w:val="center"/>
              <w:rPr>
                <w:rFonts w:ascii="Arial" w:hAnsi="Arial" w:eastAsia="Arial" w:cs="Arial"/>
                <w:sz w:val="24"/>
                <w:szCs w:val="24"/>
              </w:rPr>
            </w:pPr>
            <w:r>
              <w:rPr>
                <w:rFonts w:ascii="Arial" w:hAnsi="Arial" w:eastAsia="Arial" w:cs="Arial"/>
                <w:sz w:val="24"/>
                <w:szCs w:val="24"/>
              </w:rPr>
              <w:t>FFC</w:t>
            </w:r>
          </w:p>
        </w:tc>
        <w:tc>
          <w:tcPr>
            <w:tcW w:w="2362" w:type="dxa"/>
          </w:tcPr>
          <w:p w14:paraId="00000044">
            <w:pPr>
              <w:jc w:val="left"/>
              <w:rPr>
                <w:rFonts w:ascii="Arial" w:hAnsi="Arial" w:eastAsia="Arial" w:cs="Arial"/>
                <w:sz w:val="24"/>
                <w:szCs w:val="24"/>
              </w:rPr>
            </w:pPr>
            <w:r>
              <w:rPr>
                <w:rFonts w:ascii="Arial" w:hAnsi="Arial" w:eastAsia="Arial" w:cs="Arial"/>
                <w:sz w:val="24"/>
                <w:szCs w:val="24"/>
              </w:rPr>
              <w:t>Fusiform Face Complex</w:t>
            </w:r>
          </w:p>
        </w:tc>
        <w:tc>
          <w:tcPr>
            <w:tcW w:w="1702" w:type="dxa"/>
          </w:tcPr>
          <w:p w14:paraId="00000045">
            <w:pPr>
              <w:jc w:val="left"/>
              <w:rPr>
                <w:rFonts w:ascii="Arial" w:hAnsi="Arial" w:eastAsia="Arial" w:cs="Arial"/>
                <w:sz w:val="24"/>
                <w:szCs w:val="24"/>
              </w:rPr>
            </w:pPr>
            <w:r>
              <w:rPr>
                <w:rFonts w:ascii="Arial" w:hAnsi="Arial" w:eastAsia="Arial" w:cs="Arial"/>
                <w:sz w:val="24"/>
                <w:szCs w:val="24"/>
              </w:rPr>
              <w:t>FFA, FG2</w:t>
            </w:r>
          </w:p>
        </w:tc>
        <w:tc>
          <w:tcPr>
            <w:tcW w:w="3250" w:type="dxa"/>
          </w:tcPr>
          <w:p w14:paraId="00000046">
            <w:pPr>
              <w:jc w:val="left"/>
              <w:rPr>
                <w:rFonts w:ascii="Arial" w:hAnsi="Arial" w:eastAsia="Arial" w:cs="Arial"/>
                <w:sz w:val="24"/>
                <w:szCs w:val="24"/>
              </w:rPr>
            </w:pPr>
            <w:r>
              <w:rPr>
                <w:rFonts w:ascii="Arial" w:hAnsi="Arial" w:eastAsia="Arial" w:cs="Arial"/>
                <w:sz w:val="24"/>
                <w:szCs w:val="24"/>
              </w:rPr>
              <w:t>Glasser and Van Essen 2011, Kanwisher and Yovel, 2006, Caspers et al 2013, Weiner et al 2014</w:t>
            </w:r>
          </w:p>
        </w:tc>
      </w:tr>
      <w:tr w14:paraId="6741E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0" w:hRule="atLeast"/>
          <w:jc w:val="center"/>
        </w:trPr>
        <w:tc>
          <w:tcPr>
            <w:tcW w:w="982" w:type="dxa"/>
          </w:tcPr>
          <w:p w14:paraId="00000047">
            <w:pPr>
              <w:jc w:val="center"/>
              <w:rPr>
                <w:rFonts w:ascii="Arial" w:hAnsi="Arial" w:eastAsia="Arial" w:cs="Arial"/>
                <w:sz w:val="24"/>
                <w:szCs w:val="24"/>
              </w:rPr>
            </w:pPr>
            <w:r>
              <w:rPr>
                <w:rFonts w:ascii="Arial" w:hAnsi="Arial" w:eastAsia="Arial" w:cs="Arial"/>
                <w:sz w:val="24"/>
                <w:szCs w:val="24"/>
              </w:rPr>
              <w:t>V3B</w:t>
            </w:r>
          </w:p>
        </w:tc>
        <w:tc>
          <w:tcPr>
            <w:tcW w:w="2362" w:type="dxa"/>
          </w:tcPr>
          <w:p w14:paraId="00000048">
            <w:pPr>
              <w:jc w:val="left"/>
              <w:rPr>
                <w:rFonts w:ascii="Arial" w:hAnsi="Arial" w:eastAsia="Arial" w:cs="Arial"/>
                <w:sz w:val="24"/>
                <w:szCs w:val="24"/>
              </w:rPr>
            </w:pPr>
            <w:r>
              <w:rPr>
                <w:rFonts w:ascii="Arial" w:hAnsi="Arial" w:eastAsia="Arial" w:cs="Arial"/>
                <w:sz w:val="24"/>
                <w:szCs w:val="24"/>
              </w:rPr>
              <w:t>Area V3B</w:t>
            </w:r>
          </w:p>
        </w:tc>
        <w:tc>
          <w:tcPr>
            <w:tcW w:w="1702" w:type="dxa"/>
          </w:tcPr>
          <w:p w14:paraId="00000049">
            <w:pPr>
              <w:jc w:val="left"/>
              <w:rPr>
                <w:rFonts w:ascii="Arial" w:hAnsi="Arial" w:eastAsia="Arial" w:cs="Arial"/>
                <w:sz w:val="24"/>
                <w:szCs w:val="24"/>
              </w:rPr>
            </w:pPr>
            <w:r>
              <w:rPr>
                <w:rFonts w:ascii="Arial" w:hAnsi="Arial" w:eastAsia="Arial" w:cs="Arial"/>
                <w:sz w:val="24"/>
                <w:szCs w:val="24"/>
              </w:rPr>
              <w:t>V3C</w:t>
            </w:r>
          </w:p>
        </w:tc>
        <w:tc>
          <w:tcPr>
            <w:tcW w:w="3250" w:type="dxa"/>
          </w:tcPr>
          <w:p w14:paraId="0000004A">
            <w:pPr>
              <w:jc w:val="left"/>
              <w:rPr>
                <w:rFonts w:ascii="Arial" w:hAnsi="Arial" w:eastAsia="Arial" w:cs="Arial"/>
                <w:sz w:val="24"/>
                <w:szCs w:val="24"/>
              </w:rPr>
            </w:pPr>
            <w:r>
              <w:rPr>
                <w:rFonts w:ascii="Arial" w:hAnsi="Arial" w:eastAsia="Arial" w:cs="Arial"/>
                <w:sz w:val="24"/>
                <w:szCs w:val="24"/>
              </w:rPr>
              <w:t>Abdollahi et al 2014, Larsson and Heeger 2006, Swisher et al 2007, Wandell and Winawer 2011, Smith et al 1998</w:t>
            </w:r>
          </w:p>
        </w:tc>
      </w:tr>
      <w:tr w14:paraId="66EBA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982" w:type="dxa"/>
          </w:tcPr>
          <w:p w14:paraId="0000004B">
            <w:pPr>
              <w:jc w:val="center"/>
              <w:rPr>
                <w:rFonts w:ascii="Arial" w:hAnsi="Arial" w:eastAsia="Arial" w:cs="Arial"/>
                <w:sz w:val="24"/>
                <w:szCs w:val="24"/>
              </w:rPr>
            </w:pPr>
            <w:r>
              <w:rPr>
                <w:rFonts w:ascii="Arial" w:hAnsi="Arial" w:eastAsia="Arial" w:cs="Arial"/>
                <w:sz w:val="24"/>
                <w:szCs w:val="24"/>
              </w:rPr>
              <w:t>LO1</w:t>
            </w:r>
          </w:p>
        </w:tc>
        <w:tc>
          <w:tcPr>
            <w:tcW w:w="2362" w:type="dxa"/>
          </w:tcPr>
          <w:p w14:paraId="0000004C">
            <w:pPr>
              <w:jc w:val="left"/>
              <w:rPr>
                <w:rFonts w:ascii="Arial" w:hAnsi="Arial" w:eastAsia="Arial" w:cs="Arial"/>
                <w:sz w:val="24"/>
                <w:szCs w:val="24"/>
              </w:rPr>
            </w:pPr>
            <w:r>
              <w:rPr>
                <w:rFonts w:ascii="Arial" w:hAnsi="Arial" w:eastAsia="Arial" w:cs="Arial"/>
                <w:sz w:val="24"/>
                <w:szCs w:val="24"/>
              </w:rPr>
              <w:t>Area Lateral Occipital 1</w:t>
            </w:r>
          </w:p>
        </w:tc>
        <w:tc>
          <w:tcPr>
            <w:tcW w:w="1702" w:type="dxa"/>
          </w:tcPr>
          <w:p w14:paraId="0000004D">
            <w:pPr>
              <w:jc w:val="left"/>
              <w:rPr>
                <w:rFonts w:ascii="Arial" w:hAnsi="Arial" w:eastAsia="Arial" w:cs="Arial"/>
                <w:sz w:val="24"/>
                <w:szCs w:val="24"/>
              </w:rPr>
            </w:pPr>
            <w:r>
              <w:rPr>
                <w:rFonts w:ascii="Arial" w:hAnsi="Arial" w:eastAsia="Arial" w:cs="Arial"/>
                <w:sz w:val="24"/>
                <w:szCs w:val="24"/>
              </w:rPr>
              <w:t>LO2, hOC4la</w:t>
            </w:r>
          </w:p>
        </w:tc>
        <w:tc>
          <w:tcPr>
            <w:tcW w:w="3250" w:type="dxa"/>
          </w:tcPr>
          <w:p w14:paraId="0000004E">
            <w:pPr>
              <w:jc w:val="left"/>
              <w:rPr>
                <w:rFonts w:ascii="Arial" w:hAnsi="Arial" w:eastAsia="Arial" w:cs="Arial"/>
                <w:sz w:val="24"/>
                <w:szCs w:val="24"/>
              </w:rPr>
            </w:pPr>
            <w:r>
              <w:rPr>
                <w:rFonts w:ascii="Arial" w:hAnsi="Arial" w:eastAsia="Arial" w:cs="Arial"/>
                <w:sz w:val="24"/>
                <w:szCs w:val="24"/>
              </w:rPr>
              <w:t>Abdollahi et al 2014, Hansen et al 2007, Malikovic et al 2015, Larsson and Heeger 2006</w:t>
            </w:r>
          </w:p>
        </w:tc>
      </w:tr>
      <w:tr w14:paraId="796F0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982" w:type="dxa"/>
          </w:tcPr>
          <w:p w14:paraId="0000004F">
            <w:pPr>
              <w:jc w:val="center"/>
              <w:rPr>
                <w:rFonts w:ascii="Arial" w:hAnsi="Arial" w:eastAsia="Arial" w:cs="Arial"/>
                <w:sz w:val="24"/>
                <w:szCs w:val="24"/>
              </w:rPr>
            </w:pPr>
            <w:r>
              <w:rPr>
                <w:rFonts w:ascii="Arial" w:hAnsi="Arial" w:eastAsia="Arial" w:cs="Arial"/>
                <w:sz w:val="24"/>
                <w:szCs w:val="24"/>
              </w:rPr>
              <w:t>LO2</w:t>
            </w:r>
          </w:p>
        </w:tc>
        <w:tc>
          <w:tcPr>
            <w:tcW w:w="2362" w:type="dxa"/>
          </w:tcPr>
          <w:p w14:paraId="00000050">
            <w:pPr>
              <w:jc w:val="left"/>
              <w:rPr>
                <w:rFonts w:ascii="Arial" w:hAnsi="Arial" w:eastAsia="Arial" w:cs="Arial"/>
                <w:sz w:val="24"/>
                <w:szCs w:val="24"/>
              </w:rPr>
            </w:pPr>
            <w:r>
              <w:rPr>
                <w:rFonts w:ascii="Arial" w:hAnsi="Arial" w:eastAsia="Arial" w:cs="Arial"/>
                <w:sz w:val="24"/>
                <w:szCs w:val="24"/>
              </w:rPr>
              <w:t>Area Lateral Occipital 2</w:t>
            </w:r>
          </w:p>
        </w:tc>
        <w:tc>
          <w:tcPr>
            <w:tcW w:w="1702" w:type="dxa"/>
          </w:tcPr>
          <w:p w14:paraId="00000051">
            <w:pPr>
              <w:jc w:val="left"/>
              <w:rPr>
                <w:rFonts w:ascii="Arial" w:hAnsi="Arial" w:eastAsia="Arial" w:cs="Arial"/>
                <w:sz w:val="24"/>
                <w:szCs w:val="24"/>
              </w:rPr>
            </w:pPr>
            <w:r>
              <w:rPr>
                <w:rFonts w:ascii="Arial" w:hAnsi="Arial" w:eastAsia="Arial" w:cs="Arial"/>
                <w:sz w:val="24"/>
                <w:szCs w:val="24"/>
              </w:rPr>
              <w:t>LO1, hOC4la</w:t>
            </w:r>
          </w:p>
        </w:tc>
        <w:tc>
          <w:tcPr>
            <w:tcW w:w="3250" w:type="dxa"/>
          </w:tcPr>
          <w:p w14:paraId="00000052">
            <w:pPr>
              <w:jc w:val="left"/>
              <w:rPr>
                <w:rFonts w:ascii="Arial" w:hAnsi="Arial" w:eastAsia="Arial" w:cs="Arial"/>
                <w:sz w:val="24"/>
                <w:szCs w:val="24"/>
              </w:rPr>
            </w:pPr>
            <w:r>
              <w:rPr>
                <w:rFonts w:ascii="Arial" w:hAnsi="Arial" w:eastAsia="Arial" w:cs="Arial"/>
                <w:sz w:val="24"/>
                <w:szCs w:val="24"/>
              </w:rPr>
              <w:t>Abdollahi et al 2014, Hansen et al 2007, Malikovic et al 2015, Larsson and Heeger 2006</w:t>
            </w:r>
          </w:p>
        </w:tc>
      </w:tr>
      <w:tr w14:paraId="328FC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0" w:hRule="atLeast"/>
          <w:jc w:val="center"/>
        </w:trPr>
        <w:tc>
          <w:tcPr>
            <w:tcW w:w="982" w:type="dxa"/>
          </w:tcPr>
          <w:p w14:paraId="00000053">
            <w:pPr>
              <w:jc w:val="center"/>
              <w:rPr>
                <w:rFonts w:ascii="Arial" w:hAnsi="Arial" w:eastAsia="Arial" w:cs="Arial"/>
                <w:sz w:val="24"/>
                <w:szCs w:val="24"/>
              </w:rPr>
            </w:pPr>
            <w:r>
              <w:rPr>
                <w:rFonts w:ascii="Arial" w:hAnsi="Arial" w:eastAsia="Arial" w:cs="Arial"/>
                <w:sz w:val="24"/>
                <w:szCs w:val="24"/>
              </w:rPr>
              <w:t>PIT</w:t>
            </w:r>
          </w:p>
        </w:tc>
        <w:tc>
          <w:tcPr>
            <w:tcW w:w="2362" w:type="dxa"/>
          </w:tcPr>
          <w:p w14:paraId="00000054">
            <w:pPr>
              <w:jc w:val="left"/>
              <w:rPr>
                <w:rFonts w:ascii="Arial" w:hAnsi="Arial" w:eastAsia="Arial" w:cs="Arial"/>
                <w:sz w:val="24"/>
                <w:szCs w:val="24"/>
              </w:rPr>
            </w:pPr>
            <w:r>
              <w:rPr>
                <w:rFonts w:ascii="Arial" w:hAnsi="Arial" w:eastAsia="Arial" w:cs="Arial"/>
                <w:sz w:val="24"/>
                <w:szCs w:val="24"/>
              </w:rPr>
              <w:t>Posterior InferoTemporal Complex</w:t>
            </w:r>
          </w:p>
        </w:tc>
        <w:tc>
          <w:tcPr>
            <w:tcW w:w="1702" w:type="dxa"/>
          </w:tcPr>
          <w:p w14:paraId="00000055">
            <w:pPr>
              <w:jc w:val="left"/>
              <w:rPr>
                <w:rFonts w:ascii="Arial" w:hAnsi="Arial" w:eastAsia="Arial" w:cs="Arial"/>
                <w:sz w:val="24"/>
                <w:szCs w:val="24"/>
              </w:rPr>
            </w:pPr>
            <w:r>
              <w:rPr>
                <w:rFonts w:ascii="Arial" w:hAnsi="Arial" w:eastAsia="Arial" w:cs="Arial"/>
                <w:sz w:val="24"/>
                <w:szCs w:val="24"/>
              </w:rPr>
              <w:t>phPITv, phPITd, OFA, hOC4la</w:t>
            </w:r>
          </w:p>
        </w:tc>
        <w:tc>
          <w:tcPr>
            <w:tcW w:w="3250" w:type="dxa"/>
          </w:tcPr>
          <w:p w14:paraId="00000056">
            <w:pPr>
              <w:jc w:val="left"/>
              <w:rPr>
                <w:rFonts w:ascii="Arial" w:hAnsi="Arial" w:eastAsia="Arial" w:cs="Arial"/>
                <w:sz w:val="24"/>
                <w:szCs w:val="24"/>
              </w:rPr>
            </w:pPr>
            <w:r>
              <w:rPr>
                <w:rFonts w:ascii="Arial" w:hAnsi="Arial" w:eastAsia="Arial" w:cs="Arial"/>
                <w:sz w:val="24"/>
                <w:szCs w:val="24"/>
              </w:rPr>
              <w:t>Abdollahi et al 2014, Kolster et al 2010, Malikovic et al 2015, Kanwisher and Yovel, 2006, Tsao et al 2008</w:t>
            </w:r>
          </w:p>
        </w:tc>
      </w:tr>
      <w:tr w14:paraId="51F07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982" w:type="dxa"/>
          </w:tcPr>
          <w:p w14:paraId="00000057">
            <w:pPr>
              <w:jc w:val="center"/>
              <w:rPr>
                <w:rFonts w:ascii="Arial" w:hAnsi="Arial" w:eastAsia="Arial" w:cs="Arial"/>
                <w:sz w:val="24"/>
                <w:szCs w:val="24"/>
              </w:rPr>
            </w:pPr>
            <w:r>
              <w:rPr>
                <w:rFonts w:ascii="Arial" w:hAnsi="Arial" w:eastAsia="Arial" w:cs="Arial"/>
                <w:sz w:val="24"/>
                <w:szCs w:val="24"/>
              </w:rPr>
              <w:t>MT</w:t>
            </w:r>
          </w:p>
        </w:tc>
        <w:tc>
          <w:tcPr>
            <w:tcW w:w="2362" w:type="dxa"/>
          </w:tcPr>
          <w:p w14:paraId="00000058">
            <w:pPr>
              <w:jc w:val="left"/>
              <w:rPr>
                <w:rFonts w:ascii="Arial" w:hAnsi="Arial" w:eastAsia="Arial" w:cs="Arial"/>
                <w:sz w:val="24"/>
                <w:szCs w:val="24"/>
              </w:rPr>
            </w:pPr>
            <w:r>
              <w:rPr>
                <w:rFonts w:ascii="Arial" w:hAnsi="Arial" w:eastAsia="Arial" w:cs="Arial"/>
                <w:sz w:val="24"/>
                <w:szCs w:val="24"/>
              </w:rPr>
              <w:t>Middle Temporal Area</w:t>
            </w:r>
          </w:p>
        </w:tc>
        <w:tc>
          <w:tcPr>
            <w:tcW w:w="1702" w:type="dxa"/>
          </w:tcPr>
          <w:p w14:paraId="00000059">
            <w:pPr>
              <w:jc w:val="left"/>
              <w:rPr>
                <w:rFonts w:ascii="Arial" w:hAnsi="Arial" w:eastAsia="Arial" w:cs="Arial"/>
                <w:sz w:val="24"/>
                <w:szCs w:val="24"/>
              </w:rPr>
            </w:pPr>
            <w:r>
              <w:rPr>
                <w:rFonts w:ascii="Arial" w:hAnsi="Arial" w:eastAsia="Arial" w:cs="Arial"/>
                <w:sz w:val="24"/>
                <w:szCs w:val="24"/>
              </w:rPr>
              <w:t>hOC5, hOC5d</w:t>
            </w:r>
          </w:p>
        </w:tc>
        <w:tc>
          <w:tcPr>
            <w:tcW w:w="3250" w:type="dxa"/>
          </w:tcPr>
          <w:p w14:paraId="0000005A">
            <w:pPr>
              <w:jc w:val="left"/>
              <w:rPr>
                <w:rFonts w:ascii="Arial" w:hAnsi="Arial" w:eastAsia="Arial" w:cs="Arial"/>
                <w:sz w:val="24"/>
                <w:szCs w:val="24"/>
              </w:rPr>
            </w:pPr>
            <w:r>
              <w:rPr>
                <w:rFonts w:ascii="Arial" w:hAnsi="Arial" w:eastAsia="Arial" w:cs="Arial"/>
                <w:sz w:val="24"/>
                <w:szCs w:val="24"/>
              </w:rPr>
              <w:t>Abdollahi et al 2014, Kolster et al 2010, Malikovic et al 2007, Fischl et al 2008</w:t>
            </w:r>
          </w:p>
        </w:tc>
      </w:tr>
      <w:tr w14:paraId="116D6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82" w:type="dxa"/>
          </w:tcPr>
          <w:p w14:paraId="0000005B">
            <w:pPr>
              <w:jc w:val="center"/>
              <w:rPr>
                <w:rFonts w:ascii="Arial" w:hAnsi="Arial" w:eastAsia="Arial" w:cs="Arial"/>
                <w:sz w:val="24"/>
                <w:szCs w:val="24"/>
              </w:rPr>
            </w:pPr>
            <w:r>
              <w:rPr>
                <w:rFonts w:ascii="Arial" w:hAnsi="Arial" w:eastAsia="Arial" w:cs="Arial"/>
                <w:sz w:val="24"/>
                <w:szCs w:val="24"/>
              </w:rPr>
              <w:t>PCV</w:t>
            </w:r>
          </w:p>
        </w:tc>
        <w:tc>
          <w:tcPr>
            <w:tcW w:w="2362" w:type="dxa"/>
          </w:tcPr>
          <w:p w14:paraId="0000005C">
            <w:pPr>
              <w:jc w:val="left"/>
              <w:rPr>
                <w:rFonts w:ascii="Arial" w:hAnsi="Arial" w:eastAsia="Arial" w:cs="Arial"/>
                <w:sz w:val="24"/>
                <w:szCs w:val="24"/>
              </w:rPr>
            </w:pPr>
            <w:r>
              <w:rPr>
                <w:rFonts w:ascii="Arial" w:hAnsi="Arial" w:eastAsia="Arial" w:cs="Arial"/>
                <w:sz w:val="24"/>
                <w:szCs w:val="24"/>
              </w:rPr>
              <w:t>PreCuneus Visual Area</w:t>
            </w:r>
          </w:p>
        </w:tc>
        <w:tc>
          <w:tcPr>
            <w:tcW w:w="1702" w:type="dxa"/>
          </w:tcPr>
          <w:p w14:paraId="0000005D">
            <w:pPr>
              <w:jc w:val="left"/>
              <w:rPr>
                <w:rFonts w:ascii="Arial" w:hAnsi="Arial" w:eastAsia="Arial" w:cs="Arial"/>
                <w:sz w:val="24"/>
                <w:szCs w:val="24"/>
              </w:rPr>
            </w:pPr>
            <w:r>
              <w:rPr>
                <w:rFonts w:ascii="Arial" w:hAnsi="Arial" w:eastAsia="Arial" w:cs="Arial"/>
                <w:sz w:val="24"/>
                <w:szCs w:val="24"/>
              </w:rPr>
              <w:t>PrCu</w:t>
            </w:r>
          </w:p>
        </w:tc>
        <w:tc>
          <w:tcPr>
            <w:tcW w:w="3250" w:type="dxa"/>
          </w:tcPr>
          <w:p w14:paraId="0000005E">
            <w:pPr>
              <w:jc w:val="left"/>
              <w:rPr>
                <w:rFonts w:ascii="Arial" w:hAnsi="Arial" w:eastAsia="Arial" w:cs="Arial"/>
                <w:sz w:val="24"/>
                <w:szCs w:val="24"/>
              </w:rPr>
            </w:pPr>
            <w:r>
              <w:rPr>
                <w:rFonts w:ascii="Arial" w:hAnsi="Arial" w:eastAsia="Arial" w:cs="Arial"/>
                <w:sz w:val="24"/>
                <w:szCs w:val="24"/>
              </w:rPr>
              <w:t>Sereno et al 2012</w:t>
            </w:r>
          </w:p>
        </w:tc>
      </w:tr>
      <w:tr w14:paraId="2D70C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5F">
            <w:pPr>
              <w:jc w:val="center"/>
              <w:rPr>
                <w:rFonts w:ascii="Arial" w:hAnsi="Arial" w:eastAsia="Arial" w:cs="Arial"/>
                <w:sz w:val="24"/>
                <w:szCs w:val="24"/>
              </w:rPr>
            </w:pPr>
            <w:r>
              <w:rPr>
                <w:rFonts w:ascii="Arial" w:hAnsi="Arial" w:eastAsia="Arial" w:cs="Arial"/>
                <w:sz w:val="24"/>
                <w:szCs w:val="24"/>
              </w:rPr>
              <w:t>7Pm</w:t>
            </w:r>
          </w:p>
        </w:tc>
        <w:tc>
          <w:tcPr>
            <w:tcW w:w="2362" w:type="dxa"/>
          </w:tcPr>
          <w:p w14:paraId="00000060">
            <w:pPr>
              <w:jc w:val="left"/>
              <w:rPr>
                <w:rFonts w:ascii="Arial" w:hAnsi="Arial" w:eastAsia="Arial" w:cs="Arial"/>
                <w:sz w:val="24"/>
                <w:szCs w:val="24"/>
              </w:rPr>
            </w:pPr>
            <w:r>
              <w:rPr>
                <w:rFonts w:ascii="Arial" w:hAnsi="Arial" w:eastAsia="Arial" w:cs="Arial"/>
                <w:sz w:val="24"/>
                <w:szCs w:val="24"/>
              </w:rPr>
              <w:t>Medial Area 7P</w:t>
            </w:r>
          </w:p>
        </w:tc>
        <w:tc>
          <w:tcPr>
            <w:tcW w:w="1702" w:type="dxa"/>
          </w:tcPr>
          <w:p w14:paraId="00000061">
            <w:pPr>
              <w:jc w:val="left"/>
              <w:rPr>
                <w:rFonts w:ascii="Arial" w:hAnsi="Arial" w:eastAsia="Arial" w:cs="Arial"/>
                <w:sz w:val="24"/>
                <w:szCs w:val="24"/>
              </w:rPr>
            </w:pPr>
            <w:r>
              <w:rPr>
                <w:rFonts w:ascii="Arial" w:hAnsi="Arial" w:eastAsia="Arial" w:cs="Arial"/>
                <w:sz w:val="24"/>
                <w:szCs w:val="24"/>
              </w:rPr>
              <w:t>7P</w:t>
            </w:r>
          </w:p>
        </w:tc>
        <w:tc>
          <w:tcPr>
            <w:tcW w:w="3250" w:type="dxa"/>
          </w:tcPr>
          <w:p w14:paraId="00000062">
            <w:pPr>
              <w:jc w:val="left"/>
              <w:rPr>
                <w:rFonts w:ascii="Arial" w:hAnsi="Arial" w:eastAsia="Arial" w:cs="Arial"/>
                <w:sz w:val="24"/>
                <w:szCs w:val="24"/>
              </w:rPr>
            </w:pPr>
            <w:r>
              <w:rPr>
                <w:rFonts w:ascii="Arial" w:hAnsi="Arial" w:eastAsia="Arial" w:cs="Arial"/>
                <w:sz w:val="24"/>
                <w:szCs w:val="24"/>
              </w:rPr>
              <w:t>Scheperjans et al 2008a, Scheperjans et al 2008b</w:t>
            </w:r>
          </w:p>
        </w:tc>
      </w:tr>
      <w:tr w14:paraId="5B2B0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63">
            <w:pPr>
              <w:jc w:val="center"/>
              <w:rPr>
                <w:rFonts w:ascii="Arial" w:hAnsi="Arial" w:eastAsia="Arial" w:cs="Arial"/>
                <w:sz w:val="24"/>
                <w:szCs w:val="24"/>
              </w:rPr>
            </w:pPr>
            <w:r>
              <w:rPr>
                <w:rFonts w:ascii="Arial" w:hAnsi="Arial" w:eastAsia="Arial" w:cs="Arial"/>
                <w:sz w:val="24"/>
                <w:szCs w:val="24"/>
              </w:rPr>
              <w:t>POS1</w:t>
            </w:r>
          </w:p>
        </w:tc>
        <w:tc>
          <w:tcPr>
            <w:tcW w:w="2362" w:type="dxa"/>
          </w:tcPr>
          <w:p w14:paraId="00000064">
            <w:pPr>
              <w:jc w:val="left"/>
              <w:rPr>
                <w:rFonts w:ascii="Arial" w:hAnsi="Arial" w:eastAsia="Arial" w:cs="Arial"/>
                <w:sz w:val="24"/>
                <w:szCs w:val="24"/>
              </w:rPr>
            </w:pPr>
            <w:r>
              <w:rPr>
                <w:rFonts w:ascii="Arial" w:hAnsi="Arial" w:eastAsia="Arial" w:cs="Arial"/>
                <w:sz w:val="24"/>
                <w:szCs w:val="24"/>
              </w:rPr>
              <w:t>Parieto-Occipital Sulcus Area 1</w:t>
            </w:r>
          </w:p>
        </w:tc>
        <w:tc>
          <w:tcPr>
            <w:tcW w:w="1702" w:type="dxa"/>
          </w:tcPr>
          <w:p w14:paraId="00000065">
            <w:pPr>
              <w:jc w:val="left"/>
              <w:rPr>
                <w:rFonts w:ascii="Arial" w:hAnsi="Arial" w:eastAsia="Arial" w:cs="Arial"/>
                <w:sz w:val="24"/>
                <w:szCs w:val="24"/>
              </w:rPr>
            </w:pPr>
            <w:r>
              <w:rPr>
                <w:rFonts w:ascii="Arial" w:hAnsi="Arial" w:eastAsia="Arial" w:cs="Arial"/>
                <w:sz w:val="24"/>
                <w:szCs w:val="24"/>
              </w:rPr>
              <w:t>"Retrosplenial Cortex"</w:t>
            </w:r>
          </w:p>
        </w:tc>
        <w:tc>
          <w:tcPr>
            <w:tcW w:w="3250" w:type="dxa"/>
          </w:tcPr>
          <w:p w14:paraId="00000066">
            <w:pPr>
              <w:jc w:val="left"/>
              <w:rPr>
                <w:rFonts w:ascii="Arial" w:hAnsi="Arial" w:eastAsia="Arial" w:cs="Arial"/>
                <w:sz w:val="24"/>
                <w:szCs w:val="24"/>
              </w:rPr>
            </w:pPr>
            <w:r>
              <w:rPr>
                <w:rFonts w:ascii="Arial" w:hAnsi="Arial" w:eastAsia="Arial" w:cs="Arial"/>
                <w:sz w:val="24"/>
                <w:szCs w:val="24"/>
              </w:rPr>
              <w:t>Glasser and Van Essen 2011</w:t>
            </w:r>
          </w:p>
        </w:tc>
      </w:tr>
      <w:tr w14:paraId="1C77F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67">
            <w:pPr>
              <w:jc w:val="center"/>
              <w:rPr>
                <w:rFonts w:ascii="Arial" w:hAnsi="Arial" w:eastAsia="Arial" w:cs="Arial"/>
                <w:sz w:val="24"/>
                <w:szCs w:val="24"/>
              </w:rPr>
            </w:pPr>
            <w:r>
              <w:rPr>
                <w:rFonts w:ascii="Arial" w:hAnsi="Arial" w:eastAsia="Arial" w:cs="Arial"/>
                <w:sz w:val="24"/>
                <w:szCs w:val="24"/>
              </w:rPr>
              <w:t>7Am</w:t>
            </w:r>
          </w:p>
        </w:tc>
        <w:tc>
          <w:tcPr>
            <w:tcW w:w="2362" w:type="dxa"/>
          </w:tcPr>
          <w:p w14:paraId="00000068">
            <w:pPr>
              <w:jc w:val="left"/>
              <w:rPr>
                <w:rFonts w:ascii="Arial" w:hAnsi="Arial" w:eastAsia="Arial" w:cs="Arial"/>
                <w:sz w:val="24"/>
                <w:szCs w:val="24"/>
              </w:rPr>
            </w:pPr>
            <w:r>
              <w:rPr>
                <w:rFonts w:ascii="Arial" w:hAnsi="Arial" w:eastAsia="Arial" w:cs="Arial"/>
                <w:sz w:val="24"/>
                <w:szCs w:val="24"/>
              </w:rPr>
              <w:t>Medial Area 7A</w:t>
            </w:r>
          </w:p>
        </w:tc>
        <w:tc>
          <w:tcPr>
            <w:tcW w:w="1702" w:type="dxa"/>
          </w:tcPr>
          <w:p w14:paraId="00000069">
            <w:pPr>
              <w:jc w:val="left"/>
              <w:rPr>
                <w:rFonts w:ascii="Arial" w:hAnsi="Arial" w:eastAsia="Arial" w:cs="Arial"/>
                <w:sz w:val="24"/>
                <w:szCs w:val="24"/>
              </w:rPr>
            </w:pPr>
          </w:p>
        </w:tc>
        <w:tc>
          <w:tcPr>
            <w:tcW w:w="3250" w:type="dxa"/>
          </w:tcPr>
          <w:p w14:paraId="0000006A">
            <w:pPr>
              <w:jc w:val="left"/>
              <w:rPr>
                <w:rFonts w:ascii="Arial" w:hAnsi="Arial" w:eastAsia="Arial" w:cs="Arial"/>
                <w:sz w:val="24"/>
                <w:szCs w:val="24"/>
              </w:rPr>
            </w:pPr>
            <w:r>
              <w:rPr>
                <w:rFonts w:ascii="Arial" w:hAnsi="Arial" w:eastAsia="Arial" w:cs="Arial"/>
                <w:sz w:val="24"/>
                <w:szCs w:val="24"/>
              </w:rPr>
              <w:t>Scheperjans et al 2008a, Scheperjans et al 2008b</w:t>
            </w:r>
          </w:p>
        </w:tc>
      </w:tr>
      <w:tr w14:paraId="40AB9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6B">
            <w:pPr>
              <w:jc w:val="center"/>
              <w:rPr>
                <w:rFonts w:ascii="Arial" w:hAnsi="Arial" w:eastAsia="Arial" w:cs="Arial"/>
                <w:sz w:val="24"/>
                <w:szCs w:val="24"/>
              </w:rPr>
            </w:pPr>
            <w:r>
              <w:rPr>
                <w:rFonts w:ascii="Arial" w:hAnsi="Arial" w:eastAsia="Arial" w:cs="Arial"/>
                <w:sz w:val="24"/>
                <w:szCs w:val="24"/>
              </w:rPr>
              <w:t>7PL</w:t>
            </w:r>
          </w:p>
        </w:tc>
        <w:tc>
          <w:tcPr>
            <w:tcW w:w="2362" w:type="dxa"/>
          </w:tcPr>
          <w:p w14:paraId="0000006C">
            <w:pPr>
              <w:jc w:val="left"/>
              <w:rPr>
                <w:rFonts w:ascii="Arial" w:hAnsi="Arial" w:eastAsia="Arial" w:cs="Arial"/>
                <w:sz w:val="24"/>
                <w:szCs w:val="24"/>
              </w:rPr>
            </w:pPr>
            <w:r>
              <w:rPr>
                <w:rFonts w:ascii="Arial" w:hAnsi="Arial" w:eastAsia="Arial" w:cs="Arial"/>
                <w:sz w:val="24"/>
                <w:szCs w:val="24"/>
              </w:rPr>
              <w:t>Lateral Area 7P</w:t>
            </w:r>
          </w:p>
        </w:tc>
        <w:tc>
          <w:tcPr>
            <w:tcW w:w="1702" w:type="dxa"/>
          </w:tcPr>
          <w:p w14:paraId="0000006D">
            <w:pPr>
              <w:jc w:val="left"/>
              <w:rPr>
                <w:rFonts w:ascii="Arial" w:hAnsi="Arial" w:eastAsia="Arial" w:cs="Arial"/>
                <w:sz w:val="24"/>
                <w:szCs w:val="24"/>
              </w:rPr>
            </w:pPr>
          </w:p>
        </w:tc>
        <w:tc>
          <w:tcPr>
            <w:tcW w:w="3250" w:type="dxa"/>
          </w:tcPr>
          <w:p w14:paraId="0000006E">
            <w:pPr>
              <w:jc w:val="left"/>
              <w:rPr>
                <w:rFonts w:ascii="Arial" w:hAnsi="Arial" w:eastAsia="Arial" w:cs="Arial"/>
                <w:sz w:val="24"/>
                <w:szCs w:val="24"/>
              </w:rPr>
            </w:pPr>
            <w:r>
              <w:rPr>
                <w:rFonts w:ascii="Arial" w:hAnsi="Arial" w:eastAsia="Arial" w:cs="Arial"/>
                <w:sz w:val="24"/>
                <w:szCs w:val="24"/>
              </w:rPr>
              <w:t>Scheperjans et al 2008a, Scheperjans et al 2008b</w:t>
            </w:r>
          </w:p>
        </w:tc>
      </w:tr>
      <w:tr w14:paraId="12238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jc w:val="center"/>
        </w:trPr>
        <w:tc>
          <w:tcPr>
            <w:tcW w:w="982" w:type="dxa"/>
          </w:tcPr>
          <w:p w14:paraId="0000006F">
            <w:pPr>
              <w:jc w:val="center"/>
              <w:rPr>
                <w:rFonts w:ascii="Arial" w:hAnsi="Arial" w:eastAsia="Arial" w:cs="Arial"/>
                <w:sz w:val="24"/>
                <w:szCs w:val="24"/>
              </w:rPr>
            </w:pPr>
            <w:r>
              <w:rPr>
                <w:rFonts w:ascii="Arial" w:hAnsi="Arial" w:eastAsia="Arial" w:cs="Arial"/>
                <w:sz w:val="24"/>
                <w:szCs w:val="24"/>
              </w:rPr>
              <w:t>LIPv</w:t>
            </w:r>
          </w:p>
        </w:tc>
        <w:tc>
          <w:tcPr>
            <w:tcW w:w="2362" w:type="dxa"/>
          </w:tcPr>
          <w:p w14:paraId="00000070">
            <w:pPr>
              <w:jc w:val="left"/>
              <w:rPr>
                <w:rFonts w:ascii="Arial" w:hAnsi="Arial" w:eastAsia="Arial" w:cs="Arial"/>
                <w:sz w:val="24"/>
                <w:szCs w:val="24"/>
              </w:rPr>
            </w:pPr>
            <w:r>
              <w:rPr>
                <w:rFonts w:ascii="Arial" w:hAnsi="Arial" w:eastAsia="Arial" w:cs="Arial"/>
                <w:sz w:val="24"/>
                <w:szCs w:val="24"/>
              </w:rPr>
              <w:t>Area Lateral IntraParietal ventral</w:t>
            </w:r>
          </w:p>
        </w:tc>
        <w:tc>
          <w:tcPr>
            <w:tcW w:w="1702" w:type="dxa"/>
          </w:tcPr>
          <w:p w14:paraId="00000071">
            <w:pPr>
              <w:jc w:val="left"/>
              <w:rPr>
                <w:rFonts w:ascii="Arial" w:hAnsi="Arial" w:eastAsia="Arial" w:cs="Arial"/>
                <w:sz w:val="24"/>
                <w:szCs w:val="24"/>
              </w:rPr>
            </w:pPr>
            <w:r>
              <w:rPr>
                <w:rFonts w:ascii="Arial" w:hAnsi="Arial" w:eastAsia="Arial" w:cs="Arial"/>
                <w:sz w:val="24"/>
                <w:szCs w:val="24"/>
              </w:rPr>
              <w:t>hIP3</w:t>
            </w:r>
          </w:p>
        </w:tc>
        <w:tc>
          <w:tcPr>
            <w:tcW w:w="3250" w:type="dxa"/>
          </w:tcPr>
          <w:p w14:paraId="00000072">
            <w:pPr>
              <w:jc w:val="left"/>
              <w:rPr>
                <w:rFonts w:ascii="Arial" w:hAnsi="Arial" w:eastAsia="Arial" w:cs="Arial"/>
                <w:sz w:val="24"/>
                <w:szCs w:val="24"/>
              </w:rPr>
            </w:pPr>
            <w:r>
              <w:rPr>
                <w:rFonts w:ascii="Arial" w:hAnsi="Arial" w:eastAsia="Arial" w:cs="Arial"/>
                <w:sz w:val="24"/>
                <w:szCs w:val="24"/>
              </w:rPr>
              <w:t>Van Essen et al 2012a, Scheperjans et al 2008a, Scheperjans et al 2008b</w:t>
            </w:r>
          </w:p>
        </w:tc>
      </w:tr>
      <w:tr w14:paraId="792E4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73">
            <w:pPr>
              <w:jc w:val="center"/>
              <w:rPr>
                <w:rFonts w:ascii="Arial" w:hAnsi="Arial" w:eastAsia="Arial" w:cs="Arial"/>
                <w:sz w:val="24"/>
                <w:szCs w:val="24"/>
              </w:rPr>
            </w:pPr>
            <w:r>
              <w:rPr>
                <w:rFonts w:ascii="Arial" w:hAnsi="Arial" w:eastAsia="Arial" w:cs="Arial"/>
                <w:sz w:val="24"/>
                <w:szCs w:val="24"/>
              </w:rPr>
              <w:t>VIP</w:t>
            </w:r>
          </w:p>
        </w:tc>
        <w:tc>
          <w:tcPr>
            <w:tcW w:w="2362" w:type="dxa"/>
          </w:tcPr>
          <w:p w14:paraId="00000074">
            <w:pPr>
              <w:jc w:val="left"/>
              <w:rPr>
                <w:rFonts w:ascii="Arial" w:hAnsi="Arial" w:eastAsia="Arial" w:cs="Arial"/>
                <w:sz w:val="24"/>
                <w:szCs w:val="24"/>
              </w:rPr>
            </w:pPr>
            <w:r>
              <w:rPr>
                <w:rFonts w:ascii="Arial" w:hAnsi="Arial" w:eastAsia="Arial" w:cs="Arial"/>
                <w:sz w:val="24"/>
                <w:szCs w:val="24"/>
              </w:rPr>
              <w:t>Ventral IntraParietal Complex</w:t>
            </w:r>
          </w:p>
        </w:tc>
        <w:tc>
          <w:tcPr>
            <w:tcW w:w="1702" w:type="dxa"/>
          </w:tcPr>
          <w:p w14:paraId="00000075">
            <w:pPr>
              <w:jc w:val="left"/>
              <w:rPr>
                <w:rFonts w:ascii="Arial" w:hAnsi="Arial" w:eastAsia="Arial" w:cs="Arial"/>
                <w:sz w:val="24"/>
                <w:szCs w:val="24"/>
              </w:rPr>
            </w:pPr>
          </w:p>
        </w:tc>
        <w:tc>
          <w:tcPr>
            <w:tcW w:w="3250" w:type="dxa"/>
          </w:tcPr>
          <w:p w14:paraId="00000076">
            <w:pPr>
              <w:jc w:val="left"/>
              <w:rPr>
                <w:rFonts w:ascii="Arial" w:hAnsi="Arial" w:eastAsia="Arial" w:cs="Arial"/>
                <w:sz w:val="24"/>
                <w:szCs w:val="24"/>
              </w:rPr>
            </w:pPr>
            <w:r>
              <w:rPr>
                <w:rFonts w:ascii="Arial" w:hAnsi="Arial" w:eastAsia="Arial" w:cs="Arial"/>
                <w:sz w:val="24"/>
                <w:szCs w:val="24"/>
              </w:rPr>
              <w:t>Van Essen et al 2012a</w:t>
            </w:r>
          </w:p>
        </w:tc>
      </w:tr>
      <w:tr w14:paraId="7F3B9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77">
            <w:pPr>
              <w:jc w:val="center"/>
              <w:rPr>
                <w:rFonts w:ascii="Arial" w:hAnsi="Arial" w:eastAsia="Arial" w:cs="Arial"/>
                <w:sz w:val="24"/>
                <w:szCs w:val="24"/>
              </w:rPr>
            </w:pPr>
            <w:r>
              <w:rPr>
                <w:rFonts w:ascii="Arial" w:hAnsi="Arial" w:eastAsia="Arial" w:cs="Arial"/>
                <w:sz w:val="24"/>
                <w:szCs w:val="24"/>
              </w:rPr>
              <w:t>MIP</w:t>
            </w:r>
          </w:p>
        </w:tc>
        <w:tc>
          <w:tcPr>
            <w:tcW w:w="2362" w:type="dxa"/>
          </w:tcPr>
          <w:p w14:paraId="00000078">
            <w:pPr>
              <w:jc w:val="left"/>
              <w:rPr>
                <w:rFonts w:ascii="Arial" w:hAnsi="Arial" w:eastAsia="Arial" w:cs="Arial"/>
                <w:sz w:val="24"/>
                <w:szCs w:val="24"/>
              </w:rPr>
            </w:pPr>
            <w:r>
              <w:rPr>
                <w:rFonts w:ascii="Arial" w:hAnsi="Arial" w:eastAsia="Arial" w:cs="Arial"/>
                <w:sz w:val="24"/>
                <w:szCs w:val="24"/>
              </w:rPr>
              <w:t>Medial IntraParietal Area</w:t>
            </w:r>
          </w:p>
        </w:tc>
        <w:tc>
          <w:tcPr>
            <w:tcW w:w="1702" w:type="dxa"/>
          </w:tcPr>
          <w:p w14:paraId="00000079">
            <w:pPr>
              <w:jc w:val="left"/>
              <w:rPr>
                <w:rFonts w:ascii="Arial" w:hAnsi="Arial" w:eastAsia="Arial" w:cs="Arial"/>
                <w:sz w:val="24"/>
                <w:szCs w:val="24"/>
              </w:rPr>
            </w:pPr>
          </w:p>
        </w:tc>
        <w:tc>
          <w:tcPr>
            <w:tcW w:w="3250" w:type="dxa"/>
          </w:tcPr>
          <w:p w14:paraId="0000007A">
            <w:pPr>
              <w:jc w:val="left"/>
              <w:rPr>
                <w:rFonts w:ascii="Arial" w:hAnsi="Arial" w:eastAsia="Arial" w:cs="Arial"/>
                <w:sz w:val="24"/>
                <w:szCs w:val="24"/>
              </w:rPr>
            </w:pPr>
            <w:r>
              <w:rPr>
                <w:rFonts w:ascii="Arial" w:hAnsi="Arial" w:eastAsia="Arial" w:cs="Arial"/>
                <w:sz w:val="24"/>
                <w:szCs w:val="24"/>
              </w:rPr>
              <w:t>Van Essen et al 2012a</w:t>
            </w:r>
          </w:p>
        </w:tc>
      </w:tr>
      <w:tr w14:paraId="2CE76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982" w:type="dxa"/>
          </w:tcPr>
          <w:p w14:paraId="0000007B">
            <w:pPr>
              <w:jc w:val="center"/>
              <w:rPr>
                <w:rFonts w:ascii="Arial" w:hAnsi="Arial" w:eastAsia="Arial" w:cs="Arial"/>
                <w:sz w:val="24"/>
                <w:szCs w:val="24"/>
              </w:rPr>
            </w:pPr>
            <w:r>
              <w:rPr>
                <w:rFonts w:ascii="Arial" w:hAnsi="Arial" w:eastAsia="Arial" w:cs="Arial"/>
                <w:sz w:val="24"/>
                <w:szCs w:val="24"/>
              </w:rPr>
              <w:t>ProS</w:t>
            </w:r>
          </w:p>
        </w:tc>
        <w:tc>
          <w:tcPr>
            <w:tcW w:w="2362" w:type="dxa"/>
          </w:tcPr>
          <w:p w14:paraId="0000007C">
            <w:pPr>
              <w:jc w:val="left"/>
              <w:rPr>
                <w:rFonts w:ascii="Arial" w:hAnsi="Arial" w:eastAsia="Arial" w:cs="Arial"/>
                <w:sz w:val="24"/>
                <w:szCs w:val="24"/>
              </w:rPr>
            </w:pPr>
            <w:r>
              <w:rPr>
                <w:rFonts w:ascii="Arial" w:hAnsi="Arial" w:eastAsia="Arial" w:cs="Arial"/>
                <w:sz w:val="24"/>
                <w:szCs w:val="24"/>
              </w:rPr>
              <w:t>ProStriate Area</w:t>
            </w:r>
          </w:p>
        </w:tc>
        <w:tc>
          <w:tcPr>
            <w:tcW w:w="1702" w:type="dxa"/>
          </w:tcPr>
          <w:p w14:paraId="0000007D">
            <w:pPr>
              <w:jc w:val="left"/>
              <w:rPr>
                <w:rFonts w:ascii="Arial" w:hAnsi="Arial" w:eastAsia="Arial" w:cs="Arial"/>
                <w:sz w:val="24"/>
                <w:szCs w:val="24"/>
              </w:rPr>
            </w:pPr>
          </w:p>
        </w:tc>
        <w:tc>
          <w:tcPr>
            <w:tcW w:w="3250" w:type="dxa"/>
          </w:tcPr>
          <w:p w14:paraId="0000007E">
            <w:pPr>
              <w:jc w:val="left"/>
              <w:rPr>
                <w:rFonts w:ascii="Arial" w:hAnsi="Arial" w:eastAsia="Arial" w:cs="Arial"/>
                <w:sz w:val="24"/>
                <w:szCs w:val="24"/>
              </w:rPr>
            </w:pPr>
            <w:r>
              <w:rPr>
                <w:rFonts w:ascii="Arial" w:hAnsi="Arial" w:eastAsia="Arial" w:cs="Arial"/>
                <w:sz w:val="24"/>
                <w:szCs w:val="24"/>
              </w:rPr>
              <w:t>Glasser and Van Essen 2011, Vogt et al 2001, Sanides and Vitzthum 1965, Sanides, 1970</w:t>
            </w:r>
          </w:p>
        </w:tc>
      </w:tr>
      <w:tr w14:paraId="44029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0" w:hRule="atLeast"/>
          <w:jc w:val="center"/>
        </w:trPr>
        <w:tc>
          <w:tcPr>
            <w:tcW w:w="982" w:type="dxa"/>
          </w:tcPr>
          <w:p w14:paraId="0000007F">
            <w:pPr>
              <w:jc w:val="center"/>
              <w:rPr>
                <w:rFonts w:ascii="Arial" w:hAnsi="Arial" w:eastAsia="Arial" w:cs="Arial"/>
                <w:sz w:val="24"/>
                <w:szCs w:val="24"/>
              </w:rPr>
            </w:pPr>
            <w:r>
              <w:rPr>
                <w:rFonts w:ascii="Arial" w:hAnsi="Arial" w:eastAsia="Arial" w:cs="Arial"/>
                <w:sz w:val="24"/>
                <w:szCs w:val="24"/>
              </w:rPr>
              <w:t>PeEc</w:t>
            </w:r>
          </w:p>
        </w:tc>
        <w:tc>
          <w:tcPr>
            <w:tcW w:w="2362" w:type="dxa"/>
          </w:tcPr>
          <w:p w14:paraId="00000080">
            <w:pPr>
              <w:jc w:val="left"/>
              <w:rPr>
                <w:rFonts w:ascii="Arial" w:hAnsi="Arial" w:eastAsia="Arial" w:cs="Arial"/>
                <w:sz w:val="24"/>
                <w:szCs w:val="24"/>
              </w:rPr>
            </w:pPr>
            <w:r>
              <w:rPr>
                <w:rFonts w:ascii="Arial" w:hAnsi="Arial" w:eastAsia="Arial" w:cs="Arial"/>
                <w:sz w:val="24"/>
                <w:szCs w:val="24"/>
              </w:rPr>
              <w:t>Perirhinal Ectorhinal Cortex</w:t>
            </w:r>
          </w:p>
        </w:tc>
        <w:tc>
          <w:tcPr>
            <w:tcW w:w="1702" w:type="dxa"/>
          </w:tcPr>
          <w:p w14:paraId="00000081">
            <w:pPr>
              <w:jc w:val="left"/>
              <w:rPr>
                <w:rFonts w:ascii="Arial" w:hAnsi="Arial" w:eastAsia="Arial" w:cs="Arial"/>
                <w:sz w:val="24"/>
                <w:szCs w:val="24"/>
              </w:rPr>
            </w:pPr>
            <w:r>
              <w:rPr>
                <w:rFonts w:ascii="Arial" w:hAnsi="Arial" w:eastAsia="Arial" w:cs="Arial"/>
                <w:sz w:val="24"/>
                <w:szCs w:val="24"/>
              </w:rPr>
              <w:t>ATFP, AFP1, Ectorhinal, Perirhinal, 35, 36</w:t>
            </w:r>
          </w:p>
        </w:tc>
        <w:tc>
          <w:tcPr>
            <w:tcW w:w="3250" w:type="dxa"/>
          </w:tcPr>
          <w:p w14:paraId="00000082">
            <w:pPr>
              <w:jc w:val="left"/>
              <w:rPr>
                <w:rFonts w:ascii="Arial" w:hAnsi="Arial" w:eastAsia="Arial" w:cs="Arial"/>
                <w:sz w:val="24"/>
                <w:szCs w:val="24"/>
              </w:rPr>
            </w:pPr>
            <w:r>
              <w:rPr>
                <w:rFonts w:ascii="Arial" w:hAnsi="Arial" w:eastAsia="Arial" w:cs="Arial"/>
                <w:sz w:val="24"/>
                <w:szCs w:val="24"/>
              </w:rPr>
              <w:t xml:space="preserve">Augustinack et al 2013, Ding et al 2009, Ding and Van Hoesen 2010, Rajimehr et al 2009, Tsao et al 2008 </w:t>
            </w:r>
          </w:p>
        </w:tc>
      </w:tr>
      <w:tr w14:paraId="32960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83">
            <w:pPr>
              <w:jc w:val="center"/>
              <w:rPr>
                <w:rFonts w:ascii="Arial" w:hAnsi="Arial" w:eastAsia="Arial" w:cs="Arial"/>
                <w:sz w:val="24"/>
                <w:szCs w:val="24"/>
              </w:rPr>
            </w:pPr>
            <w:r>
              <w:rPr>
                <w:rFonts w:ascii="Arial" w:hAnsi="Arial" w:eastAsia="Arial" w:cs="Arial"/>
                <w:sz w:val="24"/>
                <w:szCs w:val="24"/>
              </w:rPr>
              <w:t>PHA1</w:t>
            </w:r>
          </w:p>
        </w:tc>
        <w:tc>
          <w:tcPr>
            <w:tcW w:w="2362" w:type="dxa"/>
          </w:tcPr>
          <w:p w14:paraId="00000084">
            <w:pPr>
              <w:jc w:val="left"/>
              <w:rPr>
                <w:rFonts w:ascii="Arial" w:hAnsi="Arial" w:eastAsia="Arial" w:cs="Arial"/>
                <w:sz w:val="24"/>
                <w:szCs w:val="24"/>
              </w:rPr>
            </w:pPr>
            <w:r>
              <w:rPr>
                <w:rFonts w:ascii="Arial" w:hAnsi="Arial" w:eastAsia="Arial" w:cs="Arial"/>
                <w:sz w:val="24"/>
                <w:szCs w:val="24"/>
              </w:rPr>
              <w:t>ParaHippocampal Area 1</w:t>
            </w:r>
          </w:p>
        </w:tc>
        <w:tc>
          <w:tcPr>
            <w:tcW w:w="1702" w:type="dxa"/>
          </w:tcPr>
          <w:p w14:paraId="00000085">
            <w:pPr>
              <w:jc w:val="left"/>
              <w:rPr>
                <w:rFonts w:ascii="Arial" w:hAnsi="Arial" w:eastAsia="Arial" w:cs="Arial"/>
                <w:sz w:val="24"/>
                <w:szCs w:val="24"/>
              </w:rPr>
            </w:pPr>
          </w:p>
        </w:tc>
        <w:tc>
          <w:tcPr>
            <w:tcW w:w="3250" w:type="dxa"/>
          </w:tcPr>
          <w:p w14:paraId="00000086">
            <w:pPr>
              <w:jc w:val="left"/>
              <w:rPr>
                <w:rFonts w:ascii="Arial" w:hAnsi="Arial" w:eastAsia="Arial" w:cs="Arial"/>
                <w:sz w:val="24"/>
                <w:szCs w:val="24"/>
              </w:rPr>
            </w:pPr>
          </w:p>
        </w:tc>
      </w:tr>
      <w:tr w14:paraId="3FB9A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87">
            <w:pPr>
              <w:jc w:val="center"/>
              <w:rPr>
                <w:rFonts w:ascii="Arial" w:hAnsi="Arial" w:eastAsia="Arial" w:cs="Arial"/>
                <w:sz w:val="24"/>
                <w:szCs w:val="24"/>
              </w:rPr>
            </w:pPr>
            <w:r>
              <w:rPr>
                <w:rFonts w:ascii="Arial" w:hAnsi="Arial" w:eastAsia="Arial" w:cs="Arial"/>
                <w:sz w:val="24"/>
                <w:szCs w:val="24"/>
              </w:rPr>
              <w:t>PHA3</w:t>
            </w:r>
          </w:p>
        </w:tc>
        <w:tc>
          <w:tcPr>
            <w:tcW w:w="2362" w:type="dxa"/>
          </w:tcPr>
          <w:p w14:paraId="00000088">
            <w:pPr>
              <w:jc w:val="left"/>
              <w:rPr>
                <w:rFonts w:ascii="Arial" w:hAnsi="Arial" w:eastAsia="Arial" w:cs="Arial"/>
                <w:sz w:val="24"/>
                <w:szCs w:val="24"/>
              </w:rPr>
            </w:pPr>
            <w:r>
              <w:rPr>
                <w:rFonts w:ascii="Arial" w:hAnsi="Arial" w:eastAsia="Arial" w:cs="Arial"/>
                <w:sz w:val="24"/>
                <w:szCs w:val="24"/>
              </w:rPr>
              <w:t>ParaHippocampal Area 3</w:t>
            </w:r>
          </w:p>
        </w:tc>
        <w:tc>
          <w:tcPr>
            <w:tcW w:w="1702" w:type="dxa"/>
          </w:tcPr>
          <w:p w14:paraId="00000089">
            <w:pPr>
              <w:jc w:val="left"/>
              <w:rPr>
                <w:rFonts w:ascii="Arial" w:hAnsi="Arial" w:eastAsia="Arial" w:cs="Arial"/>
                <w:sz w:val="24"/>
                <w:szCs w:val="24"/>
              </w:rPr>
            </w:pPr>
          </w:p>
        </w:tc>
        <w:tc>
          <w:tcPr>
            <w:tcW w:w="3250" w:type="dxa"/>
          </w:tcPr>
          <w:p w14:paraId="0000008A">
            <w:pPr>
              <w:jc w:val="left"/>
              <w:rPr>
                <w:rFonts w:ascii="Arial" w:hAnsi="Arial" w:eastAsia="Arial" w:cs="Arial"/>
                <w:sz w:val="24"/>
                <w:szCs w:val="24"/>
              </w:rPr>
            </w:pPr>
          </w:p>
        </w:tc>
      </w:tr>
      <w:tr w14:paraId="4FED5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8B">
            <w:pPr>
              <w:jc w:val="center"/>
              <w:rPr>
                <w:rFonts w:ascii="Arial" w:hAnsi="Arial" w:eastAsia="Arial" w:cs="Arial"/>
                <w:sz w:val="24"/>
                <w:szCs w:val="24"/>
              </w:rPr>
            </w:pPr>
            <w:r>
              <w:rPr>
                <w:rFonts w:ascii="Arial" w:hAnsi="Arial" w:eastAsia="Arial" w:cs="Arial"/>
                <w:sz w:val="24"/>
                <w:szCs w:val="24"/>
              </w:rPr>
              <w:t>TF</w:t>
            </w:r>
          </w:p>
        </w:tc>
        <w:tc>
          <w:tcPr>
            <w:tcW w:w="2362" w:type="dxa"/>
          </w:tcPr>
          <w:p w14:paraId="0000008C">
            <w:pPr>
              <w:jc w:val="left"/>
              <w:rPr>
                <w:rFonts w:ascii="Arial" w:hAnsi="Arial" w:eastAsia="Arial" w:cs="Arial"/>
                <w:sz w:val="24"/>
                <w:szCs w:val="24"/>
              </w:rPr>
            </w:pPr>
            <w:r>
              <w:rPr>
                <w:rFonts w:ascii="Arial" w:hAnsi="Arial" w:eastAsia="Arial" w:cs="Arial"/>
                <w:sz w:val="24"/>
                <w:szCs w:val="24"/>
              </w:rPr>
              <w:t>Area TF</w:t>
            </w:r>
          </w:p>
        </w:tc>
        <w:tc>
          <w:tcPr>
            <w:tcW w:w="1702" w:type="dxa"/>
          </w:tcPr>
          <w:p w14:paraId="0000008D">
            <w:pPr>
              <w:jc w:val="left"/>
              <w:rPr>
                <w:rFonts w:ascii="Arial" w:hAnsi="Arial" w:eastAsia="Arial" w:cs="Arial"/>
                <w:sz w:val="24"/>
                <w:szCs w:val="24"/>
              </w:rPr>
            </w:pPr>
          </w:p>
        </w:tc>
        <w:tc>
          <w:tcPr>
            <w:tcW w:w="3250" w:type="dxa"/>
          </w:tcPr>
          <w:p w14:paraId="0000008E">
            <w:pPr>
              <w:jc w:val="left"/>
              <w:rPr>
                <w:rFonts w:ascii="Arial" w:hAnsi="Arial" w:eastAsia="Arial" w:cs="Arial"/>
                <w:sz w:val="24"/>
                <w:szCs w:val="24"/>
              </w:rPr>
            </w:pPr>
            <w:r>
              <w:rPr>
                <w:rFonts w:ascii="Arial" w:hAnsi="Arial" w:eastAsia="Arial" w:cs="Arial"/>
                <w:sz w:val="24"/>
                <w:szCs w:val="24"/>
              </w:rPr>
              <w:t>von Economo and Koskinas 1925, Triarhou 2007</w:t>
            </w:r>
          </w:p>
        </w:tc>
      </w:tr>
      <w:tr w14:paraId="5FDA3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8F">
            <w:pPr>
              <w:jc w:val="center"/>
              <w:rPr>
                <w:rFonts w:ascii="Arial" w:hAnsi="Arial" w:eastAsia="Arial" w:cs="Arial"/>
                <w:sz w:val="24"/>
                <w:szCs w:val="24"/>
              </w:rPr>
            </w:pPr>
            <w:r>
              <w:rPr>
                <w:rFonts w:ascii="Arial" w:hAnsi="Arial" w:eastAsia="Arial" w:cs="Arial"/>
                <w:sz w:val="24"/>
                <w:szCs w:val="24"/>
              </w:rPr>
              <w:t>PH</w:t>
            </w:r>
          </w:p>
        </w:tc>
        <w:tc>
          <w:tcPr>
            <w:tcW w:w="2362" w:type="dxa"/>
          </w:tcPr>
          <w:p w14:paraId="00000090">
            <w:pPr>
              <w:jc w:val="left"/>
              <w:rPr>
                <w:rFonts w:ascii="Arial" w:hAnsi="Arial" w:eastAsia="Arial" w:cs="Arial"/>
                <w:sz w:val="24"/>
                <w:szCs w:val="24"/>
              </w:rPr>
            </w:pPr>
            <w:r>
              <w:rPr>
                <w:rFonts w:ascii="Arial" w:hAnsi="Arial" w:eastAsia="Arial" w:cs="Arial"/>
                <w:sz w:val="24"/>
                <w:szCs w:val="24"/>
              </w:rPr>
              <w:t>Area PH</w:t>
            </w:r>
          </w:p>
        </w:tc>
        <w:tc>
          <w:tcPr>
            <w:tcW w:w="1702" w:type="dxa"/>
          </w:tcPr>
          <w:p w14:paraId="00000091">
            <w:pPr>
              <w:jc w:val="left"/>
              <w:rPr>
                <w:rFonts w:ascii="Arial" w:hAnsi="Arial" w:eastAsia="Arial" w:cs="Arial"/>
                <w:sz w:val="24"/>
                <w:szCs w:val="24"/>
              </w:rPr>
            </w:pPr>
          </w:p>
        </w:tc>
        <w:tc>
          <w:tcPr>
            <w:tcW w:w="3250" w:type="dxa"/>
          </w:tcPr>
          <w:p w14:paraId="00000092">
            <w:pPr>
              <w:jc w:val="left"/>
              <w:rPr>
                <w:rFonts w:ascii="Arial" w:hAnsi="Arial" w:eastAsia="Arial" w:cs="Arial"/>
                <w:sz w:val="24"/>
                <w:szCs w:val="24"/>
              </w:rPr>
            </w:pPr>
            <w:r>
              <w:rPr>
                <w:rFonts w:ascii="Arial" w:hAnsi="Arial" w:eastAsia="Arial" w:cs="Arial"/>
                <w:sz w:val="24"/>
                <w:szCs w:val="24"/>
              </w:rPr>
              <w:t>von Economo and Koskinas 1925, Triarhou 2007</w:t>
            </w:r>
          </w:p>
        </w:tc>
      </w:tr>
      <w:tr w14:paraId="51567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93">
            <w:pPr>
              <w:jc w:val="center"/>
              <w:rPr>
                <w:rFonts w:ascii="Arial" w:hAnsi="Arial" w:eastAsia="Arial" w:cs="Arial"/>
                <w:sz w:val="24"/>
                <w:szCs w:val="24"/>
              </w:rPr>
            </w:pPr>
            <w:r>
              <w:rPr>
                <w:rFonts w:ascii="Arial" w:hAnsi="Arial" w:eastAsia="Arial" w:cs="Arial"/>
                <w:sz w:val="24"/>
                <w:szCs w:val="24"/>
              </w:rPr>
              <w:t>DVT</w:t>
            </w:r>
          </w:p>
        </w:tc>
        <w:tc>
          <w:tcPr>
            <w:tcW w:w="2362" w:type="dxa"/>
          </w:tcPr>
          <w:p w14:paraId="00000094">
            <w:pPr>
              <w:jc w:val="left"/>
              <w:rPr>
                <w:rFonts w:ascii="Arial" w:hAnsi="Arial" w:eastAsia="Arial" w:cs="Arial"/>
                <w:sz w:val="24"/>
                <w:szCs w:val="24"/>
              </w:rPr>
            </w:pPr>
            <w:r>
              <w:rPr>
                <w:rFonts w:ascii="Arial" w:hAnsi="Arial" w:eastAsia="Arial" w:cs="Arial"/>
                <w:sz w:val="24"/>
                <w:szCs w:val="24"/>
              </w:rPr>
              <w:t>Dorsal Transitional Visual Area</w:t>
            </w:r>
          </w:p>
        </w:tc>
        <w:tc>
          <w:tcPr>
            <w:tcW w:w="1702" w:type="dxa"/>
          </w:tcPr>
          <w:p w14:paraId="00000095">
            <w:pPr>
              <w:jc w:val="left"/>
              <w:rPr>
                <w:rFonts w:ascii="Arial" w:hAnsi="Arial" w:eastAsia="Arial" w:cs="Arial"/>
                <w:sz w:val="24"/>
                <w:szCs w:val="24"/>
              </w:rPr>
            </w:pPr>
          </w:p>
        </w:tc>
        <w:tc>
          <w:tcPr>
            <w:tcW w:w="3250" w:type="dxa"/>
          </w:tcPr>
          <w:p w14:paraId="00000096">
            <w:pPr>
              <w:jc w:val="left"/>
              <w:rPr>
                <w:rFonts w:ascii="Arial" w:hAnsi="Arial" w:eastAsia="Arial" w:cs="Arial"/>
                <w:sz w:val="24"/>
                <w:szCs w:val="24"/>
              </w:rPr>
            </w:pPr>
          </w:p>
        </w:tc>
      </w:tr>
      <w:tr w14:paraId="7CD5E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82" w:type="dxa"/>
          </w:tcPr>
          <w:p w14:paraId="00000097">
            <w:pPr>
              <w:jc w:val="center"/>
              <w:rPr>
                <w:rFonts w:ascii="Arial" w:hAnsi="Arial" w:eastAsia="Arial" w:cs="Arial"/>
                <w:sz w:val="24"/>
                <w:szCs w:val="24"/>
              </w:rPr>
            </w:pPr>
            <w:r>
              <w:rPr>
                <w:rFonts w:ascii="Arial" w:hAnsi="Arial" w:eastAsia="Arial" w:cs="Arial"/>
                <w:sz w:val="24"/>
                <w:szCs w:val="24"/>
              </w:rPr>
              <w:t>IP1</w:t>
            </w:r>
          </w:p>
        </w:tc>
        <w:tc>
          <w:tcPr>
            <w:tcW w:w="2362" w:type="dxa"/>
          </w:tcPr>
          <w:p w14:paraId="00000098">
            <w:pPr>
              <w:jc w:val="left"/>
              <w:rPr>
                <w:rFonts w:ascii="Arial" w:hAnsi="Arial" w:eastAsia="Arial" w:cs="Arial"/>
                <w:sz w:val="24"/>
                <w:szCs w:val="24"/>
              </w:rPr>
            </w:pPr>
            <w:r>
              <w:rPr>
                <w:rFonts w:ascii="Arial" w:hAnsi="Arial" w:eastAsia="Arial" w:cs="Arial"/>
                <w:sz w:val="24"/>
                <w:szCs w:val="24"/>
              </w:rPr>
              <w:t>Area IntraParietal 1</w:t>
            </w:r>
          </w:p>
        </w:tc>
        <w:tc>
          <w:tcPr>
            <w:tcW w:w="1702" w:type="dxa"/>
          </w:tcPr>
          <w:p w14:paraId="00000099">
            <w:pPr>
              <w:jc w:val="left"/>
              <w:rPr>
                <w:rFonts w:ascii="Arial" w:hAnsi="Arial" w:eastAsia="Arial" w:cs="Arial"/>
                <w:sz w:val="24"/>
                <w:szCs w:val="24"/>
              </w:rPr>
            </w:pPr>
          </w:p>
        </w:tc>
        <w:tc>
          <w:tcPr>
            <w:tcW w:w="3250" w:type="dxa"/>
          </w:tcPr>
          <w:p w14:paraId="0000009A">
            <w:pPr>
              <w:jc w:val="left"/>
              <w:rPr>
                <w:rFonts w:ascii="Arial" w:hAnsi="Arial" w:eastAsia="Arial" w:cs="Arial"/>
                <w:sz w:val="24"/>
                <w:szCs w:val="24"/>
              </w:rPr>
            </w:pPr>
            <w:r>
              <w:rPr>
                <w:rFonts w:ascii="Arial" w:hAnsi="Arial" w:eastAsia="Arial" w:cs="Arial"/>
                <w:sz w:val="24"/>
                <w:szCs w:val="24"/>
              </w:rPr>
              <w:t>Choi et al 2006</w:t>
            </w:r>
          </w:p>
        </w:tc>
      </w:tr>
      <w:tr w14:paraId="356E1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82" w:type="dxa"/>
          </w:tcPr>
          <w:p w14:paraId="0000009B">
            <w:pPr>
              <w:jc w:val="center"/>
              <w:rPr>
                <w:rFonts w:ascii="Arial" w:hAnsi="Arial" w:eastAsia="Arial" w:cs="Arial"/>
                <w:sz w:val="24"/>
                <w:szCs w:val="24"/>
              </w:rPr>
            </w:pPr>
            <w:r>
              <w:rPr>
                <w:rFonts w:ascii="Arial" w:hAnsi="Arial" w:eastAsia="Arial" w:cs="Arial"/>
                <w:sz w:val="24"/>
                <w:szCs w:val="24"/>
              </w:rPr>
              <w:t>IP0</w:t>
            </w:r>
          </w:p>
        </w:tc>
        <w:tc>
          <w:tcPr>
            <w:tcW w:w="2362" w:type="dxa"/>
          </w:tcPr>
          <w:p w14:paraId="0000009C">
            <w:pPr>
              <w:jc w:val="left"/>
              <w:rPr>
                <w:rFonts w:ascii="Arial" w:hAnsi="Arial" w:eastAsia="Arial" w:cs="Arial"/>
                <w:sz w:val="24"/>
                <w:szCs w:val="24"/>
              </w:rPr>
            </w:pPr>
            <w:r>
              <w:rPr>
                <w:rFonts w:ascii="Arial" w:hAnsi="Arial" w:eastAsia="Arial" w:cs="Arial"/>
                <w:sz w:val="24"/>
                <w:szCs w:val="24"/>
              </w:rPr>
              <w:t>Area IntraParietal 0</w:t>
            </w:r>
          </w:p>
        </w:tc>
        <w:tc>
          <w:tcPr>
            <w:tcW w:w="1702" w:type="dxa"/>
          </w:tcPr>
          <w:p w14:paraId="0000009D">
            <w:pPr>
              <w:jc w:val="left"/>
              <w:rPr>
                <w:rFonts w:ascii="Arial" w:hAnsi="Arial" w:eastAsia="Arial" w:cs="Arial"/>
                <w:sz w:val="24"/>
                <w:szCs w:val="24"/>
              </w:rPr>
            </w:pPr>
          </w:p>
        </w:tc>
        <w:tc>
          <w:tcPr>
            <w:tcW w:w="3250" w:type="dxa"/>
          </w:tcPr>
          <w:p w14:paraId="0000009E">
            <w:pPr>
              <w:jc w:val="left"/>
              <w:rPr>
                <w:rFonts w:ascii="Arial" w:hAnsi="Arial" w:eastAsia="Arial" w:cs="Arial"/>
                <w:sz w:val="24"/>
                <w:szCs w:val="24"/>
              </w:rPr>
            </w:pPr>
          </w:p>
        </w:tc>
      </w:tr>
      <w:tr w14:paraId="5AAAF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9F">
            <w:pPr>
              <w:jc w:val="center"/>
              <w:rPr>
                <w:rFonts w:ascii="Arial" w:hAnsi="Arial" w:eastAsia="Arial" w:cs="Arial"/>
                <w:sz w:val="24"/>
                <w:szCs w:val="24"/>
              </w:rPr>
            </w:pPr>
            <w:r>
              <w:rPr>
                <w:rFonts w:ascii="Arial" w:hAnsi="Arial" w:eastAsia="Arial" w:cs="Arial"/>
                <w:sz w:val="24"/>
                <w:szCs w:val="24"/>
              </w:rPr>
              <w:t>V6A</w:t>
            </w:r>
          </w:p>
        </w:tc>
        <w:tc>
          <w:tcPr>
            <w:tcW w:w="2362" w:type="dxa"/>
          </w:tcPr>
          <w:p w14:paraId="000000A0">
            <w:pPr>
              <w:jc w:val="left"/>
              <w:rPr>
                <w:rFonts w:ascii="Arial" w:hAnsi="Arial" w:eastAsia="Arial" w:cs="Arial"/>
                <w:sz w:val="24"/>
                <w:szCs w:val="24"/>
              </w:rPr>
            </w:pPr>
            <w:r>
              <w:rPr>
                <w:rFonts w:ascii="Arial" w:hAnsi="Arial" w:eastAsia="Arial" w:cs="Arial"/>
                <w:sz w:val="24"/>
                <w:szCs w:val="24"/>
              </w:rPr>
              <w:t>Area V6A</w:t>
            </w:r>
          </w:p>
        </w:tc>
        <w:tc>
          <w:tcPr>
            <w:tcW w:w="1702" w:type="dxa"/>
          </w:tcPr>
          <w:p w14:paraId="000000A1">
            <w:pPr>
              <w:jc w:val="left"/>
              <w:rPr>
                <w:rFonts w:ascii="Arial" w:hAnsi="Arial" w:eastAsia="Arial" w:cs="Arial"/>
                <w:sz w:val="24"/>
                <w:szCs w:val="24"/>
              </w:rPr>
            </w:pPr>
            <w:r>
              <w:rPr>
                <w:rFonts w:ascii="Arial" w:hAnsi="Arial" w:eastAsia="Arial" w:cs="Arial"/>
                <w:sz w:val="24"/>
                <w:szCs w:val="24"/>
              </w:rPr>
              <w:t>112</w:t>
            </w:r>
          </w:p>
        </w:tc>
        <w:tc>
          <w:tcPr>
            <w:tcW w:w="3250" w:type="dxa"/>
          </w:tcPr>
          <w:p w14:paraId="000000A2">
            <w:pPr>
              <w:jc w:val="left"/>
              <w:rPr>
                <w:rFonts w:ascii="Arial" w:hAnsi="Arial" w:eastAsia="Arial" w:cs="Arial"/>
                <w:sz w:val="24"/>
                <w:szCs w:val="24"/>
              </w:rPr>
            </w:pPr>
            <w:r>
              <w:rPr>
                <w:rFonts w:ascii="Arial" w:hAnsi="Arial" w:eastAsia="Arial" w:cs="Arial"/>
                <w:sz w:val="24"/>
                <w:szCs w:val="24"/>
              </w:rPr>
              <w:t>Pizalis et al 2013, Nieuwenhuys et al 2014</w:t>
            </w:r>
          </w:p>
        </w:tc>
      </w:tr>
      <w:tr w14:paraId="6B448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A3">
            <w:pPr>
              <w:jc w:val="center"/>
              <w:rPr>
                <w:rFonts w:ascii="Arial" w:hAnsi="Arial" w:eastAsia="Arial" w:cs="Arial"/>
                <w:sz w:val="24"/>
                <w:szCs w:val="24"/>
              </w:rPr>
            </w:pPr>
            <w:r>
              <w:rPr>
                <w:rFonts w:ascii="Arial" w:hAnsi="Arial" w:eastAsia="Arial" w:cs="Arial"/>
                <w:sz w:val="24"/>
                <w:szCs w:val="24"/>
              </w:rPr>
              <w:t>VMV1</w:t>
            </w:r>
          </w:p>
        </w:tc>
        <w:tc>
          <w:tcPr>
            <w:tcW w:w="2362" w:type="dxa"/>
          </w:tcPr>
          <w:p w14:paraId="000000A4">
            <w:pPr>
              <w:jc w:val="left"/>
              <w:rPr>
                <w:rFonts w:ascii="Arial" w:hAnsi="Arial" w:eastAsia="Arial" w:cs="Arial"/>
                <w:sz w:val="24"/>
                <w:szCs w:val="24"/>
              </w:rPr>
            </w:pPr>
            <w:r>
              <w:rPr>
                <w:rFonts w:ascii="Arial" w:hAnsi="Arial" w:eastAsia="Arial" w:cs="Arial"/>
                <w:sz w:val="24"/>
                <w:szCs w:val="24"/>
              </w:rPr>
              <w:t>VentroMedial Visual Area 1</w:t>
            </w:r>
          </w:p>
        </w:tc>
        <w:tc>
          <w:tcPr>
            <w:tcW w:w="1702" w:type="dxa"/>
          </w:tcPr>
          <w:p w14:paraId="000000A5">
            <w:pPr>
              <w:jc w:val="left"/>
              <w:rPr>
                <w:rFonts w:ascii="Arial" w:hAnsi="Arial" w:eastAsia="Arial" w:cs="Arial"/>
                <w:sz w:val="24"/>
                <w:szCs w:val="24"/>
              </w:rPr>
            </w:pPr>
            <w:r>
              <w:rPr>
                <w:rFonts w:ascii="Arial" w:hAnsi="Arial" w:eastAsia="Arial" w:cs="Arial"/>
                <w:sz w:val="24"/>
                <w:szCs w:val="24"/>
              </w:rPr>
              <w:t>PHC2, PHC-2</w:t>
            </w:r>
          </w:p>
        </w:tc>
        <w:tc>
          <w:tcPr>
            <w:tcW w:w="3250" w:type="dxa"/>
          </w:tcPr>
          <w:p w14:paraId="000000A6">
            <w:pPr>
              <w:jc w:val="left"/>
              <w:rPr>
                <w:rFonts w:ascii="Arial" w:hAnsi="Arial" w:eastAsia="Arial" w:cs="Arial"/>
                <w:sz w:val="24"/>
                <w:szCs w:val="24"/>
              </w:rPr>
            </w:pPr>
            <w:r>
              <w:rPr>
                <w:rFonts w:ascii="Arial" w:hAnsi="Arial" w:eastAsia="Arial" w:cs="Arial"/>
                <w:sz w:val="24"/>
                <w:szCs w:val="24"/>
              </w:rPr>
              <w:t>Arcaro et al 2009, Wang et al 2015</w:t>
            </w:r>
          </w:p>
        </w:tc>
      </w:tr>
      <w:tr w14:paraId="3EC51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jc w:val="center"/>
        </w:trPr>
        <w:tc>
          <w:tcPr>
            <w:tcW w:w="982" w:type="dxa"/>
          </w:tcPr>
          <w:p w14:paraId="000000A7">
            <w:pPr>
              <w:jc w:val="center"/>
              <w:rPr>
                <w:rFonts w:ascii="Arial" w:hAnsi="Arial" w:eastAsia="Arial" w:cs="Arial"/>
                <w:sz w:val="24"/>
                <w:szCs w:val="24"/>
              </w:rPr>
            </w:pPr>
            <w:r>
              <w:rPr>
                <w:rFonts w:ascii="Arial" w:hAnsi="Arial" w:eastAsia="Arial" w:cs="Arial"/>
                <w:sz w:val="24"/>
                <w:szCs w:val="24"/>
              </w:rPr>
              <w:t>VMV3</w:t>
            </w:r>
          </w:p>
        </w:tc>
        <w:tc>
          <w:tcPr>
            <w:tcW w:w="2362" w:type="dxa"/>
          </w:tcPr>
          <w:p w14:paraId="000000A8">
            <w:pPr>
              <w:jc w:val="left"/>
              <w:rPr>
                <w:rFonts w:ascii="Arial" w:hAnsi="Arial" w:eastAsia="Arial" w:cs="Arial"/>
                <w:sz w:val="24"/>
                <w:szCs w:val="24"/>
              </w:rPr>
            </w:pPr>
            <w:r>
              <w:rPr>
                <w:rFonts w:ascii="Arial" w:hAnsi="Arial" w:eastAsia="Arial" w:cs="Arial"/>
                <w:sz w:val="24"/>
                <w:szCs w:val="24"/>
              </w:rPr>
              <w:t>VentroMedial Visual Area 3</w:t>
            </w:r>
          </w:p>
        </w:tc>
        <w:tc>
          <w:tcPr>
            <w:tcW w:w="1702" w:type="dxa"/>
          </w:tcPr>
          <w:p w14:paraId="000000A9">
            <w:pPr>
              <w:jc w:val="left"/>
              <w:rPr>
                <w:rFonts w:ascii="Arial" w:hAnsi="Arial" w:eastAsia="Arial" w:cs="Arial"/>
                <w:sz w:val="24"/>
                <w:szCs w:val="24"/>
              </w:rPr>
            </w:pPr>
            <w:r>
              <w:rPr>
                <w:rFonts w:ascii="Arial" w:hAnsi="Arial" w:eastAsia="Arial" w:cs="Arial"/>
                <w:sz w:val="24"/>
                <w:szCs w:val="24"/>
              </w:rPr>
              <w:t>VO2</w:t>
            </w:r>
          </w:p>
        </w:tc>
        <w:tc>
          <w:tcPr>
            <w:tcW w:w="3250" w:type="dxa"/>
          </w:tcPr>
          <w:p w14:paraId="000000AA">
            <w:pPr>
              <w:jc w:val="left"/>
              <w:rPr>
                <w:rFonts w:ascii="Arial" w:hAnsi="Arial" w:eastAsia="Arial" w:cs="Arial"/>
                <w:sz w:val="24"/>
                <w:szCs w:val="24"/>
              </w:rPr>
            </w:pPr>
            <w:r>
              <w:rPr>
                <w:rFonts w:ascii="Arial" w:hAnsi="Arial" w:eastAsia="Arial" w:cs="Arial"/>
                <w:sz w:val="24"/>
                <w:szCs w:val="24"/>
              </w:rPr>
              <w:t>Arcaro et al 2009, Wang et al 2015, Wandell and Winawer 2011</w:t>
            </w:r>
          </w:p>
        </w:tc>
      </w:tr>
      <w:tr w14:paraId="2B56A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AB">
            <w:pPr>
              <w:jc w:val="center"/>
              <w:rPr>
                <w:rFonts w:ascii="Arial" w:hAnsi="Arial" w:eastAsia="Arial" w:cs="Arial"/>
                <w:sz w:val="24"/>
                <w:szCs w:val="24"/>
              </w:rPr>
            </w:pPr>
            <w:r>
              <w:rPr>
                <w:rFonts w:ascii="Arial" w:hAnsi="Arial" w:eastAsia="Arial" w:cs="Arial"/>
                <w:sz w:val="24"/>
                <w:szCs w:val="24"/>
              </w:rPr>
              <w:t>PHA2</w:t>
            </w:r>
          </w:p>
        </w:tc>
        <w:tc>
          <w:tcPr>
            <w:tcW w:w="2362" w:type="dxa"/>
          </w:tcPr>
          <w:p w14:paraId="000000AC">
            <w:pPr>
              <w:jc w:val="left"/>
              <w:rPr>
                <w:rFonts w:ascii="Arial" w:hAnsi="Arial" w:eastAsia="Arial" w:cs="Arial"/>
                <w:sz w:val="24"/>
                <w:szCs w:val="24"/>
              </w:rPr>
            </w:pPr>
            <w:r>
              <w:rPr>
                <w:rFonts w:ascii="Arial" w:hAnsi="Arial" w:eastAsia="Arial" w:cs="Arial"/>
                <w:sz w:val="24"/>
                <w:szCs w:val="24"/>
              </w:rPr>
              <w:t>ParaHippocampal Area 2</w:t>
            </w:r>
          </w:p>
        </w:tc>
        <w:tc>
          <w:tcPr>
            <w:tcW w:w="1702" w:type="dxa"/>
          </w:tcPr>
          <w:p w14:paraId="000000AD">
            <w:pPr>
              <w:jc w:val="left"/>
              <w:rPr>
                <w:rFonts w:ascii="Arial" w:hAnsi="Arial" w:eastAsia="Arial" w:cs="Arial"/>
                <w:sz w:val="24"/>
                <w:szCs w:val="24"/>
              </w:rPr>
            </w:pPr>
          </w:p>
        </w:tc>
        <w:tc>
          <w:tcPr>
            <w:tcW w:w="3250" w:type="dxa"/>
          </w:tcPr>
          <w:p w14:paraId="000000AE">
            <w:pPr>
              <w:jc w:val="left"/>
              <w:rPr>
                <w:rFonts w:ascii="Arial" w:hAnsi="Arial" w:eastAsia="Arial" w:cs="Arial"/>
                <w:sz w:val="24"/>
                <w:szCs w:val="24"/>
              </w:rPr>
            </w:pPr>
          </w:p>
        </w:tc>
      </w:tr>
      <w:tr w14:paraId="36423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jc w:val="center"/>
        </w:trPr>
        <w:tc>
          <w:tcPr>
            <w:tcW w:w="982" w:type="dxa"/>
          </w:tcPr>
          <w:p w14:paraId="000000AF">
            <w:pPr>
              <w:jc w:val="center"/>
              <w:rPr>
                <w:rFonts w:ascii="Arial" w:hAnsi="Arial" w:eastAsia="Arial" w:cs="Arial"/>
                <w:sz w:val="24"/>
                <w:szCs w:val="24"/>
              </w:rPr>
            </w:pPr>
            <w:r>
              <w:rPr>
                <w:rFonts w:ascii="Arial" w:hAnsi="Arial" w:eastAsia="Arial" w:cs="Arial"/>
                <w:sz w:val="24"/>
                <w:szCs w:val="24"/>
              </w:rPr>
              <w:t>V4t</w:t>
            </w:r>
          </w:p>
        </w:tc>
        <w:tc>
          <w:tcPr>
            <w:tcW w:w="2362" w:type="dxa"/>
          </w:tcPr>
          <w:p w14:paraId="000000B0">
            <w:pPr>
              <w:jc w:val="left"/>
              <w:rPr>
                <w:rFonts w:ascii="Arial" w:hAnsi="Arial" w:eastAsia="Arial" w:cs="Arial"/>
                <w:sz w:val="24"/>
                <w:szCs w:val="24"/>
              </w:rPr>
            </w:pPr>
            <w:r>
              <w:rPr>
                <w:rFonts w:ascii="Arial" w:hAnsi="Arial" w:eastAsia="Arial" w:cs="Arial"/>
                <w:sz w:val="24"/>
                <w:szCs w:val="24"/>
              </w:rPr>
              <w:t>Area V4t</w:t>
            </w:r>
          </w:p>
        </w:tc>
        <w:tc>
          <w:tcPr>
            <w:tcW w:w="1702" w:type="dxa"/>
          </w:tcPr>
          <w:p w14:paraId="000000B1">
            <w:pPr>
              <w:jc w:val="left"/>
              <w:rPr>
                <w:rFonts w:ascii="Arial" w:hAnsi="Arial" w:eastAsia="Arial" w:cs="Arial"/>
                <w:sz w:val="24"/>
                <w:szCs w:val="24"/>
              </w:rPr>
            </w:pPr>
            <w:r>
              <w:rPr>
                <w:rFonts w:ascii="Arial" w:hAnsi="Arial" w:eastAsia="Arial" w:cs="Arial"/>
                <w:sz w:val="24"/>
                <w:szCs w:val="24"/>
              </w:rPr>
              <w:t xml:space="preserve">LO2 </w:t>
            </w:r>
          </w:p>
        </w:tc>
        <w:tc>
          <w:tcPr>
            <w:tcW w:w="3250" w:type="dxa"/>
          </w:tcPr>
          <w:p w14:paraId="000000B2">
            <w:pPr>
              <w:jc w:val="left"/>
              <w:rPr>
                <w:rFonts w:ascii="Arial" w:hAnsi="Arial" w:eastAsia="Arial" w:cs="Arial"/>
                <w:sz w:val="24"/>
                <w:szCs w:val="24"/>
              </w:rPr>
            </w:pPr>
            <w:r>
              <w:rPr>
                <w:rFonts w:ascii="Arial" w:hAnsi="Arial" w:eastAsia="Arial" w:cs="Arial"/>
                <w:sz w:val="24"/>
                <w:szCs w:val="24"/>
              </w:rPr>
              <w:t>Abdollahi et al 2014, Kolster et al 2010, Larsson and Heeger 2006</w:t>
            </w:r>
          </w:p>
        </w:tc>
      </w:tr>
      <w:tr w14:paraId="2621B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B3">
            <w:pPr>
              <w:jc w:val="center"/>
              <w:rPr>
                <w:rFonts w:ascii="Arial" w:hAnsi="Arial" w:eastAsia="Arial" w:cs="Arial"/>
                <w:sz w:val="24"/>
                <w:szCs w:val="24"/>
              </w:rPr>
            </w:pPr>
            <w:r>
              <w:rPr>
                <w:rFonts w:ascii="Arial" w:hAnsi="Arial" w:eastAsia="Arial" w:cs="Arial"/>
                <w:sz w:val="24"/>
                <w:szCs w:val="24"/>
              </w:rPr>
              <w:t>FST</w:t>
            </w:r>
          </w:p>
        </w:tc>
        <w:tc>
          <w:tcPr>
            <w:tcW w:w="2362" w:type="dxa"/>
          </w:tcPr>
          <w:p w14:paraId="000000B4">
            <w:pPr>
              <w:jc w:val="left"/>
              <w:rPr>
                <w:rFonts w:ascii="Arial" w:hAnsi="Arial" w:eastAsia="Arial" w:cs="Arial"/>
                <w:sz w:val="24"/>
                <w:szCs w:val="24"/>
              </w:rPr>
            </w:pPr>
            <w:r>
              <w:rPr>
                <w:rFonts w:ascii="Arial" w:hAnsi="Arial" w:eastAsia="Arial" w:cs="Arial"/>
                <w:sz w:val="24"/>
                <w:szCs w:val="24"/>
              </w:rPr>
              <w:t>Area FST</w:t>
            </w:r>
          </w:p>
        </w:tc>
        <w:tc>
          <w:tcPr>
            <w:tcW w:w="1702" w:type="dxa"/>
          </w:tcPr>
          <w:p w14:paraId="000000B5">
            <w:pPr>
              <w:jc w:val="left"/>
              <w:rPr>
                <w:rFonts w:ascii="Arial" w:hAnsi="Arial" w:eastAsia="Arial" w:cs="Arial"/>
                <w:sz w:val="24"/>
                <w:szCs w:val="24"/>
              </w:rPr>
            </w:pPr>
          </w:p>
        </w:tc>
        <w:tc>
          <w:tcPr>
            <w:tcW w:w="3250" w:type="dxa"/>
          </w:tcPr>
          <w:p w14:paraId="000000B6">
            <w:pPr>
              <w:jc w:val="left"/>
              <w:rPr>
                <w:rFonts w:ascii="Arial" w:hAnsi="Arial" w:eastAsia="Arial" w:cs="Arial"/>
                <w:sz w:val="24"/>
                <w:szCs w:val="24"/>
              </w:rPr>
            </w:pPr>
            <w:r>
              <w:rPr>
                <w:rFonts w:ascii="Arial" w:hAnsi="Arial" w:eastAsia="Arial" w:cs="Arial"/>
                <w:sz w:val="24"/>
                <w:szCs w:val="24"/>
              </w:rPr>
              <w:t>Abdollahi et al 2014, Kolster et al 2010</w:t>
            </w:r>
          </w:p>
        </w:tc>
      </w:tr>
      <w:tr w14:paraId="77834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B7">
            <w:pPr>
              <w:jc w:val="center"/>
              <w:rPr>
                <w:rFonts w:ascii="Arial" w:hAnsi="Arial" w:eastAsia="Arial" w:cs="Arial"/>
                <w:sz w:val="24"/>
                <w:szCs w:val="24"/>
              </w:rPr>
            </w:pPr>
            <w:r>
              <w:rPr>
                <w:rFonts w:ascii="Arial" w:hAnsi="Arial" w:eastAsia="Arial" w:cs="Arial"/>
                <w:sz w:val="24"/>
                <w:szCs w:val="24"/>
              </w:rPr>
              <w:t>V3CD</w:t>
            </w:r>
          </w:p>
        </w:tc>
        <w:tc>
          <w:tcPr>
            <w:tcW w:w="2362" w:type="dxa"/>
          </w:tcPr>
          <w:p w14:paraId="000000B8">
            <w:pPr>
              <w:jc w:val="left"/>
              <w:rPr>
                <w:rFonts w:ascii="Arial" w:hAnsi="Arial" w:eastAsia="Arial" w:cs="Arial"/>
                <w:sz w:val="24"/>
                <w:szCs w:val="24"/>
              </w:rPr>
            </w:pPr>
            <w:r>
              <w:rPr>
                <w:rFonts w:ascii="Arial" w:hAnsi="Arial" w:eastAsia="Arial" w:cs="Arial"/>
                <w:sz w:val="24"/>
                <w:szCs w:val="24"/>
              </w:rPr>
              <w:t>Area V3CD</w:t>
            </w:r>
          </w:p>
        </w:tc>
        <w:tc>
          <w:tcPr>
            <w:tcW w:w="1702" w:type="dxa"/>
          </w:tcPr>
          <w:p w14:paraId="000000B9">
            <w:pPr>
              <w:jc w:val="left"/>
              <w:rPr>
                <w:rFonts w:ascii="Arial" w:hAnsi="Arial" w:eastAsia="Arial" w:cs="Arial"/>
                <w:sz w:val="24"/>
                <w:szCs w:val="24"/>
              </w:rPr>
            </w:pPr>
            <w:r>
              <w:rPr>
                <w:rFonts w:ascii="Arial" w:hAnsi="Arial" w:eastAsia="Arial" w:cs="Arial"/>
                <w:sz w:val="24"/>
                <w:szCs w:val="24"/>
              </w:rPr>
              <w:t>V3A, V3B, hOC4la</w:t>
            </w:r>
          </w:p>
        </w:tc>
        <w:tc>
          <w:tcPr>
            <w:tcW w:w="3250" w:type="dxa"/>
          </w:tcPr>
          <w:p w14:paraId="000000BA">
            <w:pPr>
              <w:jc w:val="left"/>
              <w:rPr>
                <w:rFonts w:ascii="Arial" w:hAnsi="Arial" w:eastAsia="Arial" w:cs="Arial"/>
                <w:sz w:val="24"/>
                <w:szCs w:val="24"/>
              </w:rPr>
            </w:pPr>
            <w:r>
              <w:rPr>
                <w:rFonts w:ascii="Arial" w:hAnsi="Arial" w:eastAsia="Arial" w:cs="Arial"/>
                <w:sz w:val="24"/>
                <w:szCs w:val="24"/>
              </w:rPr>
              <w:t>Abdollahi et al 2014, Malikovic et al 2015</w:t>
            </w:r>
          </w:p>
        </w:tc>
      </w:tr>
      <w:tr w14:paraId="01B88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BB">
            <w:pPr>
              <w:jc w:val="center"/>
              <w:rPr>
                <w:rFonts w:ascii="Arial" w:hAnsi="Arial" w:eastAsia="Arial" w:cs="Arial"/>
                <w:sz w:val="24"/>
                <w:szCs w:val="24"/>
              </w:rPr>
            </w:pPr>
            <w:r>
              <w:rPr>
                <w:rFonts w:ascii="Arial" w:hAnsi="Arial" w:eastAsia="Arial" w:cs="Arial"/>
                <w:sz w:val="24"/>
                <w:szCs w:val="24"/>
              </w:rPr>
              <w:t>LO3</w:t>
            </w:r>
          </w:p>
        </w:tc>
        <w:tc>
          <w:tcPr>
            <w:tcW w:w="2362" w:type="dxa"/>
          </w:tcPr>
          <w:p w14:paraId="000000BC">
            <w:pPr>
              <w:jc w:val="left"/>
              <w:rPr>
                <w:rFonts w:ascii="Arial" w:hAnsi="Arial" w:eastAsia="Arial" w:cs="Arial"/>
                <w:sz w:val="24"/>
                <w:szCs w:val="24"/>
              </w:rPr>
            </w:pPr>
            <w:r>
              <w:rPr>
                <w:rFonts w:ascii="Arial" w:hAnsi="Arial" w:eastAsia="Arial" w:cs="Arial"/>
                <w:sz w:val="24"/>
                <w:szCs w:val="24"/>
              </w:rPr>
              <w:t>Area Lateral Occipital 3</w:t>
            </w:r>
          </w:p>
        </w:tc>
        <w:tc>
          <w:tcPr>
            <w:tcW w:w="1702" w:type="dxa"/>
          </w:tcPr>
          <w:p w14:paraId="000000BD">
            <w:pPr>
              <w:jc w:val="left"/>
              <w:rPr>
                <w:rFonts w:ascii="Arial" w:hAnsi="Arial" w:eastAsia="Arial" w:cs="Arial"/>
                <w:sz w:val="24"/>
                <w:szCs w:val="24"/>
              </w:rPr>
            </w:pPr>
            <w:r>
              <w:rPr>
                <w:rFonts w:ascii="Arial" w:hAnsi="Arial" w:eastAsia="Arial" w:cs="Arial"/>
                <w:sz w:val="24"/>
                <w:szCs w:val="24"/>
              </w:rPr>
              <w:t>hOC4la</w:t>
            </w:r>
          </w:p>
        </w:tc>
        <w:tc>
          <w:tcPr>
            <w:tcW w:w="3250" w:type="dxa"/>
          </w:tcPr>
          <w:p w14:paraId="000000BE">
            <w:pPr>
              <w:jc w:val="left"/>
              <w:rPr>
                <w:rFonts w:ascii="Arial" w:hAnsi="Arial" w:eastAsia="Arial" w:cs="Arial"/>
                <w:sz w:val="24"/>
                <w:szCs w:val="24"/>
              </w:rPr>
            </w:pPr>
          </w:p>
        </w:tc>
      </w:tr>
      <w:tr w14:paraId="1E3FE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982" w:type="dxa"/>
          </w:tcPr>
          <w:p w14:paraId="000000BF">
            <w:pPr>
              <w:jc w:val="center"/>
              <w:rPr>
                <w:rFonts w:ascii="Arial" w:hAnsi="Arial" w:eastAsia="Arial" w:cs="Arial"/>
                <w:sz w:val="24"/>
                <w:szCs w:val="24"/>
              </w:rPr>
            </w:pPr>
            <w:r>
              <w:rPr>
                <w:rFonts w:ascii="Arial" w:hAnsi="Arial" w:eastAsia="Arial" w:cs="Arial"/>
                <w:sz w:val="24"/>
                <w:szCs w:val="24"/>
              </w:rPr>
              <w:t>VMV2</w:t>
            </w:r>
          </w:p>
        </w:tc>
        <w:tc>
          <w:tcPr>
            <w:tcW w:w="2362" w:type="dxa"/>
          </w:tcPr>
          <w:p w14:paraId="000000C0">
            <w:pPr>
              <w:jc w:val="left"/>
              <w:rPr>
                <w:rFonts w:ascii="Arial" w:hAnsi="Arial" w:eastAsia="Arial" w:cs="Arial"/>
                <w:sz w:val="24"/>
                <w:szCs w:val="24"/>
              </w:rPr>
            </w:pPr>
            <w:r>
              <w:rPr>
                <w:rFonts w:ascii="Arial" w:hAnsi="Arial" w:eastAsia="Arial" w:cs="Arial"/>
                <w:sz w:val="24"/>
                <w:szCs w:val="24"/>
              </w:rPr>
              <w:t>VentroMedial Visual Area 2</w:t>
            </w:r>
          </w:p>
        </w:tc>
        <w:tc>
          <w:tcPr>
            <w:tcW w:w="1702" w:type="dxa"/>
          </w:tcPr>
          <w:p w14:paraId="000000C1">
            <w:pPr>
              <w:jc w:val="left"/>
              <w:rPr>
                <w:rFonts w:ascii="Arial" w:hAnsi="Arial" w:eastAsia="Arial" w:cs="Arial"/>
                <w:sz w:val="24"/>
                <w:szCs w:val="24"/>
              </w:rPr>
            </w:pPr>
            <w:r>
              <w:rPr>
                <w:rFonts w:ascii="Arial" w:hAnsi="Arial" w:eastAsia="Arial" w:cs="Arial"/>
                <w:sz w:val="24"/>
                <w:szCs w:val="24"/>
              </w:rPr>
              <w:t>PHC1, PHC-1</w:t>
            </w:r>
          </w:p>
        </w:tc>
        <w:tc>
          <w:tcPr>
            <w:tcW w:w="3250" w:type="dxa"/>
          </w:tcPr>
          <w:p w14:paraId="000000C2">
            <w:pPr>
              <w:jc w:val="left"/>
              <w:rPr>
                <w:rFonts w:ascii="Arial" w:hAnsi="Arial" w:eastAsia="Arial" w:cs="Arial"/>
                <w:sz w:val="24"/>
                <w:szCs w:val="24"/>
              </w:rPr>
            </w:pPr>
            <w:r>
              <w:rPr>
                <w:rFonts w:ascii="Arial" w:hAnsi="Arial" w:eastAsia="Arial" w:cs="Arial"/>
                <w:sz w:val="24"/>
                <w:szCs w:val="24"/>
              </w:rPr>
              <w:t>Arcaro et al 2009, Wang et al 2015</w:t>
            </w:r>
          </w:p>
        </w:tc>
      </w:tr>
      <w:tr w14:paraId="15672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982" w:type="dxa"/>
          </w:tcPr>
          <w:p w14:paraId="000000C3">
            <w:pPr>
              <w:jc w:val="center"/>
              <w:rPr>
                <w:rFonts w:ascii="Arial" w:hAnsi="Arial" w:eastAsia="Arial" w:cs="Arial"/>
                <w:sz w:val="24"/>
                <w:szCs w:val="24"/>
              </w:rPr>
            </w:pPr>
            <w:r>
              <w:rPr>
                <w:rFonts w:ascii="Arial" w:hAnsi="Arial" w:eastAsia="Arial" w:cs="Arial"/>
                <w:sz w:val="24"/>
                <w:szCs w:val="24"/>
              </w:rPr>
              <w:t>VVC</w:t>
            </w:r>
          </w:p>
        </w:tc>
        <w:tc>
          <w:tcPr>
            <w:tcW w:w="2362" w:type="dxa"/>
          </w:tcPr>
          <w:p w14:paraId="000000C4">
            <w:pPr>
              <w:jc w:val="left"/>
              <w:rPr>
                <w:rFonts w:ascii="Arial" w:hAnsi="Arial" w:eastAsia="Arial" w:cs="Arial"/>
                <w:sz w:val="24"/>
                <w:szCs w:val="24"/>
              </w:rPr>
            </w:pPr>
            <w:r>
              <w:rPr>
                <w:rFonts w:ascii="Arial" w:hAnsi="Arial" w:eastAsia="Arial" w:cs="Arial"/>
                <w:sz w:val="24"/>
                <w:szCs w:val="24"/>
              </w:rPr>
              <w:t>Ventral Visual Complex</w:t>
            </w:r>
          </w:p>
        </w:tc>
        <w:tc>
          <w:tcPr>
            <w:tcW w:w="1702" w:type="dxa"/>
          </w:tcPr>
          <w:p w14:paraId="000000C5">
            <w:pPr>
              <w:jc w:val="left"/>
              <w:rPr>
                <w:rFonts w:ascii="Arial" w:hAnsi="Arial" w:eastAsia="Arial" w:cs="Arial"/>
                <w:sz w:val="24"/>
                <w:szCs w:val="24"/>
              </w:rPr>
            </w:pPr>
            <w:r>
              <w:rPr>
                <w:rFonts w:ascii="Arial" w:hAnsi="Arial" w:eastAsia="Arial" w:cs="Arial"/>
                <w:sz w:val="24"/>
                <w:szCs w:val="24"/>
              </w:rPr>
              <w:t>VO1, VO2, PHC1, PHC2, PHC-1, PHC-2, FG1</w:t>
            </w:r>
          </w:p>
        </w:tc>
        <w:tc>
          <w:tcPr>
            <w:tcW w:w="3250" w:type="dxa"/>
          </w:tcPr>
          <w:p w14:paraId="000000C6">
            <w:pPr>
              <w:jc w:val="left"/>
              <w:rPr>
                <w:rFonts w:ascii="Arial" w:hAnsi="Arial" w:eastAsia="Arial" w:cs="Arial"/>
                <w:sz w:val="24"/>
                <w:szCs w:val="24"/>
              </w:rPr>
            </w:pPr>
            <w:r>
              <w:rPr>
                <w:rFonts w:ascii="Arial" w:hAnsi="Arial" w:eastAsia="Arial" w:cs="Arial"/>
                <w:sz w:val="24"/>
                <w:szCs w:val="24"/>
              </w:rPr>
              <w:t>Arcaro et al 2009, Wang et al 2015, Wandell and Winawer 2011, Caspers et al 2013, Weiner et al 2014</w:t>
            </w:r>
          </w:p>
        </w:tc>
      </w:tr>
    </w:tbl>
    <w:p w14:paraId="7CB3A361">
      <w:pPr>
        <w:rPr>
          <w:rFonts w:ascii="Arial" w:hAnsi="Arial" w:eastAsia="Arial" w:cs="Arial"/>
          <w:b/>
          <w:bCs/>
        </w:rPr>
      </w:pPr>
      <w:r>
        <w:rPr>
          <w:rFonts w:hint="eastAsia" w:ascii="Arial" w:hAnsi="Arial" w:eastAsia="Arial" w:cs="Arial"/>
          <w:b/>
          <w:bCs/>
        </w:rPr>
        <w:t>Table A</w:t>
      </w:r>
      <w:r>
        <w:rPr>
          <w:rFonts w:ascii="Arial" w:hAnsi="Arial" w:eastAsia="Arial" w:cs="Arial"/>
          <w:b/>
          <w:bCs/>
        </w:rPr>
        <w:t>: Detailed descriptions of the 44 visual areas from the HCP multimodal parcellation (MMP) atlas; related to Figure 1.</w:t>
      </w:r>
    </w:p>
    <w:p w14:paraId="000000C7">
      <w:pPr>
        <w:rPr>
          <w:rFonts w:ascii="Arial" w:hAnsi="Arial" w:eastAsia="Arial" w:cs="Arial"/>
          <w:b/>
          <w:bCs/>
        </w:rPr>
      </w:pPr>
      <w:r>
        <w:rPr>
          <w:rFonts w:ascii="Arial" w:hAnsi="Arial" w:eastAsia="Arial" w:cs="Arial"/>
          <w:b/>
          <w:bCs/>
        </w:rPr>
        <w:br w:type="page"/>
      </w:r>
    </w:p>
    <w:tbl>
      <w:tblPr>
        <w:tblStyle w:val="25"/>
        <w:tblW w:w="829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90"/>
        <w:gridCol w:w="1030"/>
        <w:gridCol w:w="1218"/>
        <w:gridCol w:w="1134"/>
        <w:gridCol w:w="1218"/>
        <w:gridCol w:w="2106"/>
      </w:tblGrid>
      <w:tr w14:paraId="329F7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590" w:type="dxa"/>
          </w:tcPr>
          <w:p w14:paraId="000000C9">
            <w:pPr>
              <w:jc w:val="center"/>
              <w:rPr>
                <w:rFonts w:ascii="Arial" w:hAnsi="Arial" w:eastAsia="Arial" w:cs="Arial"/>
                <w:b/>
                <w:bCs/>
                <w:sz w:val="24"/>
                <w:szCs w:val="24"/>
              </w:rPr>
            </w:pPr>
            <w:r>
              <w:rPr>
                <w:rFonts w:ascii="Arial" w:hAnsi="Arial" w:eastAsia="Arial" w:cs="Arial"/>
                <w:b/>
                <w:bCs/>
                <w:sz w:val="24"/>
                <w:szCs w:val="24"/>
              </w:rPr>
              <w:t>Hemisphere</w:t>
            </w:r>
          </w:p>
        </w:tc>
        <w:tc>
          <w:tcPr>
            <w:tcW w:w="1030" w:type="dxa"/>
          </w:tcPr>
          <w:p w14:paraId="000000CA">
            <w:pPr>
              <w:jc w:val="center"/>
              <w:rPr>
                <w:rFonts w:ascii="Arial" w:hAnsi="Arial" w:eastAsia="Arial" w:cs="Arial"/>
                <w:b/>
                <w:bCs/>
                <w:sz w:val="24"/>
                <w:szCs w:val="24"/>
              </w:rPr>
            </w:pPr>
            <w:r>
              <w:rPr>
                <w:rFonts w:ascii="Arial" w:hAnsi="Arial" w:eastAsia="Arial" w:cs="Arial"/>
                <w:b/>
                <w:bCs/>
                <w:sz w:val="24"/>
                <w:szCs w:val="24"/>
              </w:rPr>
              <w:t>Visual Stream</w:t>
            </w:r>
          </w:p>
        </w:tc>
        <w:tc>
          <w:tcPr>
            <w:tcW w:w="1218" w:type="dxa"/>
          </w:tcPr>
          <w:p w14:paraId="000000CB">
            <w:pPr>
              <w:jc w:val="center"/>
              <w:rPr>
                <w:rFonts w:ascii="Arial" w:hAnsi="Arial" w:eastAsia="Arial" w:cs="Arial"/>
                <w:b/>
                <w:bCs/>
                <w:sz w:val="24"/>
                <w:szCs w:val="24"/>
              </w:rPr>
            </w:pPr>
            <w:r>
              <w:rPr>
                <w:rFonts w:ascii="Arial" w:hAnsi="Arial" w:eastAsia="Arial" w:cs="Arial"/>
                <w:b/>
                <w:bCs/>
                <w:sz w:val="24"/>
                <w:szCs w:val="24"/>
              </w:rPr>
              <w:t>x</w:t>
            </w:r>
          </w:p>
        </w:tc>
        <w:tc>
          <w:tcPr>
            <w:tcW w:w="1134" w:type="dxa"/>
          </w:tcPr>
          <w:p w14:paraId="000000CC">
            <w:pPr>
              <w:jc w:val="center"/>
              <w:rPr>
                <w:rFonts w:ascii="Arial" w:hAnsi="Arial" w:eastAsia="Arial" w:cs="Arial"/>
                <w:b/>
                <w:bCs/>
                <w:sz w:val="24"/>
                <w:szCs w:val="24"/>
              </w:rPr>
            </w:pPr>
            <w:r>
              <w:rPr>
                <w:rFonts w:ascii="Arial" w:hAnsi="Arial" w:eastAsia="Arial" w:cs="Arial"/>
                <w:b/>
                <w:bCs/>
                <w:sz w:val="24"/>
                <w:szCs w:val="24"/>
              </w:rPr>
              <w:t>y</w:t>
            </w:r>
          </w:p>
        </w:tc>
        <w:tc>
          <w:tcPr>
            <w:tcW w:w="1218" w:type="dxa"/>
          </w:tcPr>
          <w:p w14:paraId="000000CD">
            <w:pPr>
              <w:jc w:val="center"/>
              <w:rPr>
                <w:rFonts w:ascii="Arial" w:hAnsi="Arial" w:eastAsia="Arial" w:cs="Arial"/>
                <w:b/>
                <w:bCs/>
                <w:sz w:val="24"/>
                <w:szCs w:val="24"/>
              </w:rPr>
            </w:pPr>
            <w:r>
              <w:rPr>
                <w:rFonts w:ascii="Arial" w:hAnsi="Arial" w:eastAsia="Arial" w:cs="Arial"/>
                <w:b/>
                <w:bCs/>
                <w:sz w:val="24"/>
                <w:szCs w:val="24"/>
              </w:rPr>
              <w:t>z</w:t>
            </w:r>
          </w:p>
        </w:tc>
        <w:tc>
          <w:tcPr>
            <w:tcW w:w="2106" w:type="dxa"/>
          </w:tcPr>
          <w:p w14:paraId="000000CE">
            <w:pPr>
              <w:jc w:val="center"/>
              <w:rPr>
                <w:rFonts w:ascii="Arial" w:hAnsi="Arial" w:eastAsia="Arial" w:cs="Arial"/>
                <w:b/>
                <w:bCs/>
                <w:sz w:val="24"/>
                <w:szCs w:val="24"/>
              </w:rPr>
            </w:pPr>
            <w:r>
              <w:rPr>
                <w:rFonts w:ascii="Arial" w:hAnsi="Arial" w:eastAsia="Arial" w:cs="Arial"/>
                <w:b/>
                <w:bCs/>
                <w:sz w:val="24"/>
                <w:szCs w:val="24"/>
              </w:rPr>
              <w:t>Anatomical Landmark</w:t>
            </w:r>
          </w:p>
        </w:tc>
      </w:tr>
      <w:tr w14:paraId="29DCA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590" w:type="dxa"/>
            <w:vMerge w:val="restart"/>
          </w:tcPr>
          <w:p w14:paraId="000000CF">
            <w:pPr>
              <w:jc w:val="center"/>
              <w:rPr>
                <w:rFonts w:ascii="Arial" w:hAnsi="Arial" w:eastAsia="Arial" w:cs="Arial"/>
                <w:sz w:val="24"/>
                <w:szCs w:val="24"/>
              </w:rPr>
            </w:pPr>
            <w:r>
              <w:rPr>
                <w:rFonts w:ascii="Arial" w:hAnsi="Arial" w:eastAsia="Arial" w:cs="Arial"/>
                <w:sz w:val="24"/>
                <w:szCs w:val="24"/>
              </w:rPr>
              <w:t>Left</w:t>
            </w:r>
          </w:p>
        </w:tc>
        <w:tc>
          <w:tcPr>
            <w:tcW w:w="1030" w:type="dxa"/>
          </w:tcPr>
          <w:p w14:paraId="000000D0">
            <w:pPr>
              <w:jc w:val="center"/>
              <w:rPr>
                <w:rFonts w:ascii="Arial" w:hAnsi="Arial" w:eastAsia="Arial" w:cs="Arial"/>
                <w:sz w:val="24"/>
                <w:szCs w:val="24"/>
              </w:rPr>
            </w:pPr>
            <w:r>
              <w:rPr>
                <w:rFonts w:ascii="Arial" w:hAnsi="Arial" w:eastAsia="Arial" w:cs="Arial"/>
                <w:sz w:val="24"/>
                <w:szCs w:val="24"/>
              </w:rPr>
              <w:t>Early</w:t>
            </w:r>
          </w:p>
        </w:tc>
        <w:tc>
          <w:tcPr>
            <w:tcW w:w="1218" w:type="dxa"/>
          </w:tcPr>
          <w:p w14:paraId="000000D1">
            <w:pPr>
              <w:jc w:val="center"/>
              <w:rPr>
                <w:rFonts w:ascii="Arial" w:hAnsi="Arial" w:eastAsia="Arial" w:cs="Arial"/>
                <w:sz w:val="24"/>
                <w:szCs w:val="24"/>
              </w:rPr>
            </w:pPr>
            <w:r>
              <w:rPr>
                <w:rFonts w:ascii="Arial" w:hAnsi="Arial" w:eastAsia="Arial" w:cs="Arial"/>
                <w:sz w:val="24"/>
                <w:szCs w:val="24"/>
              </w:rPr>
              <w:t>-7.22876</w:t>
            </w:r>
          </w:p>
        </w:tc>
        <w:tc>
          <w:tcPr>
            <w:tcW w:w="1134" w:type="dxa"/>
          </w:tcPr>
          <w:p w14:paraId="000000D2">
            <w:pPr>
              <w:jc w:val="center"/>
              <w:rPr>
                <w:rFonts w:ascii="Arial" w:hAnsi="Arial" w:eastAsia="Arial" w:cs="Arial"/>
                <w:sz w:val="24"/>
                <w:szCs w:val="24"/>
              </w:rPr>
            </w:pPr>
            <w:r>
              <w:rPr>
                <w:rFonts w:ascii="Arial" w:hAnsi="Arial" w:eastAsia="Arial" w:cs="Arial"/>
                <w:sz w:val="24"/>
                <w:szCs w:val="24"/>
              </w:rPr>
              <w:t>-96.1693</w:t>
            </w:r>
          </w:p>
        </w:tc>
        <w:tc>
          <w:tcPr>
            <w:tcW w:w="1218" w:type="dxa"/>
          </w:tcPr>
          <w:p w14:paraId="000000D3">
            <w:pPr>
              <w:jc w:val="center"/>
              <w:rPr>
                <w:rFonts w:ascii="Arial" w:hAnsi="Arial" w:eastAsia="Arial" w:cs="Arial"/>
                <w:sz w:val="24"/>
                <w:szCs w:val="24"/>
              </w:rPr>
            </w:pPr>
            <w:r>
              <w:rPr>
                <w:rFonts w:ascii="Arial" w:hAnsi="Arial" w:eastAsia="Arial" w:cs="Arial"/>
                <w:sz w:val="24"/>
                <w:szCs w:val="24"/>
              </w:rPr>
              <w:t>10.94631</w:t>
            </w:r>
          </w:p>
        </w:tc>
        <w:tc>
          <w:tcPr>
            <w:tcW w:w="2106" w:type="dxa"/>
          </w:tcPr>
          <w:p w14:paraId="000000D4">
            <w:pPr>
              <w:jc w:val="left"/>
              <w:rPr>
                <w:rFonts w:ascii="Arial" w:hAnsi="Arial" w:eastAsia="Arial" w:cs="Arial"/>
                <w:sz w:val="24"/>
                <w:szCs w:val="24"/>
              </w:rPr>
            </w:pPr>
            <w:r>
              <w:rPr>
                <w:rFonts w:ascii="Arial" w:hAnsi="Arial" w:eastAsia="Arial" w:cs="Arial"/>
                <w:sz w:val="24"/>
                <w:szCs w:val="24"/>
              </w:rPr>
              <w:t>Upper bank of the Calcarine Sulcus</w:t>
            </w:r>
          </w:p>
        </w:tc>
      </w:tr>
      <w:tr w14:paraId="11CE7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590" w:type="dxa"/>
            <w:vMerge w:val="continue"/>
          </w:tcPr>
          <w:p w14:paraId="000000D5">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0D6">
            <w:pPr>
              <w:jc w:val="center"/>
              <w:rPr>
                <w:rFonts w:ascii="Arial" w:hAnsi="Arial" w:eastAsia="Arial" w:cs="Arial"/>
                <w:sz w:val="24"/>
                <w:szCs w:val="24"/>
              </w:rPr>
            </w:pPr>
            <w:r>
              <w:rPr>
                <w:rFonts w:ascii="Arial" w:hAnsi="Arial" w:eastAsia="Arial" w:cs="Arial"/>
                <w:sz w:val="24"/>
                <w:szCs w:val="24"/>
              </w:rPr>
              <w:t>Early</w:t>
            </w:r>
          </w:p>
        </w:tc>
        <w:tc>
          <w:tcPr>
            <w:tcW w:w="1218" w:type="dxa"/>
          </w:tcPr>
          <w:p w14:paraId="000000D7">
            <w:pPr>
              <w:jc w:val="center"/>
              <w:rPr>
                <w:rFonts w:ascii="Arial" w:hAnsi="Arial" w:eastAsia="Arial" w:cs="Arial"/>
                <w:sz w:val="24"/>
                <w:szCs w:val="24"/>
              </w:rPr>
            </w:pPr>
            <w:r>
              <w:rPr>
                <w:rFonts w:ascii="Arial" w:hAnsi="Arial" w:eastAsia="Arial" w:cs="Arial"/>
                <w:sz w:val="24"/>
                <w:szCs w:val="24"/>
              </w:rPr>
              <w:t>-10.1512</w:t>
            </w:r>
          </w:p>
        </w:tc>
        <w:tc>
          <w:tcPr>
            <w:tcW w:w="1134" w:type="dxa"/>
          </w:tcPr>
          <w:p w14:paraId="000000D8">
            <w:pPr>
              <w:jc w:val="center"/>
              <w:rPr>
                <w:rFonts w:ascii="Arial" w:hAnsi="Arial" w:eastAsia="Arial" w:cs="Arial"/>
                <w:sz w:val="24"/>
                <w:szCs w:val="24"/>
              </w:rPr>
            </w:pPr>
            <w:r>
              <w:rPr>
                <w:rFonts w:ascii="Arial" w:hAnsi="Arial" w:eastAsia="Arial" w:cs="Arial"/>
                <w:sz w:val="24"/>
                <w:szCs w:val="24"/>
              </w:rPr>
              <w:t>-92.6749</w:t>
            </w:r>
          </w:p>
        </w:tc>
        <w:tc>
          <w:tcPr>
            <w:tcW w:w="1218" w:type="dxa"/>
          </w:tcPr>
          <w:p w14:paraId="000000D9">
            <w:pPr>
              <w:jc w:val="center"/>
              <w:rPr>
                <w:rFonts w:ascii="Arial" w:hAnsi="Arial" w:eastAsia="Arial" w:cs="Arial"/>
                <w:sz w:val="24"/>
                <w:szCs w:val="24"/>
              </w:rPr>
            </w:pPr>
            <w:r>
              <w:rPr>
                <w:rFonts w:ascii="Arial" w:hAnsi="Arial" w:eastAsia="Arial" w:cs="Arial"/>
                <w:sz w:val="24"/>
                <w:szCs w:val="24"/>
              </w:rPr>
              <w:t>-11.9219</w:t>
            </w:r>
          </w:p>
        </w:tc>
        <w:tc>
          <w:tcPr>
            <w:tcW w:w="2106" w:type="dxa"/>
          </w:tcPr>
          <w:p w14:paraId="000000DA">
            <w:pPr>
              <w:jc w:val="left"/>
              <w:rPr>
                <w:rFonts w:ascii="Arial" w:hAnsi="Arial" w:eastAsia="Arial" w:cs="Arial"/>
                <w:sz w:val="24"/>
                <w:szCs w:val="24"/>
              </w:rPr>
            </w:pPr>
            <w:r>
              <w:rPr>
                <w:rFonts w:ascii="Arial" w:hAnsi="Arial" w:eastAsia="Arial" w:cs="Arial"/>
                <w:sz w:val="24"/>
                <w:szCs w:val="24"/>
              </w:rPr>
              <w:t>Lower bank of the Calcarine Sulcus</w:t>
            </w:r>
          </w:p>
        </w:tc>
      </w:tr>
      <w:tr w14:paraId="386BB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590" w:type="dxa"/>
            <w:vMerge w:val="continue"/>
          </w:tcPr>
          <w:p w14:paraId="000000DB">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0DC">
            <w:pPr>
              <w:jc w:val="center"/>
              <w:rPr>
                <w:rFonts w:ascii="Arial" w:hAnsi="Arial" w:eastAsia="Arial" w:cs="Arial"/>
                <w:sz w:val="24"/>
                <w:szCs w:val="24"/>
              </w:rPr>
            </w:pPr>
            <w:r>
              <w:rPr>
                <w:rFonts w:ascii="Arial" w:hAnsi="Arial" w:eastAsia="Arial" w:cs="Arial"/>
                <w:sz w:val="24"/>
                <w:szCs w:val="24"/>
              </w:rPr>
              <w:t>Dorsal</w:t>
            </w:r>
          </w:p>
        </w:tc>
        <w:tc>
          <w:tcPr>
            <w:tcW w:w="1218" w:type="dxa"/>
          </w:tcPr>
          <w:p w14:paraId="000000DD">
            <w:pPr>
              <w:jc w:val="center"/>
              <w:rPr>
                <w:rFonts w:ascii="Arial" w:hAnsi="Arial" w:eastAsia="Arial" w:cs="Arial"/>
                <w:sz w:val="24"/>
                <w:szCs w:val="24"/>
              </w:rPr>
            </w:pPr>
            <w:r>
              <w:rPr>
                <w:rFonts w:ascii="Arial" w:hAnsi="Arial" w:eastAsia="Arial" w:cs="Arial"/>
                <w:sz w:val="24"/>
                <w:szCs w:val="24"/>
              </w:rPr>
              <w:t>-11.0877</w:t>
            </w:r>
          </w:p>
        </w:tc>
        <w:tc>
          <w:tcPr>
            <w:tcW w:w="1134" w:type="dxa"/>
          </w:tcPr>
          <w:p w14:paraId="000000DE">
            <w:pPr>
              <w:jc w:val="center"/>
              <w:rPr>
                <w:rFonts w:ascii="Arial" w:hAnsi="Arial" w:eastAsia="Arial" w:cs="Arial"/>
                <w:sz w:val="24"/>
                <w:szCs w:val="24"/>
              </w:rPr>
            </w:pPr>
            <w:r>
              <w:rPr>
                <w:rFonts w:ascii="Arial" w:hAnsi="Arial" w:eastAsia="Arial" w:cs="Arial"/>
                <w:sz w:val="24"/>
                <w:szCs w:val="24"/>
              </w:rPr>
              <w:t>-55.9231</w:t>
            </w:r>
          </w:p>
        </w:tc>
        <w:tc>
          <w:tcPr>
            <w:tcW w:w="1218" w:type="dxa"/>
          </w:tcPr>
          <w:p w14:paraId="000000DF">
            <w:pPr>
              <w:jc w:val="center"/>
              <w:rPr>
                <w:rFonts w:ascii="Arial" w:hAnsi="Arial" w:eastAsia="Arial" w:cs="Arial"/>
                <w:sz w:val="24"/>
                <w:szCs w:val="24"/>
              </w:rPr>
            </w:pPr>
            <w:r>
              <w:rPr>
                <w:rFonts w:ascii="Arial" w:hAnsi="Arial" w:eastAsia="Arial" w:cs="Arial"/>
                <w:sz w:val="24"/>
                <w:szCs w:val="24"/>
              </w:rPr>
              <w:t>62.04463</w:t>
            </w:r>
          </w:p>
        </w:tc>
        <w:tc>
          <w:tcPr>
            <w:tcW w:w="2106" w:type="dxa"/>
          </w:tcPr>
          <w:p w14:paraId="000000E0">
            <w:pPr>
              <w:jc w:val="left"/>
              <w:rPr>
                <w:rFonts w:ascii="Arial" w:hAnsi="Arial" w:eastAsia="Arial" w:cs="Arial"/>
                <w:sz w:val="24"/>
                <w:szCs w:val="24"/>
              </w:rPr>
            </w:pPr>
            <w:r>
              <w:rPr>
                <w:rFonts w:ascii="Arial" w:hAnsi="Arial" w:eastAsia="Arial" w:cs="Arial"/>
                <w:sz w:val="24"/>
                <w:szCs w:val="24"/>
              </w:rPr>
              <w:t>Intersection between Superior Parietal Gyrus and Precuneus.</w:t>
            </w:r>
          </w:p>
        </w:tc>
      </w:tr>
      <w:tr w14:paraId="16782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trPr>
        <w:tc>
          <w:tcPr>
            <w:tcW w:w="1590" w:type="dxa"/>
            <w:vMerge w:val="continue"/>
          </w:tcPr>
          <w:p w14:paraId="000000E1">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0E2">
            <w:pPr>
              <w:jc w:val="center"/>
              <w:rPr>
                <w:rFonts w:ascii="Arial" w:hAnsi="Arial" w:eastAsia="Arial" w:cs="Arial"/>
                <w:sz w:val="24"/>
                <w:szCs w:val="24"/>
              </w:rPr>
            </w:pPr>
            <w:r>
              <w:rPr>
                <w:rFonts w:ascii="Arial" w:hAnsi="Arial" w:eastAsia="Arial" w:cs="Arial"/>
                <w:sz w:val="24"/>
                <w:szCs w:val="24"/>
              </w:rPr>
              <w:t>Dorsal</w:t>
            </w:r>
          </w:p>
        </w:tc>
        <w:tc>
          <w:tcPr>
            <w:tcW w:w="1218" w:type="dxa"/>
          </w:tcPr>
          <w:p w14:paraId="000000E3">
            <w:pPr>
              <w:jc w:val="center"/>
              <w:rPr>
                <w:rFonts w:ascii="Arial" w:hAnsi="Arial" w:eastAsia="Arial" w:cs="Arial"/>
                <w:sz w:val="24"/>
                <w:szCs w:val="24"/>
              </w:rPr>
            </w:pPr>
            <w:r>
              <w:rPr>
                <w:rFonts w:ascii="Arial" w:hAnsi="Arial" w:eastAsia="Arial" w:cs="Arial"/>
                <w:sz w:val="24"/>
                <w:szCs w:val="24"/>
              </w:rPr>
              <w:t>-14.3971</w:t>
            </w:r>
          </w:p>
        </w:tc>
        <w:tc>
          <w:tcPr>
            <w:tcW w:w="1134" w:type="dxa"/>
          </w:tcPr>
          <w:p w14:paraId="000000E4">
            <w:pPr>
              <w:jc w:val="center"/>
              <w:rPr>
                <w:rFonts w:ascii="Arial" w:hAnsi="Arial" w:eastAsia="Arial" w:cs="Arial"/>
                <w:sz w:val="24"/>
                <w:szCs w:val="24"/>
              </w:rPr>
            </w:pPr>
            <w:r>
              <w:rPr>
                <w:rFonts w:ascii="Arial" w:hAnsi="Arial" w:eastAsia="Arial" w:cs="Arial"/>
                <w:sz w:val="24"/>
                <w:szCs w:val="24"/>
              </w:rPr>
              <w:t>-75.7594</w:t>
            </w:r>
          </w:p>
        </w:tc>
        <w:tc>
          <w:tcPr>
            <w:tcW w:w="1218" w:type="dxa"/>
          </w:tcPr>
          <w:p w14:paraId="000000E5">
            <w:pPr>
              <w:jc w:val="center"/>
              <w:rPr>
                <w:rFonts w:ascii="Arial" w:hAnsi="Arial" w:eastAsia="Arial" w:cs="Arial"/>
                <w:sz w:val="24"/>
                <w:szCs w:val="24"/>
              </w:rPr>
            </w:pPr>
            <w:r>
              <w:rPr>
                <w:rFonts w:ascii="Arial" w:hAnsi="Arial" w:eastAsia="Arial" w:cs="Arial"/>
                <w:sz w:val="24"/>
                <w:szCs w:val="24"/>
              </w:rPr>
              <w:t>43.54079</w:t>
            </w:r>
          </w:p>
        </w:tc>
        <w:tc>
          <w:tcPr>
            <w:tcW w:w="2106" w:type="dxa"/>
          </w:tcPr>
          <w:p w14:paraId="000000E6">
            <w:pPr>
              <w:jc w:val="left"/>
              <w:rPr>
                <w:rFonts w:ascii="Arial" w:hAnsi="Arial" w:eastAsia="Arial" w:cs="Arial"/>
                <w:sz w:val="24"/>
                <w:szCs w:val="24"/>
              </w:rPr>
            </w:pPr>
            <w:r>
              <w:rPr>
                <w:rFonts w:ascii="Arial" w:hAnsi="Arial" w:eastAsia="Arial" w:cs="Arial"/>
                <w:sz w:val="24"/>
                <w:szCs w:val="24"/>
              </w:rPr>
              <w:t>Confluence of Superior Occipital Gyrus, Parieto-Occipital Sulcus and Superior Parietal Gyrus</w:t>
            </w:r>
          </w:p>
        </w:tc>
      </w:tr>
      <w:tr w14:paraId="1A751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trPr>
        <w:tc>
          <w:tcPr>
            <w:tcW w:w="1590" w:type="dxa"/>
            <w:vMerge w:val="continue"/>
          </w:tcPr>
          <w:p w14:paraId="000000E7">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0E8">
            <w:pPr>
              <w:jc w:val="center"/>
              <w:rPr>
                <w:rFonts w:ascii="Arial" w:hAnsi="Arial" w:eastAsia="Arial" w:cs="Arial"/>
                <w:sz w:val="24"/>
                <w:szCs w:val="24"/>
              </w:rPr>
            </w:pPr>
            <w:r>
              <w:rPr>
                <w:rFonts w:ascii="Arial" w:hAnsi="Arial" w:eastAsia="Arial" w:cs="Arial"/>
                <w:sz w:val="24"/>
                <w:szCs w:val="24"/>
              </w:rPr>
              <w:t>Lateral</w:t>
            </w:r>
          </w:p>
        </w:tc>
        <w:tc>
          <w:tcPr>
            <w:tcW w:w="1218" w:type="dxa"/>
          </w:tcPr>
          <w:p w14:paraId="000000E9">
            <w:pPr>
              <w:jc w:val="center"/>
              <w:rPr>
                <w:rFonts w:ascii="Arial" w:hAnsi="Arial" w:eastAsia="Arial" w:cs="Arial"/>
                <w:sz w:val="24"/>
                <w:szCs w:val="24"/>
              </w:rPr>
            </w:pPr>
            <w:r>
              <w:rPr>
                <w:rFonts w:ascii="Arial" w:hAnsi="Arial" w:eastAsia="Arial" w:cs="Arial"/>
                <w:sz w:val="24"/>
                <w:szCs w:val="24"/>
              </w:rPr>
              <w:t>-43.357</w:t>
            </w:r>
          </w:p>
        </w:tc>
        <w:tc>
          <w:tcPr>
            <w:tcW w:w="1134" w:type="dxa"/>
          </w:tcPr>
          <w:p w14:paraId="000000EA">
            <w:pPr>
              <w:jc w:val="center"/>
              <w:rPr>
                <w:rFonts w:ascii="Arial" w:hAnsi="Arial" w:eastAsia="Arial" w:cs="Arial"/>
                <w:sz w:val="24"/>
                <w:szCs w:val="24"/>
              </w:rPr>
            </w:pPr>
            <w:r>
              <w:rPr>
                <w:rFonts w:ascii="Arial" w:hAnsi="Arial" w:eastAsia="Arial" w:cs="Arial"/>
                <w:sz w:val="24"/>
                <w:szCs w:val="24"/>
              </w:rPr>
              <w:t>-69.2016</w:t>
            </w:r>
          </w:p>
        </w:tc>
        <w:tc>
          <w:tcPr>
            <w:tcW w:w="1218" w:type="dxa"/>
          </w:tcPr>
          <w:p w14:paraId="000000EB">
            <w:pPr>
              <w:jc w:val="center"/>
              <w:rPr>
                <w:rFonts w:ascii="Arial" w:hAnsi="Arial" w:eastAsia="Arial" w:cs="Arial"/>
                <w:sz w:val="24"/>
                <w:szCs w:val="24"/>
              </w:rPr>
            </w:pPr>
            <w:r>
              <w:rPr>
                <w:rFonts w:ascii="Arial" w:hAnsi="Arial" w:eastAsia="Arial" w:cs="Arial"/>
                <w:sz w:val="24"/>
                <w:szCs w:val="24"/>
              </w:rPr>
              <w:t>-2.55437</w:t>
            </w:r>
          </w:p>
        </w:tc>
        <w:tc>
          <w:tcPr>
            <w:tcW w:w="2106" w:type="dxa"/>
          </w:tcPr>
          <w:p w14:paraId="000000EC">
            <w:pPr>
              <w:jc w:val="left"/>
              <w:rPr>
                <w:rFonts w:ascii="Arial" w:hAnsi="Arial" w:eastAsia="Arial" w:cs="Arial"/>
                <w:sz w:val="24"/>
                <w:szCs w:val="24"/>
              </w:rPr>
            </w:pPr>
            <w:r>
              <w:rPr>
                <w:rFonts w:ascii="Arial" w:hAnsi="Arial" w:eastAsia="Arial" w:cs="Arial"/>
                <w:sz w:val="24"/>
                <w:szCs w:val="24"/>
              </w:rPr>
              <w:t>Intersection between Anterior Occipital Sulcus and Inferior Occipital Gyrus</w:t>
            </w:r>
          </w:p>
        </w:tc>
      </w:tr>
      <w:tr w14:paraId="19DBE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trPr>
        <w:tc>
          <w:tcPr>
            <w:tcW w:w="1590" w:type="dxa"/>
            <w:vMerge w:val="continue"/>
          </w:tcPr>
          <w:p w14:paraId="000000ED">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0EE">
            <w:pPr>
              <w:jc w:val="center"/>
              <w:rPr>
                <w:rFonts w:ascii="Arial" w:hAnsi="Arial" w:eastAsia="Arial" w:cs="Arial"/>
                <w:sz w:val="24"/>
                <w:szCs w:val="24"/>
              </w:rPr>
            </w:pPr>
            <w:r>
              <w:rPr>
                <w:rFonts w:ascii="Arial" w:hAnsi="Arial" w:eastAsia="Arial" w:cs="Arial"/>
                <w:sz w:val="24"/>
                <w:szCs w:val="24"/>
              </w:rPr>
              <w:t>Lateral</w:t>
            </w:r>
          </w:p>
        </w:tc>
        <w:tc>
          <w:tcPr>
            <w:tcW w:w="1218" w:type="dxa"/>
          </w:tcPr>
          <w:p w14:paraId="000000EF">
            <w:pPr>
              <w:jc w:val="center"/>
              <w:rPr>
                <w:rFonts w:ascii="Arial" w:hAnsi="Arial" w:eastAsia="Arial" w:cs="Arial"/>
                <w:sz w:val="24"/>
                <w:szCs w:val="24"/>
              </w:rPr>
            </w:pPr>
            <w:r>
              <w:rPr>
                <w:rFonts w:ascii="Arial" w:hAnsi="Arial" w:eastAsia="Arial" w:cs="Arial"/>
                <w:sz w:val="24"/>
                <w:szCs w:val="24"/>
              </w:rPr>
              <w:t>-41.69</w:t>
            </w:r>
          </w:p>
        </w:tc>
        <w:tc>
          <w:tcPr>
            <w:tcW w:w="1134" w:type="dxa"/>
          </w:tcPr>
          <w:p w14:paraId="000000F0">
            <w:pPr>
              <w:jc w:val="center"/>
              <w:rPr>
                <w:rFonts w:ascii="Arial" w:hAnsi="Arial" w:eastAsia="Arial" w:cs="Arial"/>
                <w:sz w:val="24"/>
                <w:szCs w:val="24"/>
              </w:rPr>
            </w:pPr>
            <w:r>
              <w:rPr>
                <w:rFonts w:ascii="Arial" w:hAnsi="Arial" w:eastAsia="Arial" w:cs="Arial"/>
                <w:sz w:val="24"/>
                <w:szCs w:val="24"/>
              </w:rPr>
              <w:t>-76.4999</w:t>
            </w:r>
          </w:p>
        </w:tc>
        <w:tc>
          <w:tcPr>
            <w:tcW w:w="1218" w:type="dxa"/>
          </w:tcPr>
          <w:p w14:paraId="000000F1">
            <w:pPr>
              <w:jc w:val="center"/>
              <w:rPr>
                <w:rFonts w:ascii="Arial" w:hAnsi="Arial" w:eastAsia="Arial" w:cs="Arial"/>
                <w:sz w:val="24"/>
                <w:szCs w:val="24"/>
              </w:rPr>
            </w:pPr>
            <w:r>
              <w:rPr>
                <w:rFonts w:ascii="Arial" w:hAnsi="Arial" w:eastAsia="Arial" w:cs="Arial"/>
                <w:sz w:val="24"/>
                <w:szCs w:val="24"/>
              </w:rPr>
              <w:t>16.17956</w:t>
            </w:r>
          </w:p>
        </w:tc>
        <w:tc>
          <w:tcPr>
            <w:tcW w:w="2106" w:type="dxa"/>
          </w:tcPr>
          <w:p w14:paraId="000000F2">
            <w:pPr>
              <w:jc w:val="left"/>
              <w:rPr>
                <w:rFonts w:ascii="Arial" w:hAnsi="Arial" w:eastAsia="Arial" w:cs="Arial"/>
                <w:sz w:val="24"/>
                <w:szCs w:val="24"/>
              </w:rPr>
            </w:pPr>
            <w:r>
              <w:rPr>
                <w:rFonts w:ascii="Arial" w:hAnsi="Arial" w:eastAsia="Arial" w:cs="Arial"/>
                <w:sz w:val="24"/>
                <w:szCs w:val="24"/>
              </w:rPr>
              <w:t>Intersection between Middle Occipital Sulcus and Middle Occipital Gyrus</w:t>
            </w:r>
          </w:p>
        </w:tc>
      </w:tr>
      <w:tr w14:paraId="23AF2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590" w:type="dxa"/>
            <w:vMerge w:val="continue"/>
          </w:tcPr>
          <w:p w14:paraId="000000F3">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0F4">
            <w:pPr>
              <w:jc w:val="center"/>
              <w:rPr>
                <w:rFonts w:ascii="Arial" w:hAnsi="Arial" w:eastAsia="Arial" w:cs="Arial"/>
                <w:sz w:val="24"/>
                <w:szCs w:val="24"/>
              </w:rPr>
            </w:pPr>
            <w:r>
              <w:rPr>
                <w:rFonts w:ascii="Arial" w:hAnsi="Arial" w:eastAsia="Arial" w:cs="Arial"/>
                <w:sz w:val="24"/>
                <w:szCs w:val="24"/>
              </w:rPr>
              <w:t>Ventral</w:t>
            </w:r>
          </w:p>
        </w:tc>
        <w:tc>
          <w:tcPr>
            <w:tcW w:w="1218" w:type="dxa"/>
          </w:tcPr>
          <w:p w14:paraId="000000F5">
            <w:pPr>
              <w:jc w:val="center"/>
              <w:rPr>
                <w:rFonts w:ascii="Arial" w:hAnsi="Arial" w:eastAsia="Arial" w:cs="Arial"/>
                <w:sz w:val="24"/>
                <w:szCs w:val="24"/>
              </w:rPr>
            </w:pPr>
            <w:r>
              <w:rPr>
                <w:rFonts w:ascii="Arial" w:hAnsi="Arial" w:eastAsia="Arial" w:cs="Arial"/>
                <w:sz w:val="24"/>
                <w:szCs w:val="24"/>
              </w:rPr>
              <w:t>-30.1495</w:t>
            </w:r>
          </w:p>
        </w:tc>
        <w:tc>
          <w:tcPr>
            <w:tcW w:w="1134" w:type="dxa"/>
          </w:tcPr>
          <w:p w14:paraId="000000F6">
            <w:pPr>
              <w:jc w:val="center"/>
              <w:rPr>
                <w:rFonts w:ascii="Arial" w:hAnsi="Arial" w:eastAsia="Arial" w:cs="Arial"/>
                <w:sz w:val="24"/>
                <w:szCs w:val="24"/>
              </w:rPr>
            </w:pPr>
            <w:r>
              <w:rPr>
                <w:rFonts w:ascii="Arial" w:hAnsi="Arial" w:eastAsia="Arial" w:cs="Arial"/>
                <w:sz w:val="24"/>
                <w:szCs w:val="24"/>
              </w:rPr>
              <w:t>-32.6623</w:t>
            </w:r>
          </w:p>
        </w:tc>
        <w:tc>
          <w:tcPr>
            <w:tcW w:w="1218" w:type="dxa"/>
          </w:tcPr>
          <w:p w14:paraId="000000F7">
            <w:pPr>
              <w:jc w:val="center"/>
              <w:rPr>
                <w:rFonts w:ascii="Arial" w:hAnsi="Arial" w:eastAsia="Arial" w:cs="Arial"/>
                <w:sz w:val="24"/>
                <w:szCs w:val="24"/>
              </w:rPr>
            </w:pPr>
            <w:r>
              <w:rPr>
                <w:rFonts w:ascii="Arial" w:hAnsi="Arial" w:eastAsia="Arial" w:cs="Arial"/>
                <w:sz w:val="24"/>
                <w:szCs w:val="24"/>
              </w:rPr>
              <w:t>-16.5016</w:t>
            </w:r>
          </w:p>
        </w:tc>
        <w:tc>
          <w:tcPr>
            <w:tcW w:w="2106" w:type="dxa"/>
          </w:tcPr>
          <w:p w14:paraId="000000F8">
            <w:pPr>
              <w:jc w:val="left"/>
              <w:rPr>
                <w:rFonts w:ascii="Arial" w:hAnsi="Arial" w:eastAsia="Arial" w:cs="Arial"/>
                <w:sz w:val="24"/>
                <w:szCs w:val="24"/>
              </w:rPr>
            </w:pPr>
            <w:r>
              <w:rPr>
                <w:rFonts w:ascii="Arial" w:hAnsi="Arial" w:eastAsia="Arial" w:cs="Arial"/>
                <w:sz w:val="24"/>
                <w:szCs w:val="24"/>
              </w:rPr>
              <w:t>Within Collateral Sulcus</w:t>
            </w:r>
          </w:p>
        </w:tc>
      </w:tr>
      <w:tr w14:paraId="10C40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590" w:type="dxa"/>
            <w:vMerge w:val="continue"/>
          </w:tcPr>
          <w:p w14:paraId="000000F9">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0FA">
            <w:pPr>
              <w:jc w:val="center"/>
              <w:rPr>
                <w:rFonts w:ascii="Arial" w:hAnsi="Arial" w:eastAsia="Arial" w:cs="Arial"/>
                <w:sz w:val="24"/>
                <w:szCs w:val="24"/>
              </w:rPr>
            </w:pPr>
            <w:r>
              <w:rPr>
                <w:rFonts w:ascii="Arial" w:hAnsi="Arial" w:eastAsia="Arial" w:cs="Arial"/>
                <w:sz w:val="24"/>
                <w:szCs w:val="24"/>
              </w:rPr>
              <w:t>Ventral</w:t>
            </w:r>
          </w:p>
        </w:tc>
        <w:tc>
          <w:tcPr>
            <w:tcW w:w="1218" w:type="dxa"/>
          </w:tcPr>
          <w:p w14:paraId="000000FB">
            <w:pPr>
              <w:jc w:val="center"/>
              <w:rPr>
                <w:rFonts w:ascii="Arial" w:hAnsi="Arial" w:eastAsia="Arial" w:cs="Arial"/>
                <w:sz w:val="24"/>
                <w:szCs w:val="24"/>
              </w:rPr>
            </w:pPr>
            <w:r>
              <w:rPr>
                <w:rFonts w:ascii="Arial" w:hAnsi="Arial" w:eastAsia="Arial" w:cs="Arial"/>
                <w:sz w:val="24"/>
                <w:szCs w:val="24"/>
              </w:rPr>
              <w:t>-40.1003</w:t>
            </w:r>
          </w:p>
        </w:tc>
        <w:tc>
          <w:tcPr>
            <w:tcW w:w="1134" w:type="dxa"/>
          </w:tcPr>
          <w:p w14:paraId="000000FC">
            <w:pPr>
              <w:jc w:val="center"/>
              <w:rPr>
                <w:rFonts w:ascii="Arial" w:hAnsi="Arial" w:eastAsia="Arial" w:cs="Arial"/>
                <w:sz w:val="24"/>
                <w:szCs w:val="24"/>
              </w:rPr>
            </w:pPr>
            <w:r>
              <w:rPr>
                <w:rFonts w:ascii="Arial" w:hAnsi="Arial" w:eastAsia="Arial" w:cs="Arial"/>
                <w:sz w:val="24"/>
                <w:szCs w:val="24"/>
              </w:rPr>
              <w:t>-19.7558</w:t>
            </w:r>
          </w:p>
        </w:tc>
        <w:tc>
          <w:tcPr>
            <w:tcW w:w="1218" w:type="dxa"/>
          </w:tcPr>
          <w:p w14:paraId="000000FD">
            <w:pPr>
              <w:jc w:val="center"/>
              <w:rPr>
                <w:rFonts w:ascii="Arial" w:hAnsi="Arial" w:eastAsia="Arial" w:cs="Arial"/>
                <w:sz w:val="24"/>
                <w:szCs w:val="24"/>
              </w:rPr>
            </w:pPr>
            <w:r>
              <w:rPr>
                <w:rFonts w:ascii="Arial" w:hAnsi="Arial" w:eastAsia="Arial" w:cs="Arial"/>
                <w:sz w:val="24"/>
                <w:szCs w:val="24"/>
              </w:rPr>
              <w:t>-23.9135</w:t>
            </w:r>
          </w:p>
        </w:tc>
        <w:tc>
          <w:tcPr>
            <w:tcW w:w="2106" w:type="dxa"/>
          </w:tcPr>
          <w:p w14:paraId="000000FE">
            <w:pPr>
              <w:jc w:val="left"/>
              <w:rPr>
                <w:rFonts w:ascii="Arial" w:hAnsi="Arial" w:eastAsia="Arial" w:cs="Arial"/>
                <w:sz w:val="24"/>
                <w:szCs w:val="24"/>
              </w:rPr>
            </w:pPr>
            <w:r>
              <w:rPr>
                <w:rFonts w:ascii="Arial" w:hAnsi="Arial" w:eastAsia="Arial" w:cs="Arial"/>
                <w:sz w:val="24"/>
                <w:szCs w:val="24"/>
              </w:rPr>
              <w:t>Within anterior transverse Collateral Sulcus</w:t>
            </w:r>
          </w:p>
        </w:tc>
      </w:tr>
      <w:tr w14:paraId="4B314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590" w:type="dxa"/>
            <w:vMerge w:val="restart"/>
          </w:tcPr>
          <w:p w14:paraId="000000FF">
            <w:pPr>
              <w:jc w:val="center"/>
              <w:rPr>
                <w:rFonts w:ascii="Arial" w:hAnsi="Arial" w:eastAsia="Arial" w:cs="Arial"/>
                <w:sz w:val="24"/>
                <w:szCs w:val="24"/>
              </w:rPr>
            </w:pPr>
            <w:r>
              <w:rPr>
                <w:rFonts w:ascii="Arial" w:hAnsi="Arial" w:eastAsia="Arial" w:cs="Arial"/>
                <w:sz w:val="24"/>
                <w:szCs w:val="24"/>
              </w:rPr>
              <w:t>Right</w:t>
            </w:r>
          </w:p>
        </w:tc>
        <w:tc>
          <w:tcPr>
            <w:tcW w:w="1030" w:type="dxa"/>
          </w:tcPr>
          <w:p w14:paraId="00000100">
            <w:pPr>
              <w:jc w:val="center"/>
              <w:rPr>
                <w:rFonts w:ascii="Arial" w:hAnsi="Arial" w:eastAsia="Arial" w:cs="Arial"/>
                <w:sz w:val="24"/>
                <w:szCs w:val="24"/>
              </w:rPr>
            </w:pPr>
            <w:r>
              <w:rPr>
                <w:rFonts w:ascii="Arial" w:hAnsi="Arial" w:eastAsia="Arial" w:cs="Arial"/>
                <w:sz w:val="24"/>
                <w:szCs w:val="24"/>
              </w:rPr>
              <w:t>Early</w:t>
            </w:r>
          </w:p>
        </w:tc>
        <w:tc>
          <w:tcPr>
            <w:tcW w:w="1218" w:type="dxa"/>
          </w:tcPr>
          <w:p w14:paraId="00000101">
            <w:pPr>
              <w:jc w:val="center"/>
              <w:rPr>
                <w:rFonts w:ascii="Arial" w:hAnsi="Arial" w:eastAsia="Arial" w:cs="Arial"/>
                <w:sz w:val="24"/>
                <w:szCs w:val="24"/>
              </w:rPr>
            </w:pPr>
            <w:r>
              <w:rPr>
                <w:rFonts w:ascii="Arial" w:hAnsi="Arial" w:eastAsia="Arial" w:cs="Arial"/>
                <w:sz w:val="24"/>
                <w:szCs w:val="24"/>
              </w:rPr>
              <w:t>11.34271</w:t>
            </w:r>
          </w:p>
        </w:tc>
        <w:tc>
          <w:tcPr>
            <w:tcW w:w="1134" w:type="dxa"/>
          </w:tcPr>
          <w:p w14:paraId="00000102">
            <w:pPr>
              <w:jc w:val="center"/>
              <w:rPr>
                <w:rFonts w:ascii="Arial" w:hAnsi="Arial" w:eastAsia="Arial" w:cs="Arial"/>
                <w:sz w:val="24"/>
                <w:szCs w:val="24"/>
              </w:rPr>
            </w:pPr>
            <w:r>
              <w:rPr>
                <w:rFonts w:ascii="Arial" w:hAnsi="Arial" w:eastAsia="Arial" w:cs="Arial"/>
                <w:sz w:val="24"/>
                <w:szCs w:val="24"/>
              </w:rPr>
              <w:t>-94.6688</w:t>
            </w:r>
          </w:p>
        </w:tc>
        <w:tc>
          <w:tcPr>
            <w:tcW w:w="1218" w:type="dxa"/>
          </w:tcPr>
          <w:p w14:paraId="00000103">
            <w:pPr>
              <w:jc w:val="center"/>
              <w:rPr>
                <w:rFonts w:ascii="Arial" w:hAnsi="Arial" w:eastAsia="Arial" w:cs="Arial"/>
                <w:sz w:val="24"/>
                <w:szCs w:val="24"/>
              </w:rPr>
            </w:pPr>
            <w:r>
              <w:rPr>
                <w:rFonts w:ascii="Arial" w:hAnsi="Arial" w:eastAsia="Arial" w:cs="Arial"/>
                <w:sz w:val="24"/>
                <w:szCs w:val="24"/>
              </w:rPr>
              <w:t>13.01122</w:t>
            </w:r>
          </w:p>
        </w:tc>
        <w:tc>
          <w:tcPr>
            <w:tcW w:w="2106" w:type="dxa"/>
          </w:tcPr>
          <w:p w14:paraId="00000104">
            <w:pPr>
              <w:jc w:val="left"/>
              <w:rPr>
                <w:rFonts w:ascii="Arial" w:hAnsi="Arial" w:eastAsia="Arial" w:cs="Arial"/>
                <w:sz w:val="24"/>
                <w:szCs w:val="24"/>
              </w:rPr>
            </w:pPr>
            <w:r>
              <w:rPr>
                <w:rFonts w:ascii="Arial" w:hAnsi="Arial" w:eastAsia="Arial" w:cs="Arial"/>
                <w:sz w:val="24"/>
                <w:szCs w:val="24"/>
              </w:rPr>
              <w:t>Upper bank of the Calcarine Sulcus</w:t>
            </w:r>
          </w:p>
        </w:tc>
      </w:tr>
      <w:tr w14:paraId="3CD12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590" w:type="dxa"/>
            <w:vMerge w:val="continue"/>
          </w:tcPr>
          <w:p w14:paraId="00000105">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106">
            <w:pPr>
              <w:jc w:val="center"/>
              <w:rPr>
                <w:rFonts w:ascii="Arial" w:hAnsi="Arial" w:eastAsia="Arial" w:cs="Arial"/>
                <w:sz w:val="24"/>
                <w:szCs w:val="24"/>
              </w:rPr>
            </w:pPr>
            <w:r>
              <w:rPr>
                <w:rFonts w:ascii="Arial" w:hAnsi="Arial" w:eastAsia="Arial" w:cs="Arial"/>
                <w:sz w:val="24"/>
                <w:szCs w:val="24"/>
              </w:rPr>
              <w:t>Early</w:t>
            </w:r>
          </w:p>
        </w:tc>
        <w:tc>
          <w:tcPr>
            <w:tcW w:w="1218" w:type="dxa"/>
          </w:tcPr>
          <w:p w14:paraId="00000107">
            <w:pPr>
              <w:jc w:val="center"/>
              <w:rPr>
                <w:rFonts w:ascii="Arial" w:hAnsi="Arial" w:eastAsia="Arial" w:cs="Arial"/>
                <w:sz w:val="24"/>
                <w:szCs w:val="24"/>
              </w:rPr>
            </w:pPr>
            <w:r>
              <w:rPr>
                <w:rFonts w:ascii="Arial" w:hAnsi="Arial" w:eastAsia="Arial" w:cs="Arial"/>
                <w:sz w:val="24"/>
                <w:szCs w:val="24"/>
              </w:rPr>
              <w:t>8.911536</w:t>
            </w:r>
          </w:p>
        </w:tc>
        <w:tc>
          <w:tcPr>
            <w:tcW w:w="1134" w:type="dxa"/>
          </w:tcPr>
          <w:p w14:paraId="00000108">
            <w:pPr>
              <w:jc w:val="center"/>
              <w:rPr>
                <w:rFonts w:ascii="Arial" w:hAnsi="Arial" w:eastAsia="Arial" w:cs="Arial"/>
                <w:sz w:val="24"/>
                <w:szCs w:val="24"/>
              </w:rPr>
            </w:pPr>
            <w:r>
              <w:rPr>
                <w:rFonts w:ascii="Arial" w:hAnsi="Arial" w:eastAsia="Arial" w:cs="Arial"/>
                <w:sz w:val="24"/>
                <w:szCs w:val="24"/>
              </w:rPr>
              <w:t>-87.6605</w:t>
            </w:r>
          </w:p>
        </w:tc>
        <w:tc>
          <w:tcPr>
            <w:tcW w:w="1218" w:type="dxa"/>
          </w:tcPr>
          <w:p w14:paraId="00000109">
            <w:pPr>
              <w:jc w:val="center"/>
              <w:rPr>
                <w:rFonts w:ascii="Arial" w:hAnsi="Arial" w:eastAsia="Arial" w:cs="Arial"/>
                <w:sz w:val="24"/>
                <w:szCs w:val="24"/>
              </w:rPr>
            </w:pPr>
            <w:r>
              <w:rPr>
                <w:rFonts w:ascii="Arial" w:hAnsi="Arial" w:eastAsia="Arial" w:cs="Arial"/>
                <w:sz w:val="24"/>
                <w:szCs w:val="24"/>
              </w:rPr>
              <w:t>-10.5582</w:t>
            </w:r>
          </w:p>
        </w:tc>
        <w:tc>
          <w:tcPr>
            <w:tcW w:w="2106" w:type="dxa"/>
          </w:tcPr>
          <w:p w14:paraId="0000010A">
            <w:pPr>
              <w:jc w:val="left"/>
              <w:rPr>
                <w:rFonts w:ascii="Arial" w:hAnsi="Arial" w:eastAsia="Arial" w:cs="Arial"/>
                <w:sz w:val="24"/>
                <w:szCs w:val="24"/>
              </w:rPr>
            </w:pPr>
            <w:r>
              <w:rPr>
                <w:rFonts w:ascii="Arial" w:hAnsi="Arial" w:eastAsia="Arial" w:cs="Arial"/>
                <w:sz w:val="24"/>
                <w:szCs w:val="24"/>
              </w:rPr>
              <w:t>Lower bank of the Calcarine Sulcus</w:t>
            </w:r>
          </w:p>
        </w:tc>
      </w:tr>
      <w:tr w14:paraId="3DFD6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590" w:type="dxa"/>
            <w:vMerge w:val="continue"/>
          </w:tcPr>
          <w:p w14:paraId="0000010B">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10C">
            <w:pPr>
              <w:jc w:val="center"/>
              <w:rPr>
                <w:rFonts w:ascii="Arial" w:hAnsi="Arial" w:eastAsia="Arial" w:cs="Arial"/>
                <w:sz w:val="24"/>
                <w:szCs w:val="24"/>
              </w:rPr>
            </w:pPr>
            <w:r>
              <w:rPr>
                <w:rFonts w:ascii="Arial" w:hAnsi="Arial" w:eastAsia="Arial" w:cs="Arial"/>
                <w:sz w:val="24"/>
                <w:szCs w:val="24"/>
              </w:rPr>
              <w:t>Dorsal</w:t>
            </w:r>
          </w:p>
        </w:tc>
        <w:tc>
          <w:tcPr>
            <w:tcW w:w="1218" w:type="dxa"/>
          </w:tcPr>
          <w:p w14:paraId="0000010D">
            <w:pPr>
              <w:jc w:val="center"/>
              <w:rPr>
                <w:rFonts w:ascii="Arial" w:hAnsi="Arial" w:eastAsia="Arial" w:cs="Arial"/>
                <w:sz w:val="24"/>
                <w:szCs w:val="24"/>
              </w:rPr>
            </w:pPr>
            <w:r>
              <w:rPr>
                <w:rFonts w:ascii="Arial" w:hAnsi="Arial" w:eastAsia="Arial" w:cs="Arial"/>
                <w:sz w:val="24"/>
                <w:szCs w:val="24"/>
              </w:rPr>
              <w:t>11.16673</w:t>
            </w:r>
          </w:p>
        </w:tc>
        <w:tc>
          <w:tcPr>
            <w:tcW w:w="1134" w:type="dxa"/>
          </w:tcPr>
          <w:p w14:paraId="0000010E">
            <w:pPr>
              <w:jc w:val="center"/>
              <w:rPr>
                <w:rFonts w:ascii="Arial" w:hAnsi="Arial" w:eastAsia="Arial" w:cs="Arial"/>
                <w:sz w:val="24"/>
                <w:szCs w:val="24"/>
              </w:rPr>
            </w:pPr>
            <w:r>
              <w:rPr>
                <w:rFonts w:ascii="Arial" w:hAnsi="Arial" w:eastAsia="Arial" w:cs="Arial"/>
                <w:sz w:val="24"/>
                <w:szCs w:val="24"/>
              </w:rPr>
              <w:t>-55.0289</w:t>
            </w:r>
          </w:p>
        </w:tc>
        <w:tc>
          <w:tcPr>
            <w:tcW w:w="1218" w:type="dxa"/>
          </w:tcPr>
          <w:p w14:paraId="0000010F">
            <w:pPr>
              <w:jc w:val="center"/>
              <w:rPr>
                <w:rFonts w:ascii="Arial" w:hAnsi="Arial" w:eastAsia="Arial" w:cs="Arial"/>
                <w:sz w:val="24"/>
                <w:szCs w:val="24"/>
              </w:rPr>
            </w:pPr>
            <w:r>
              <w:rPr>
                <w:rFonts w:ascii="Arial" w:hAnsi="Arial" w:eastAsia="Arial" w:cs="Arial"/>
                <w:sz w:val="24"/>
                <w:szCs w:val="24"/>
              </w:rPr>
              <w:t>62.86484</w:t>
            </w:r>
          </w:p>
        </w:tc>
        <w:tc>
          <w:tcPr>
            <w:tcW w:w="2106" w:type="dxa"/>
          </w:tcPr>
          <w:p w14:paraId="00000110">
            <w:pPr>
              <w:jc w:val="left"/>
              <w:rPr>
                <w:rFonts w:ascii="Arial" w:hAnsi="Arial" w:eastAsia="Arial" w:cs="Arial"/>
                <w:sz w:val="24"/>
                <w:szCs w:val="24"/>
              </w:rPr>
            </w:pPr>
            <w:r>
              <w:rPr>
                <w:rFonts w:ascii="Arial" w:hAnsi="Arial" w:eastAsia="Arial" w:cs="Arial"/>
                <w:sz w:val="24"/>
                <w:szCs w:val="24"/>
              </w:rPr>
              <w:t>Intersection between Superior Parietal Gyrus and Precuneus.</w:t>
            </w:r>
          </w:p>
        </w:tc>
      </w:tr>
      <w:tr w14:paraId="3D0E7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trPr>
        <w:tc>
          <w:tcPr>
            <w:tcW w:w="1590" w:type="dxa"/>
            <w:vMerge w:val="continue"/>
          </w:tcPr>
          <w:p w14:paraId="00000111">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112">
            <w:pPr>
              <w:jc w:val="center"/>
              <w:rPr>
                <w:rFonts w:ascii="Arial" w:hAnsi="Arial" w:eastAsia="Arial" w:cs="Arial"/>
                <w:sz w:val="24"/>
                <w:szCs w:val="24"/>
              </w:rPr>
            </w:pPr>
            <w:r>
              <w:rPr>
                <w:rFonts w:ascii="Arial" w:hAnsi="Arial" w:eastAsia="Arial" w:cs="Arial"/>
                <w:sz w:val="24"/>
                <w:szCs w:val="24"/>
              </w:rPr>
              <w:t>Dorsal</w:t>
            </w:r>
          </w:p>
        </w:tc>
        <w:tc>
          <w:tcPr>
            <w:tcW w:w="1218" w:type="dxa"/>
          </w:tcPr>
          <w:p w14:paraId="00000113">
            <w:pPr>
              <w:jc w:val="center"/>
              <w:rPr>
                <w:rFonts w:ascii="Arial" w:hAnsi="Arial" w:eastAsia="Arial" w:cs="Arial"/>
                <w:sz w:val="24"/>
                <w:szCs w:val="24"/>
              </w:rPr>
            </w:pPr>
            <w:r>
              <w:rPr>
                <w:rFonts w:ascii="Arial" w:hAnsi="Arial" w:eastAsia="Arial" w:cs="Arial"/>
                <w:sz w:val="24"/>
                <w:szCs w:val="24"/>
              </w:rPr>
              <w:t>17.84735</w:t>
            </w:r>
          </w:p>
        </w:tc>
        <w:tc>
          <w:tcPr>
            <w:tcW w:w="1134" w:type="dxa"/>
          </w:tcPr>
          <w:p w14:paraId="00000114">
            <w:pPr>
              <w:jc w:val="center"/>
              <w:rPr>
                <w:rFonts w:ascii="Arial" w:hAnsi="Arial" w:eastAsia="Arial" w:cs="Arial"/>
                <w:sz w:val="24"/>
                <w:szCs w:val="24"/>
              </w:rPr>
            </w:pPr>
            <w:r>
              <w:rPr>
                <w:rFonts w:ascii="Arial" w:hAnsi="Arial" w:eastAsia="Arial" w:cs="Arial"/>
                <w:sz w:val="24"/>
                <w:szCs w:val="24"/>
              </w:rPr>
              <w:t>-73.4929</w:t>
            </w:r>
          </w:p>
        </w:tc>
        <w:tc>
          <w:tcPr>
            <w:tcW w:w="1218" w:type="dxa"/>
          </w:tcPr>
          <w:p w14:paraId="00000115">
            <w:pPr>
              <w:jc w:val="center"/>
              <w:rPr>
                <w:rFonts w:ascii="Arial" w:hAnsi="Arial" w:eastAsia="Arial" w:cs="Arial"/>
                <w:sz w:val="24"/>
                <w:szCs w:val="24"/>
              </w:rPr>
            </w:pPr>
            <w:r>
              <w:rPr>
                <w:rFonts w:ascii="Arial" w:hAnsi="Arial" w:eastAsia="Arial" w:cs="Arial"/>
                <w:sz w:val="24"/>
                <w:szCs w:val="24"/>
              </w:rPr>
              <w:t>44.53817</w:t>
            </w:r>
          </w:p>
        </w:tc>
        <w:tc>
          <w:tcPr>
            <w:tcW w:w="2106" w:type="dxa"/>
          </w:tcPr>
          <w:p w14:paraId="00000116">
            <w:pPr>
              <w:jc w:val="left"/>
              <w:rPr>
                <w:rFonts w:ascii="Arial" w:hAnsi="Arial" w:eastAsia="Arial" w:cs="Arial"/>
                <w:sz w:val="24"/>
                <w:szCs w:val="24"/>
              </w:rPr>
            </w:pPr>
            <w:r>
              <w:rPr>
                <w:rFonts w:ascii="Arial" w:hAnsi="Arial" w:eastAsia="Arial" w:cs="Arial"/>
                <w:sz w:val="24"/>
                <w:szCs w:val="24"/>
              </w:rPr>
              <w:t>Confluence of Superior Occipital Gyrus, Parieto-Occipital Sulcus and Superior Parietal Gyrus</w:t>
            </w:r>
          </w:p>
        </w:tc>
      </w:tr>
      <w:tr w14:paraId="6F9E2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trPr>
        <w:tc>
          <w:tcPr>
            <w:tcW w:w="1590" w:type="dxa"/>
            <w:vMerge w:val="continue"/>
          </w:tcPr>
          <w:p w14:paraId="00000117">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118">
            <w:pPr>
              <w:jc w:val="center"/>
              <w:rPr>
                <w:rFonts w:ascii="Arial" w:hAnsi="Arial" w:eastAsia="Arial" w:cs="Arial"/>
                <w:sz w:val="24"/>
                <w:szCs w:val="24"/>
              </w:rPr>
            </w:pPr>
            <w:r>
              <w:rPr>
                <w:rFonts w:ascii="Arial" w:hAnsi="Arial" w:eastAsia="Arial" w:cs="Arial"/>
                <w:sz w:val="24"/>
                <w:szCs w:val="24"/>
              </w:rPr>
              <w:t>Lateral</w:t>
            </w:r>
          </w:p>
        </w:tc>
        <w:tc>
          <w:tcPr>
            <w:tcW w:w="1218" w:type="dxa"/>
          </w:tcPr>
          <w:p w14:paraId="00000119">
            <w:pPr>
              <w:jc w:val="center"/>
              <w:rPr>
                <w:rFonts w:ascii="Arial" w:hAnsi="Arial" w:eastAsia="Arial" w:cs="Arial"/>
                <w:sz w:val="24"/>
                <w:szCs w:val="24"/>
              </w:rPr>
            </w:pPr>
            <w:r>
              <w:rPr>
                <w:rFonts w:ascii="Arial" w:hAnsi="Arial" w:eastAsia="Arial" w:cs="Arial"/>
                <w:sz w:val="24"/>
                <w:szCs w:val="24"/>
              </w:rPr>
              <w:t>45.97639</w:t>
            </w:r>
          </w:p>
        </w:tc>
        <w:tc>
          <w:tcPr>
            <w:tcW w:w="1134" w:type="dxa"/>
          </w:tcPr>
          <w:p w14:paraId="0000011A">
            <w:pPr>
              <w:jc w:val="center"/>
              <w:rPr>
                <w:rFonts w:ascii="Arial" w:hAnsi="Arial" w:eastAsia="Arial" w:cs="Arial"/>
                <w:sz w:val="24"/>
                <w:szCs w:val="24"/>
              </w:rPr>
            </w:pPr>
            <w:r>
              <w:rPr>
                <w:rFonts w:ascii="Arial" w:hAnsi="Arial" w:eastAsia="Arial" w:cs="Arial"/>
                <w:sz w:val="24"/>
                <w:szCs w:val="24"/>
              </w:rPr>
              <w:t>-66.362</w:t>
            </w:r>
          </w:p>
        </w:tc>
        <w:tc>
          <w:tcPr>
            <w:tcW w:w="1218" w:type="dxa"/>
          </w:tcPr>
          <w:p w14:paraId="0000011B">
            <w:pPr>
              <w:jc w:val="center"/>
              <w:rPr>
                <w:rFonts w:ascii="Arial" w:hAnsi="Arial" w:eastAsia="Arial" w:cs="Arial"/>
                <w:sz w:val="24"/>
                <w:szCs w:val="24"/>
              </w:rPr>
            </w:pPr>
            <w:r>
              <w:rPr>
                <w:rFonts w:ascii="Arial" w:hAnsi="Arial" w:eastAsia="Arial" w:cs="Arial"/>
                <w:sz w:val="24"/>
                <w:szCs w:val="24"/>
              </w:rPr>
              <w:t>-5.06974</w:t>
            </w:r>
          </w:p>
        </w:tc>
        <w:tc>
          <w:tcPr>
            <w:tcW w:w="2106" w:type="dxa"/>
          </w:tcPr>
          <w:p w14:paraId="0000011C">
            <w:pPr>
              <w:jc w:val="left"/>
              <w:rPr>
                <w:rFonts w:ascii="Arial" w:hAnsi="Arial" w:eastAsia="Arial" w:cs="Arial"/>
                <w:sz w:val="24"/>
                <w:szCs w:val="24"/>
              </w:rPr>
            </w:pPr>
            <w:r>
              <w:rPr>
                <w:rFonts w:ascii="Arial" w:hAnsi="Arial" w:eastAsia="Arial" w:cs="Arial"/>
                <w:sz w:val="24"/>
                <w:szCs w:val="24"/>
              </w:rPr>
              <w:t>Intersection between Anterior Occipital Sulcus and Inferior Occipital Gyrus</w:t>
            </w:r>
          </w:p>
        </w:tc>
      </w:tr>
      <w:tr w14:paraId="219B6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trPr>
        <w:tc>
          <w:tcPr>
            <w:tcW w:w="1590" w:type="dxa"/>
            <w:vMerge w:val="continue"/>
          </w:tcPr>
          <w:p w14:paraId="0000011D">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11E">
            <w:pPr>
              <w:jc w:val="center"/>
              <w:rPr>
                <w:rFonts w:ascii="Arial" w:hAnsi="Arial" w:eastAsia="Arial" w:cs="Arial"/>
                <w:sz w:val="24"/>
                <w:szCs w:val="24"/>
              </w:rPr>
            </w:pPr>
            <w:r>
              <w:rPr>
                <w:rFonts w:ascii="Arial" w:hAnsi="Arial" w:eastAsia="Arial" w:cs="Arial"/>
                <w:sz w:val="24"/>
                <w:szCs w:val="24"/>
              </w:rPr>
              <w:t>Lateral</w:t>
            </w:r>
          </w:p>
        </w:tc>
        <w:tc>
          <w:tcPr>
            <w:tcW w:w="1218" w:type="dxa"/>
          </w:tcPr>
          <w:p w14:paraId="0000011F">
            <w:pPr>
              <w:jc w:val="center"/>
              <w:rPr>
                <w:rFonts w:ascii="Arial" w:hAnsi="Arial" w:eastAsia="Arial" w:cs="Arial"/>
                <w:sz w:val="24"/>
                <w:szCs w:val="24"/>
              </w:rPr>
            </w:pPr>
            <w:r>
              <w:rPr>
                <w:rFonts w:ascii="Arial" w:hAnsi="Arial" w:eastAsia="Arial" w:cs="Arial"/>
                <w:sz w:val="24"/>
                <w:szCs w:val="24"/>
              </w:rPr>
              <w:t>44.79291</w:t>
            </w:r>
          </w:p>
        </w:tc>
        <w:tc>
          <w:tcPr>
            <w:tcW w:w="1134" w:type="dxa"/>
          </w:tcPr>
          <w:p w14:paraId="00000120">
            <w:pPr>
              <w:jc w:val="center"/>
              <w:rPr>
                <w:rFonts w:ascii="Arial" w:hAnsi="Arial" w:eastAsia="Arial" w:cs="Arial"/>
                <w:sz w:val="24"/>
                <w:szCs w:val="24"/>
              </w:rPr>
            </w:pPr>
            <w:r>
              <w:rPr>
                <w:rFonts w:ascii="Arial" w:hAnsi="Arial" w:eastAsia="Arial" w:cs="Arial"/>
                <w:sz w:val="24"/>
                <w:szCs w:val="24"/>
              </w:rPr>
              <w:t>-72.1836</w:t>
            </w:r>
          </w:p>
        </w:tc>
        <w:tc>
          <w:tcPr>
            <w:tcW w:w="1218" w:type="dxa"/>
          </w:tcPr>
          <w:p w14:paraId="00000121">
            <w:pPr>
              <w:jc w:val="center"/>
              <w:rPr>
                <w:rFonts w:ascii="Arial" w:hAnsi="Arial" w:eastAsia="Arial" w:cs="Arial"/>
                <w:sz w:val="24"/>
                <w:szCs w:val="24"/>
              </w:rPr>
            </w:pPr>
            <w:r>
              <w:rPr>
                <w:rFonts w:ascii="Arial" w:hAnsi="Arial" w:eastAsia="Arial" w:cs="Arial"/>
                <w:sz w:val="24"/>
                <w:szCs w:val="24"/>
              </w:rPr>
              <w:t>15.25219</w:t>
            </w:r>
          </w:p>
        </w:tc>
        <w:tc>
          <w:tcPr>
            <w:tcW w:w="2106" w:type="dxa"/>
          </w:tcPr>
          <w:p w14:paraId="00000122">
            <w:pPr>
              <w:jc w:val="left"/>
              <w:rPr>
                <w:rFonts w:ascii="Arial" w:hAnsi="Arial" w:eastAsia="Arial" w:cs="Arial"/>
                <w:sz w:val="24"/>
                <w:szCs w:val="24"/>
              </w:rPr>
            </w:pPr>
            <w:r>
              <w:rPr>
                <w:rFonts w:ascii="Arial" w:hAnsi="Arial" w:eastAsia="Arial" w:cs="Arial"/>
                <w:sz w:val="24"/>
                <w:szCs w:val="24"/>
              </w:rPr>
              <w:t>Intersection between Middle Occipital Sulcus and Middle Occipital Gyrus</w:t>
            </w:r>
          </w:p>
        </w:tc>
      </w:tr>
      <w:tr w14:paraId="61C82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590" w:type="dxa"/>
            <w:vMerge w:val="continue"/>
          </w:tcPr>
          <w:p w14:paraId="00000123">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124">
            <w:pPr>
              <w:jc w:val="center"/>
              <w:rPr>
                <w:rFonts w:ascii="Arial" w:hAnsi="Arial" w:eastAsia="Arial" w:cs="Arial"/>
                <w:sz w:val="24"/>
                <w:szCs w:val="24"/>
              </w:rPr>
            </w:pPr>
            <w:r>
              <w:rPr>
                <w:rFonts w:ascii="Arial" w:hAnsi="Arial" w:eastAsia="Arial" w:cs="Arial"/>
                <w:sz w:val="24"/>
                <w:szCs w:val="24"/>
              </w:rPr>
              <w:t>Ventral</w:t>
            </w:r>
          </w:p>
        </w:tc>
        <w:tc>
          <w:tcPr>
            <w:tcW w:w="1218" w:type="dxa"/>
          </w:tcPr>
          <w:p w14:paraId="00000125">
            <w:pPr>
              <w:jc w:val="center"/>
              <w:rPr>
                <w:rFonts w:ascii="Arial" w:hAnsi="Arial" w:eastAsia="Arial" w:cs="Arial"/>
                <w:sz w:val="24"/>
                <w:szCs w:val="24"/>
              </w:rPr>
            </w:pPr>
            <w:r>
              <w:rPr>
                <w:rFonts w:ascii="Arial" w:hAnsi="Arial" w:eastAsia="Arial" w:cs="Arial"/>
                <w:sz w:val="24"/>
                <w:szCs w:val="24"/>
              </w:rPr>
              <w:t>31.54866</w:t>
            </w:r>
          </w:p>
        </w:tc>
        <w:tc>
          <w:tcPr>
            <w:tcW w:w="1134" w:type="dxa"/>
          </w:tcPr>
          <w:p w14:paraId="00000126">
            <w:pPr>
              <w:jc w:val="center"/>
              <w:rPr>
                <w:rFonts w:ascii="Arial" w:hAnsi="Arial" w:eastAsia="Arial" w:cs="Arial"/>
                <w:sz w:val="24"/>
                <w:szCs w:val="24"/>
              </w:rPr>
            </w:pPr>
            <w:r>
              <w:rPr>
                <w:rFonts w:ascii="Arial" w:hAnsi="Arial" w:eastAsia="Arial" w:cs="Arial"/>
                <w:sz w:val="24"/>
                <w:szCs w:val="24"/>
              </w:rPr>
              <w:t>-29.0792</w:t>
            </w:r>
          </w:p>
        </w:tc>
        <w:tc>
          <w:tcPr>
            <w:tcW w:w="1218" w:type="dxa"/>
          </w:tcPr>
          <w:p w14:paraId="00000127">
            <w:pPr>
              <w:jc w:val="center"/>
              <w:rPr>
                <w:rFonts w:ascii="Arial" w:hAnsi="Arial" w:eastAsia="Arial" w:cs="Arial"/>
                <w:sz w:val="24"/>
                <w:szCs w:val="24"/>
              </w:rPr>
            </w:pPr>
            <w:r>
              <w:rPr>
                <w:rFonts w:ascii="Arial" w:hAnsi="Arial" w:eastAsia="Arial" w:cs="Arial"/>
                <w:sz w:val="24"/>
                <w:szCs w:val="24"/>
              </w:rPr>
              <w:t>-18.4202</w:t>
            </w:r>
          </w:p>
        </w:tc>
        <w:tc>
          <w:tcPr>
            <w:tcW w:w="2106" w:type="dxa"/>
          </w:tcPr>
          <w:p w14:paraId="00000128">
            <w:pPr>
              <w:jc w:val="left"/>
              <w:rPr>
                <w:rFonts w:ascii="Arial" w:hAnsi="Arial" w:eastAsia="Arial" w:cs="Arial"/>
                <w:sz w:val="24"/>
                <w:szCs w:val="24"/>
              </w:rPr>
            </w:pPr>
            <w:r>
              <w:rPr>
                <w:rFonts w:ascii="Arial" w:hAnsi="Arial" w:eastAsia="Arial" w:cs="Arial"/>
                <w:sz w:val="24"/>
                <w:szCs w:val="24"/>
              </w:rPr>
              <w:t>Within Collateral Sulcus</w:t>
            </w:r>
          </w:p>
        </w:tc>
      </w:tr>
      <w:tr w14:paraId="5584A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590" w:type="dxa"/>
            <w:vMerge w:val="continue"/>
          </w:tcPr>
          <w:p w14:paraId="00000129">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c>
          <w:tcPr>
            <w:tcW w:w="1030" w:type="dxa"/>
          </w:tcPr>
          <w:p w14:paraId="0000012A">
            <w:pPr>
              <w:jc w:val="center"/>
              <w:rPr>
                <w:rFonts w:ascii="Arial" w:hAnsi="Arial" w:eastAsia="Arial" w:cs="Arial"/>
                <w:sz w:val="24"/>
                <w:szCs w:val="24"/>
              </w:rPr>
            </w:pPr>
            <w:r>
              <w:rPr>
                <w:rFonts w:ascii="Arial" w:hAnsi="Arial" w:eastAsia="Arial" w:cs="Arial"/>
                <w:sz w:val="24"/>
                <w:szCs w:val="24"/>
              </w:rPr>
              <w:t>Ventral</w:t>
            </w:r>
          </w:p>
        </w:tc>
        <w:tc>
          <w:tcPr>
            <w:tcW w:w="1218" w:type="dxa"/>
          </w:tcPr>
          <w:p w14:paraId="0000012B">
            <w:pPr>
              <w:jc w:val="center"/>
              <w:rPr>
                <w:rFonts w:ascii="Arial" w:hAnsi="Arial" w:eastAsia="Arial" w:cs="Arial"/>
                <w:sz w:val="24"/>
                <w:szCs w:val="24"/>
              </w:rPr>
            </w:pPr>
            <w:r>
              <w:rPr>
                <w:rFonts w:ascii="Arial" w:hAnsi="Arial" w:eastAsia="Arial" w:cs="Arial"/>
                <w:sz w:val="24"/>
                <w:szCs w:val="24"/>
              </w:rPr>
              <w:t>38.7923</w:t>
            </w:r>
          </w:p>
        </w:tc>
        <w:tc>
          <w:tcPr>
            <w:tcW w:w="1134" w:type="dxa"/>
          </w:tcPr>
          <w:p w14:paraId="0000012C">
            <w:pPr>
              <w:jc w:val="center"/>
              <w:rPr>
                <w:rFonts w:ascii="Arial" w:hAnsi="Arial" w:eastAsia="Arial" w:cs="Arial"/>
                <w:sz w:val="24"/>
                <w:szCs w:val="24"/>
              </w:rPr>
            </w:pPr>
            <w:r>
              <w:rPr>
                <w:rFonts w:ascii="Arial" w:hAnsi="Arial" w:eastAsia="Arial" w:cs="Arial"/>
                <w:sz w:val="24"/>
                <w:szCs w:val="24"/>
              </w:rPr>
              <w:t>-9.02916</w:t>
            </w:r>
          </w:p>
        </w:tc>
        <w:tc>
          <w:tcPr>
            <w:tcW w:w="1218" w:type="dxa"/>
          </w:tcPr>
          <w:p w14:paraId="0000012D">
            <w:pPr>
              <w:jc w:val="center"/>
              <w:rPr>
                <w:rFonts w:ascii="Arial" w:hAnsi="Arial" w:eastAsia="Arial" w:cs="Arial"/>
                <w:sz w:val="24"/>
                <w:szCs w:val="24"/>
              </w:rPr>
            </w:pPr>
            <w:r>
              <w:rPr>
                <w:rFonts w:ascii="Arial" w:hAnsi="Arial" w:eastAsia="Arial" w:cs="Arial"/>
                <w:sz w:val="24"/>
                <w:szCs w:val="24"/>
              </w:rPr>
              <w:t>-32.9193</w:t>
            </w:r>
          </w:p>
        </w:tc>
        <w:tc>
          <w:tcPr>
            <w:tcW w:w="2106" w:type="dxa"/>
          </w:tcPr>
          <w:p w14:paraId="0000012E">
            <w:pPr>
              <w:jc w:val="left"/>
              <w:rPr>
                <w:rFonts w:ascii="Arial" w:hAnsi="Arial" w:eastAsia="Arial" w:cs="Arial"/>
                <w:sz w:val="24"/>
                <w:szCs w:val="24"/>
              </w:rPr>
            </w:pPr>
            <w:r>
              <w:rPr>
                <w:rFonts w:ascii="Arial" w:hAnsi="Arial" w:eastAsia="Arial" w:cs="Arial"/>
                <w:sz w:val="24"/>
                <w:szCs w:val="24"/>
              </w:rPr>
              <w:t>Within anterior transverse Collateral Sulcus</w:t>
            </w:r>
          </w:p>
        </w:tc>
      </w:tr>
    </w:tbl>
    <w:p w14:paraId="0000012F">
      <w:pPr>
        <w:rPr>
          <w:rFonts w:ascii="Arial" w:hAnsi="Arial" w:eastAsia="Arial" w:cs="Arial"/>
        </w:rPr>
      </w:pPr>
      <w:r>
        <w:rPr>
          <w:rFonts w:hint="eastAsia" w:ascii="Arial" w:hAnsi="Arial" w:eastAsia="Arial" w:cs="Arial"/>
          <w:b/>
          <w:bCs/>
        </w:rPr>
        <w:t>Table B</w:t>
      </w:r>
      <w:r>
        <w:rPr>
          <w:rFonts w:ascii="Arial" w:hAnsi="Arial" w:eastAsia="Arial" w:cs="Arial"/>
          <w:b/>
          <w:bCs/>
        </w:rPr>
        <w:t>: Location information of anchors of the secondary gradient’s geometric model; related to Figure 1.</w:t>
      </w:r>
    </w:p>
    <w:p w14:paraId="00000130">
      <w:pPr>
        <w:widowControl/>
        <w:jc w:val="left"/>
        <w:rPr>
          <w:rFonts w:ascii="Arial" w:hAnsi="Arial" w:eastAsia="Arial" w:cs="Arial"/>
          <w:sz w:val="24"/>
          <w:szCs w:val="24"/>
        </w:rPr>
      </w:pPr>
      <w:r>
        <w:br w:type="page"/>
      </w:r>
    </w:p>
    <w:tbl>
      <w:tblPr>
        <w:tblStyle w:val="26"/>
        <w:tblW w:w="829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0"/>
        <w:gridCol w:w="1134"/>
        <w:gridCol w:w="1417"/>
        <w:gridCol w:w="3765"/>
      </w:tblGrid>
      <w:tr w14:paraId="5D96E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1980" w:type="dxa"/>
          </w:tcPr>
          <w:p w14:paraId="00000131">
            <w:pPr>
              <w:jc w:val="center"/>
              <w:rPr>
                <w:rFonts w:ascii="Arial" w:hAnsi="Arial" w:eastAsia="Arial" w:cs="Arial"/>
                <w:b/>
                <w:bCs/>
                <w:sz w:val="24"/>
                <w:szCs w:val="24"/>
              </w:rPr>
            </w:pPr>
            <w:r>
              <w:rPr>
                <w:rFonts w:ascii="Arial" w:hAnsi="Arial" w:eastAsia="Arial" w:cs="Arial"/>
                <w:b/>
                <w:bCs/>
                <w:sz w:val="24"/>
                <w:szCs w:val="24"/>
              </w:rPr>
              <w:t>Full Display</w:t>
            </w:r>
          </w:p>
          <w:p w14:paraId="00000132">
            <w:pPr>
              <w:jc w:val="center"/>
              <w:rPr>
                <w:rFonts w:ascii="Arial" w:hAnsi="Arial" w:eastAsia="Arial" w:cs="Arial"/>
                <w:b/>
                <w:bCs/>
                <w:sz w:val="24"/>
                <w:szCs w:val="24"/>
              </w:rPr>
            </w:pPr>
            <w:r>
              <w:rPr>
                <w:rFonts w:ascii="Arial" w:hAnsi="Arial" w:eastAsia="Arial" w:cs="Arial"/>
                <w:b/>
                <w:bCs/>
                <w:sz w:val="24"/>
                <w:szCs w:val="24"/>
              </w:rPr>
              <w:t>Name</w:t>
            </w:r>
          </w:p>
        </w:tc>
        <w:tc>
          <w:tcPr>
            <w:tcW w:w="1134" w:type="dxa"/>
          </w:tcPr>
          <w:p w14:paraId="00000133">
            <w:pPr>
              <w:jc w:val="center"/>
              <w:rPr>
                <w:rFonts w:ascii="Arial" w:hAnsi="Arial" w:eastAsia="Arial" w:cs="Arial"/>
                <w:b/>
                <w:bCs/>
                <w:sz w:val="24"/>
                <w:szCs w:val="24"/>
              </w:rPr>
            </w:pPr>
            <w:r>
              <w:rPr>
                <w:rFonts w:ascii="Arial" w:hAnsi="Arial" w:eastAsia="Arial" w:cs="Arial"/>
                <w:b/>
                <w:bCs/>
                <w:sz w:val="24"/>
                <w:szCs w:val="24"/>
              </w:rPr>
              <w:t>Variable</w:t>
            </w:r>
          </w:p>
        </w:tc>
        <w:tc>
          <w:tcPr>
            <w:tcW w:w="1417" w:type="dxa"/>
          </w:tcPr>
          <w:p w14:paraId="00000134">
            <w:pPr>
              <w:jc w:val="center"/>
              <w:rPr>
                <w:rFonts w:ascii="Arial" w:hAnsi="Arial" w:eastAsia="Arial" w:cs="Arial"/>
                <w:b/>
                <w:bCs/>
                <w:sz w:val="24"/>
                <w:szCs w:val="24"/>
              </w:rPr>
            </w:pPr>
            <w:r>
              <w:rPr>
                <w:rFonts w:ascii="Arial" w:hAnsi="Arial" w:eastAsia="Arial" w:cs="Arial"/>
                <w:b/>
                <w:bCs/>
                <w:sz w:val="24"/>
                <w:szCs w:val="24"/>
              </w:rPr>
              <w:t>Assessment</w:t>
            </w:r>
          </w:p>
        </w:tc>
        <w:tc>
          <w:tcPr>
            <w:tcW w:w="3765" w:type="dxa"/>
          </w:tcPr>
          <w:p w14:paraId="00000135">
            <w:pPr>
              <w:jc w:val="center"/>
              <w:rPr>
                <w:rFonts w:ascii="Arial" w:hAnsi="Arial" w:eastAsia="Arial" w:cs="Arial"/>
                <w:b/>
                <w:bCs/>
                <w:sz w:val="24"/>
                <w:szCs w:val="24"/>
              </w:rPr>
            </w:pPr>
            <w:r>
              <w:rPr>
                <w:rFonts w:ascii="Arial" w:hAnsi="Arial" w:eastAsia="Arial" w:cs="Arial"/>
                <w:b/>
                <w:bCs/>
                <w:sz w:val="24"/>
                <w:szCs w:val="24"/>
              </w:rPr>
              <w:t>Description</w:t>
            </w:r>
          </w:p>
        </w:tc>
      </w:tr>
      <w:tr w14:paraId="008DC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90" w:hRule="atLeast"/>
        </w:trPr>
        <w:tc>
          <w:tcPr>
            <w:tcW w:w="1980" w:type="dxa"/>
          </w:tcPr>
          <w:p w14:paraId="00000136">
            <w:pPr>
              <w:jc w:val="left"/>
              <w:rPr>
                <w:rFonts w:ascii="Arial" w:hAnsi="Arial" w:eastAsia="Arial" w:cs="Arial"/>
                <w:sz w:val="24"/>
                <w:szCs w:val="24"/>
              </w:rPr>
            </w:pPr>
            <w:r>
              <w:rPr>
                <w:rFonts w:ascii="Arial" w:hAnsi="Arial" w:eastAsia="Arial" w:cs="Arial"/>
                <w:sz w:val="24"/>
                <w:szCs w:val="24"/>
              </w:rPr>
              <w:t>NIH Toolbox Picture Sequence Memory Test: Unadjusted Scale Score</w:t>
            </w:r>
          </w:p>
        </w:tc>
        <w:tc>
          <w:tcPr>
            <w:tcW w:w="1134" w:type="dxa"/>
          </w:tcPr>
          <w:p w14:paraId="00000137">
            <w:pPr>
              <w:jc w:val="center"/>
              <w:rPr>
                <w:rFonts w:ascii="Arial" w:hAnsi="Arial" w:eastAsia="Arial" w:cs="Arial"/>
                <w:sz w:val="24"/>
                <w:szCs w:val="24"/>
              </w:rPr>
            </w:pPr>
            <w:r>
              <w:rPr>
                <w:rFonts w:ascii="Arial" w:hAnsi="Arial" w:eastAsia="Arial" w:cs="Arial"/>
                <w:sz w:val="24"/>
                <w:szCs w:val="24"/>
              </w:rPr>
              <w:t>PicSeq_Unadj</w:t>
            </w:r>
          </w:p>
        </w:tc>
        <w:tc>
          <w:tcPr>
            <w:tcW w:w="1417" w:type="dxa"/>
          </w:tcPr>
          <w:p w14:paraId="00000138">
            <w:pPr>
              <w:jc w:val="center"/>
              <w:rPr>
                <w:rFonts w:ascii="Arial" w:hAnsi="Arial" w:eastAsia="Arial" w:cs="Arial"/>
                <w:sz w:val="24"/>
                <w:szCs w:val="24"/>
              </w:rPr>
            </w:pPr>
            <w:r>
              <w:rPr>
                <w:rFonts w:ascii="Arial" w:hAnsi="Arial" w:eastAsia="Arial" w:cs="Arial"/>
                <w:sz w:val="24"/>
                <w:szCs w:val="24"/>
              </w:rPr>
              <w:t>Nonverbal Episodic Memory</w:t>
            </w:r>
          </w:p>
        </w:tc>
        <w:tc>
          <w:tcPr>
            <w:tcW w:w="3765" w:type="dxa"/>
          </w:tcPr>
          <w:p w14:paraId="00000139">
            <w:pPr>
              <w:jc w:val="left"/>
              <w:rPr>
                <w:rFonts w:ascii="Arial" w:hAnsi="Arial" w:eastAsia="Arial" w:cs="Arial"/>
                <w:sz w:val="24"/>
                <w:szCs w:val="24"/>
              </w:rPr>
            </w:pPr>
            <w:r>
              <w:rPr>
                <w:rFonts w:ascii="Arial" w:hAnsi="Arial" w:eastAsia="Arial" w:cs="Arial"/>
                <w:sz w:val="24"/>
                <w:szCs w:val="24"/>
              </w:rPr>
              <w:t>The picture sequence is presented on a computer screen in a particular order, while the content of the pictures is described through audio. After presentation, the sequence of pictures is scrambled and the participant is asked to move the pictures to restore the correct order (Dikmen et al., 2014).</w:t>
            </w:r>
          </w:p>
        </w:tc>
      </w:tr>
      <w:tr w14:paraId="5A8E9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0" w:hRule="atLeast"/>
        </w:trPr>
        <w:tc>
          <w:tcPr>
            <w:tcW w:w="1980" w:type="dxa"/>
          </w:tcPr>
          <w:p w14:paraId="0000013A">
            <w:pPr>
              <w:jc w:val="left"/>
              <w:rPr>
                <w:rFonts w:ascii="Arial" w:hAnsi="Arial" w:eastAsia="Arial" w:cs="Arial"/>
                <w:sz w:val="24"/>
                <w:szCs w:val="24"/>
              </w:rPr>
            </w:pPr>
            <w:r>
              <w:rPr>
                <w:rFonts w:ascii="Arial" w:hAnsi="Arial" w:eastAsia="Arial" w:cs="Arial"/>
                <w:sz w:val="24"/>
                <w:szCs w:val="24"/>
              </w:rPr>
              <w:t>NIH Toolbox Dimensional Change Card Sort Test: Unadjusted Scale Score</w:t>
            </w:r>
          </w:p>
        </w:tc>
        <w:tc>
          <w:tcPr>
            <w:tcW w:w="1134" w:type="dxa"/>
          </w:tcPr>
          <w:p w14:paraId="0000013B">
            <w:pPr>
              <w:jc w:val="center"/>
              <w:rPr>
                <w:rFonts w:ascii="Arial" w:hAnsi="Arial" w:eastAsia="Arial" w:cs="Arial"/>
                <w:sz w:val="24"/>
                <w:szCs w:val="24"/>
              </w:rPr>
            </w:pPr>
            <w:r>
              <w:rPr>
                <w:rFonts w:ascii="Arial" w:hAnsi="Arial" w:eastAsia="Arial" w:cs="Arial"/>
                <w:sz w:val="24"/>
                <w:szCs w:val="24"/>
              </w:rPr>
              <w:t>CardSort_Unadj</w:t>
            </w:r>
          </w:p>
        </w:tc>
        <w:tc>
          <w:tcPr>
            <w:tcW w:w="1417" w:type="dxa"/>
          </w:tcPr>
          <w:p w14:paraId="0000013C">
            <w:pPr>
              <w:jc w:val="center"/>
              <w:rPr>
                <w:rFonts w:ascii="Arial" w:hAnsi="Arial" w:eastAsia="Arial" w:cs="Arial"/>
                <w:sz w:val="24"/>
                <w:szCs w:val="24"/>
              </w:rPr>
            </w:pPr>
            <w:r>
              <w:rPr>
                <w:rFonts w:ascii="Arial" w:hAnsi="Arial" w:eastAsia="Arial" w:cs="Arial"/>
                <w:sz w:val="24"/>
                <w:szCs w:val="24"/>
              </w:rPr>
              <w:t>Cognitive Flexibility</w:t>
            </w:r>
          </w:p>
        </w:tc>
        <w:tc>
          <w:tcPr>
            <w:tcW w:w="3765" w:type="dxa"/>
          </w:tcPr>
          <w:p w14:paraId="0000013D">
            <w:pPr>
              <w:jc w:val="left"/>
              <w:rPr>
                <w:rFonts w:ascii="Arial" w:hAnsi="Arial" w:eastAsia="Arial" w:cs="Arial"/>
                <w:sz w:val="24"/>
                <w:szCs w:val="24"/>
              </w:rPr>
            </w:pPr>
            <w:r>
              <w:rPr>
                <w:rFonts w:ascii="Arial" w:hAnsi="Arial" w:eastAsia="Arial" w:cs="Arial"/>
                <w:sz w:val="24"/>
                <w:szCs w:val="24"/>
              </w:rPr>
              <w:t>The participant is required to select a test picture (e.g. white rabbit and brown sailboat) that match the target picture (e.g. brown rabbit) based on a specified dimension (e.g. color or shape).</w:t>
            </w:r>
          </w:p>
        </w:tc>
      </w:tr>
      <w:tr w14:paraId="2C0BA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75" w:hRule="atLeast"/>
        </w:trPr>
        <w:tc>
          <w:tcPr>
            <w:tcW w:w="1980" w:type="dxa"/>
          </w:tcPr>
          <w:p w14:paraId="0000013E">
            <w:pPr>
              <w:jc w:val="left"/>
              <w:rPr>
                <w:rFonts w:ascii="Arial" w:hAnsi="Arial" w:eastAsia="Arial" w:cs="Arial"/>
                <w:sz w:val="24"/>
                <w:szCs w:val="24"/>
              </w:rPr>
            </w:pPr>
            <w:r>
              <w:rPr>
                <w:rFonts w:ascii="Arial" w:hAnsi="Arial" w:eastAsia="Arial" w:cs="Arial"/>
                <w:sz w:val="24"/>
                <w:szCs w:val="24"/>
              </w:rPr>
              <w:t>NIH Toolbox Flanker Inhibitory Control and Attention Test: Unadjusted Scale Score</w:t>
            </w:r>
          </w:p>
        </w:tc>
        <w:tc>
          <w:tcPr>
            <w:tcW w:w="1134" w:type="dxa"/>
          </w:tcPr>
          <w:p w14:paraId="0000013F">
            <w:pPr>
              <w:jc w:val="center"/>
              <w:rPr>
                <w:rFonts w:ascii="Arial" w:hAnsi="Arial" w:eastAsia="Arial" w:cs="Arial"/>
                <w:sz w:val="24"/>
                <w:szCs w:val="24"/>
              </w:rPr>
            </w:pPr>
            <w:r>
              <w:rPr>
                <w:rFonts w:ascii="Arial" w:hAnsi="Arial" w:eastAsia="Arial" w:cs="Arial"/>
                <w:sz w:val="24"/>
                <w:szCs w:val="24"/>
              </w:rPr>
              <w:t>Flanker_Unadj</w:t>
            </w:r>
          </w:p>
        </w:tc>
        <w:tc>
          <w:tcPr>
            <w:tcW w:w="1417" w:type="dxa"/>
          </w:tcPr>
          <w:p w14:paraId="00000140">
            <w:pPr>
              <w:jc w:val="center"/>
              <w:rPr>
                <w:rFonts w:ascii="Arial" w:hAnsi="Arial" w:eastAsia="Arial" w:cs="Arial"/>
                <w:sz w:val="24"/>
                <w:szCs w:val="24"/>
              </w:rPr>
            </w:pPr>
            <w:r>
              <w:rPr>
                <w:rFonts w:ascii="Arial" w:hAnsi="Arial" w:eastAsia="Arial" w:cs="Arial"/>
                <w:sz w:val="24"/>
                <w:szCs w:val="24"/>
              </w:rPr>
              <w:t>Inhibitory Control and Attention</w:t>
            </w:r>
          </w:p>
        </w:tc>
        <w:tc>
          <w:tcPr>
            <w:tcW w:w="3765" w:type="dxa"/>
          </w:tcPr>
          <w:p w14:paraId="00000141">
            <w:pPr>
              <w:jc w:val="left"/>
              <w:rPr>
                <w:rFonts w:ascii="Arial" w:hAnsi="Arial" w:eastAsia="Arial" w:cs="Arial"/>
                <w:sz w:val="24"/>
                <w:szCs w:val="24"/>
              </w:rPr>
            </w:pPr>
            <w:r>
              <w:rPr>
                <w:rFonts w:ascii="Arial" w:hAnsi="Arial" w:eastAsia="Arial" w:cs="Arial"/>
                <w:sz w:val="24"/>
                <w:szCs w:val="24"/>
              </w:rPr>
              <w:t>The participant is required to focus on a given stimulus while inhibiting attention to stimuli flanking it. Sometimes the middle stimulus is pointing in the same direction as the flankers (congruent) and sometimes in the opposite direction (incongruent).</w:t>
            </w:r>
          </w:p>
        </w:tc>
      </w:tr>
      <w:tr w14:paraId="55C10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20" w:hRule="atLeast"/>
        </w:trPr>
        <w:tc>
          <w:tcPr>
            <w:tcW w:w="1980" w:type="dxa"/>
          </w:tcPr>
          <w:p w14:paraId="00000142">
            <w:pPr>
              <w:jc w:val="left"/>
              <w:rPr>
                <w:rFonts w:ascii="Arial" w:hAnsi="Arial" w:eastAsia="Arial" w:cs="Arial"/>
                <w:sz w:val="24"/>
                <w:szCs w:val="24"/>
              </w:rPr>
            </w:pPr>
            <w:r>
              <w:rPr>
                <w:rFonts w:ascii="Arial" w:hAnsi="Arial" w:eastAsia="Arial" w:cs="Arial"/>
                <w:sz w:val="24"/>
                <w:szCs w:val="24"/>
              </w:rPr>
              <w:t>Penn Progressive Matrices: Number of Correct Responses</w:t>
            </w:r>
          </w:p>
        </w:tc>
        <w:tc>
          <w:tcPr>
            <w:tcW w:w="1134" w:type="dxa"/>
          </w:tcPr>
          <w:p w14:paraId="00000143">
            <w:pPr>
              <w:jc w:val="center"/>
              <w:rPr>
                <w:rFonts w:ascii="Arial" w:hAnsi="Arial" w:eastAsia="Arial" w:cs="Arial"/>
                <w:sz w:val="24"/>
                <w:szCs w:val="24"/>
              </w:rPr>
            </w:pPr>
            <w:r>
              <w:rPr>
                <w:rFonts w:ascii="Arial" w:hAnsi="Arial" w:eastAsia="Arial" w:cs="Arial"/>
                <w:sz w:val="24"/>
                <w:szCs w:val="24"/>
              </w:rPr>
              <w:t>PMAT24_A_CR</w:t>
            </w:r>
          </w:p>
        </w:tc>
        <w:tc>
          <w:tcPr>
            <w:tcW w:w="1417" w:type="dxa"/>
          </w:tcPr>
          <w:p w14:paraId="00000144">
            <w:pPr>
              <w:jc w:val="center"/>
              <w:rPr>
                <w:rFonts w:ascii="Arial" w:hAnsi="Arial" w:eastAsia="Arial" w:cs="Arial"/>
                <w:sz w:val="24"/>
                <w:szCs w:val="24"/>
              </w:rPr>
            </w:pPr>
            <w:r>
              <w:rPr>
                <w:rFonts w:ascii="Arial" w:hAnsi="Arial" w:eastAsia="Arial" w:cs="Arial"/>
                <w:sz w:val="24"/>
                <w:szCs w:val="24"/>
              </w:rPr>
              <w:t>Fluid Intelligence</w:t>
            </w:r>
          </w:p>
        </w:tc>
        <w:tc>
          <w:tcPr>
            <w:tcW w:w="3765" w:type="dxa"/>
          </w:tcPr>
          <w:p w14:paraId="00000145">
            <w:pPr>
              <w:jc w:val="left"/>
              <w:rPr>
                <w:rFonts w:ascii="Arial" w:hAnsi="Arial" w:eastAsia="Arial" w:cs="Arial"/>
                <w:sz w:val="24"/>
                <w:szCs w:val="24"/>
              </w:rPr>
            </w:pPr>
            <w:r>
              <w:rPr>
                <w:rFonts w:ascii="Arial" w:hAnsi="Arial" w:eastAsia="Arial" w:cs="Arial"/>
                <w:sz w:val="24"/>
                <w:szCs w:val="24"/>
              </w:rPr>
              <w:t>Based on an abbreviated version of the Raven's Progressive Matrices Form A developed by Gur and colleagues (Bilker et al. 2012). The participant is presented with an array of pictures arranged in a 2x2, 3x3 or 1x5 grid, with one cell left empty. The participant is required to reason based on the pictures presented and select the most suitable option to fill in the empty cell from five choices.</w:t>
            </w:r>
          </w:p>
        </w:tc>
      </w:tr>
      <w:tr w14:paraId="68704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0" w:hRule="atLeast"/>
        </w:trPr>
        <w:tc>
          <w:tcPr>
            <w:tcW w:w="1980" w:type="dxa"/>
          </w:tcPr>
          <w:p w14:paraId="00000146">
            <w:pPr>
              <w:jc w:val="left"/>
              <w:rPr>
                <w:rFonts w:ascii="Arial" w:hAnsi="Arial" w:eastAsia="Arial" w:cs="Arial"/>
                <w:sz w:val="24"/>
                <w:szCs w:val="24"/>
              </w:rPr>
            </w:pPr>
            <w:r>
              <w:rPr>
                <w:rFonts w:ascii="Arial" w:hAnsi="Arial" w:eastAsia="Arial" w:cs="Arial"/>
                <w:sz w:val="24"/>
                <w:szCs w:val="24"/>
              </w:rPr>
              <w:t>NIH Toolbox Oral Reading Recognition Test: Unadjusted Scale Score</w:t>
            </w:r>
          </w:p>
        </w:tc>
        <w:tc>
          <w:tcPr>
            <w:tcW w:w="1134" w:type="dxa"/>
          </w:tcPr>
          <w:p w14:paraId="00000147">
            <w:pPr>
              <w:jc w:val="center"/>
              <w:rPr>
                <w:rFonts w:ascii="Arial" w:hAnsi="Arial" w:eastAsia="Arial" w:cs="Arial"/>
                <w:sz w:val="24"/>
                <w:szCs w:val="24"/>
              </w:rPr>
            </w:pPr>
            <w:r>
              <w:rPr>
                <w:rFonts w:ascii="Arial" w:hAnsi="Arial" w:eastAsia="Arial" w:cs="Arial"/>
                <w:sz w:val="24"/>
                <w:szCs w:val="24"/>
              </w:rPr>
              <w:t>ReadEng_Unadj</w:t>
            </w:r>
          </w:p>
        </w:tc>
        <w:tc>
          <w:tcPr>
            <w:tcW w:w="1417" w:type="dxa"/>
          </w:tcPr>
          <w:p w14:paraId="00000148">
            <w:pPr>
              <w:jc w:val="center"/>
              <w:rPr>
                <w:rFonts w:ascii="Arial" w:hAnsi="Arial" w:eastAsia="Arial" w:cs="Arial"/>
                <w:sz w:val="24"/>
                <w:szCs w:val="24"/>
              </w:rPr>
            </w:pPr>
            <w:r>
              <w:rPr>
                <w:rFonts w:ascii="Arial" w:hAnsi="Arial" w:eastAsia="Arial" w:cs="Arial"/>
                <w:sz w:val="24"/>
                <w:szCs w:val="24"/>
              </w:rPr>
              <w:t>Reading Decoding</w:t>
            </w:r>
          </w:p>
        </w:tc>
        <w:tc>
          <w:tcPr>
            <w:tcW w:w="3765" w:type="dxa"/>
          </w:tcPr>
          <w:p w14:paraId="00000149">
            <w:pPr>
              <w:jc w:val="left"/>
              <w:rPr>
                <w:rFonts w:ascii="Arial" w:hAnsi="Arial" w:eastAsia="Arial" w:cs="Arial"/>
                <w:sz w:val="24"/>
                <w:szCs w:val="24"/>
              </w:rPr>
            </w:pPr>
            <w:r>
              <w:rPr>
                <w:rFonts w:ascii="Arial" w:hAnsi="Arial" w:eastAsia="Arial" w:cs="Arial"/>
                <w:sz w:val="24"/>
                <w:szCs w:val="24"/>
              </w:rPr>
              <w:t>A single word or letter is presented on a computer screen, and the participant is asked to read it aloud. An examiner then judges whether the pronunciation is correct (Gershon et al., 2013).</w:t>
            </w:r>
          </w:p>
        </w:tc>
      </w:tr>
      <w:tr w14:paraId="37720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90" w:hRule="atLeast"/>
        </w:trPr>
        <w:tc>
          <w:tcPr>
            <w:tcW w:w="1980" w:type="dxa"/>
          </w:tcPr>
          <w:p w14:paraId="0000014A">
            <w:pPr>
              <w:jc w:val="left"/>
              <w:rPr>
                <w:rFonts w:ascii="Arial" w:hAnsi="Arial" w:eastAsia="Arial" w:cs="Arial"/>
                <w:sz w:val="24"/>
                <w:szCs w:val="24"/>
              </w:rPr>
            </w:pPr>
            <w:r>
              <w:rPr>
                <w:rFonts w:ascii="Arial" w:hAnsi="Arial" w:eastAsia="Arial" w:cs="Arial"/>
                <w:sz w:val="24"/>
                <w:szCs w:val="24"/>
              </w:rPr>
              <w:t>NIH Toolbox Picture Vocabulary Test: Unadjusted Scale Score</w:t>
            </w:r>
          </w:p>
        </w:tc>
        <w:tc>
          <w:tcPr>
            <w:tcW w:w="1134" w:type="dxa"/>
          </w:tcPr>
          <w:p w14:paraId="0000014B">
            <w:pPr>
              <w:jc w:val="center"/>
              <w:rPr>
                <w:rFonts w:ascii="Arial" w:hAnsi="Arial" w:eastAsia="Arial" w:cs="Arial"/>
                <w:sz w:val="24"/>
                <w:szCs w:val="24"/>
              </w:rPr>
            </w:pPr>
            <w:r>
              <w:rPr>
                <w:rFonts w:ascii="Arial" w:hAnsi="Arial" w:eastAsia="Arial" w:cs="Arial"/>
                <w:sz w:val="24"/>
                <w:szCs w:val="24"/>
              </w:rPr>
              <w:t>PicVocab_Unadj</w:t>
            </w:r>
          </w:p>
        </w:tc>
        <w:tc>
          <w:tcPr>
            <w:tcW w:w="1417" w:type="dxa"/>
          </w:tcPr>
          <w:p w14:paraId="0000014C">
            <w:pPr>
              <w:jc w:val="center"/>
              <w:rPr>
                <w:rFonts w:ascii="Arial" w:hAnsi="Arial" w:eastAsia="Arial" w:cs="Arial"/>
                <w:sz w:val="24"/>
                <w:szCs w:val="24"/>
              </w:rPr>
            </w:pPr>
            <w:r>
              <w:rPr>
                <w:rFonts w:ascii="Arial" w:hAnsi="Arial" w:eastAsia="Arial" w:cs="Arial"/>
                <w:sz w:val="24"/>
                <w:szCs w:val="24"/>
              </w:rPr>
              <w:t>Vocabulary Comprehension</w:t>
            </w:r>
          </w:p>
        </w:tc>
        <w:tc>
          <w:tcPr>
            <w:tcW w:w="3765" w:type="dxa"/>
          </w:tcPr>
          <w:p w14:paraId="0000014D">
            <w:pPr>
              <w:jc w:val="left"/>
              <w:rPr>
                <w:rFonts w:ascii="Arial" w:hAnsi="Arial" w:eastAsia="Arial" w:cs="Arial"/>
                <w:sz w:val="24"/>
                <w:szCs w:val="24"/>
              </w:rPr>
            </w:pPr>
            <w:r>
              <w:rPr>
                <w:rFonts w:ascii="Arial" w:hAnsi="Arial" w:eastAsia="Arial" w:cs="Arial"/>
                <w:sz w:val="24"/>
                <w:szCs w:val="24"/>
              </w:rPr>
              <w:t>The participant is asked to listen to a word, and then selects the picture that best corresponds to the meaning of the word from four pictures presented on the screen. The pictures depict objects, actions, and conceptual descriptions (e.g. ball, running, friendship) (Gershon et al., 2013).</w:t>
            </w:r>
          </w:p>
        </w:tc>
      </w:tr>
      <w:tr w14:paraId="2C192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0" w:hRule="atLeast"/>
        </w:trPr>
        <w:tc>
          <w:tcPr>
            <w:tcW w:w="1980" w:type="dxa"/>
          </w:tcPr>
          <w:p w14:paraId="0000014E">
            <w:pPr>
              <w:jc w:val="left"/>
              <w:rPr>
                <w:rFonts w:ascii="Arial" w:hAnsi="Arial" w:eastAsia="Arial" w:cs="Arial"/>
                <w:sz w:val="24"/>
                <w:szCs w:val="24"/>
              </w:rPr>
            </w:pPr>
            <w:r>
              <w:rPr>
                <w:rFonts w:ascii="Arial" w:hAnsi="Arial" w:eastAsia="Arial" w:cs="Arial"/>
                <w:sz w:val="24"/>
                <w:szCs w:val="24"/>
              </w:rPr>
              <w:t>NIH Toolbox Pattern Comparison Processing Speed Test: Unadjusted Scale Score</w:t>
            </w:r>
          </w:p>
        </w:tc>
        <w:tc>
          <w:tcPr>
            <w:tcW w:w="1134" w:type="dxa"/>
          </w:tcPr>
          <w:p w14:paraId="0000014F">
            <w:pPr>
              <w:jc w:val="center"/>
              <w:rPr>
                <w:rFonts w:ascii="Arial" w:hAnsi="Arial" w:eastAsia="Arial" w:cs="Arial"/>
                <w:sz w:val="24"/>
                <w:szCs w:val="24"/>
              </w:rPr>
            </w:pPr>
            <w:r>
              <w:rPr>
                <w:rFonts w:ascii="Arial" w:hAnsi="Arial" w:eastAsia="Arial" w:cs="Arial"/>
                <w:sz w:val="24"/>
                <w:szCs w:val="24"/>
              </w:rPr>
              <w:t>ProcSpeed_Unadj</w:t>
            </w:r>
          </w:p>
        </w:tc>
        <w:tc>
          <w:tcPr>
            <w:tcW w:w="1417" w:type="dxa"/>
          </w:tcPr>
          <w:p w14:paraId="00000150">
            <w:pPr>
              <w:jc w:val="center"/>
              <w:rPr>
                <w:rFonts w:ascii="Arial" w:hAnsi="Arial" w:eastAsia="Arial" w:cs="Arial"/>
                <w:sz w:val="24"/>
                <w:szCs w:val="24"/>
              </w:rPr>
            </w:pPr>
            <w:r>
              <w:rPr>
                <w:rFonts w:ascii="Arial" w:hAnsi="Arial" w:eastAsia="Arial" w:cs="Arial"/>
                <w:sz w:val="24"/>
                <w:szCs w:val="24"/>
              </w:rPr>
              <w:t>Processing Speed</w:t>
            </w:r>
          </w:p>
        </w:tc>
        <w:tc>
          <w:tcPr>
            <w:tcW w:w="3765" w:type="dxa"/>
          </w:tcPr>
          <w:p w14:paraId="00000151">
            <w:pPr>
              <w:jc w:val="left"/>
              <w:rPr>
                <w:rFonts w:ascii="Arial" w:hAnsi="Arial" w:eastAsia="Arial" w:cs="Arial"/>
                <w:sz w:val="24"/>
                <w:szCs w:val="24"/>
              </w:rPr>
            </w:pPr>
            <w:r>
              <w:rPr>
                <w:rFonts w:ascii="Arial" w:hAnsi="Arial" w:eastAsia="Arial" w:cs="Arial"/>
                <w:sz w:val="24"/>
                <w:szCs w:val="24"/>
              </w:rPr>
              <w:t>Two pictures are presented simultaneously and the participant is asked to judge whether they are the same or not. The task uses simple pictures to measure processing speed as purely as possible.</w:t>
            </w:r>
          </w:p>
        </w:tc>
      </w:tr>
      <w:tr w14:paraId="5BF13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0" w:hRule="atLeast"/>
        </w:trPr>
        <w:tc>
          <w:tcPr>
            <w:tcW w:w="1980" w:type="dxa"/>
          </w:tcPr>
          <w:p w14:paraId="00000152">
            <w:pPr>
              <w:jc w:val="left"/>
              <w:rPr>
                <w:rFonts w:ascii="Arial" w:hAnsi="Arial" w:eastAsia="Arial" w:cs="Arial"/>
                <w:sz w:val="24"/>
                <w:szCs w:val="24"/>
              </w:rPr>
            </w:pPr>
            <w:r>
              <w:rPr>
                <w:rFonts w:ascii="Arial" w:hAnsi="Arial" w:eastAsia="Arial" w:cs="Arial"/>
                <w:sz w:val="24"/>
                <w:szCs w:val="24"/>
              </w:rPr>
              <w:t>Variable Short Penn Line Orientation: Total Number Correct</w:t>
            </w:r>
          </w:p>
        </w:tc>
        <w:tc>
          <w:tcPr>
            <w:tcW w:w="1134" w:type="dxa"/>
          </w:tcPr>
          <w:p w14:paraId="00000153">
            <w:pPr>
              <w:jc w:val="center"/>
              <w:rPr>
                <w:rFonts w:ascii="Arial" w:hAnsi="Arial" w:eastAsia="Arial" w:cs="Arial"/>
                <w:sz w:val="24"/>
                <w:szCs w:val="24"/>
              </w:rPr>
            </w:pPr>
            <w:r>
              <w:rPr>
                <w:rFonts w:ascii="Arial" w:hAnsi="Arial" w:eastAsia="Arial" w:cs="Arial"/>
                <w:sz w:val="24"/>
                <w:szCs w:val="24"/>
              </w:rPr>
              <w:t>VSPLOT_TC</w:t>
            </w:r>
          </w:p>
        </w:tc>
        <w:tc>
          <w:tcPr>
            <w:tcW w:w="1417" w:type="dxa"/>
          </w:tcPr>
          <w:p w14:paraId="00000154">
            <w:pPr>
              <w:jc w:val="center"/>
              <w:rPr>
                <w:rFonts w:ascii="Arial" w:hAnsi="Arial" w:eastAsia="Arial" w:cs="Arial"/>
                <w:sz w:val="24"/>
                <w:szCs w:val="24"/>
              </w:rPr>
            </w:pPr>
            <w:r>
              <w:rPr>
                <w:rFonts w:ascii="Arial" w:hAnsi="Arial" w:eastAsia="Arial" w:cs="Arial"/>
                <w:sz w:val="24"/>
                <w:szCs w:val="24"/>
              </w:rPr>
              <w:t>Spatial Orientation Processing</w:t>
            </w:r>
          </w:p>
        </w:tc>
        <w:tc>
          <w:tcPr>
            <w:tcW w:w="3765" w:type="dxa"/>
          </w:tcPr>
          <w:p w14:paraId="00000155">
            <w:pPr>
              <w:jc w:val="left"/>
              <w:rPr>
                <w:rFonts w:ascii="Arial" w:hAnsi="Arial" w:eastAsia="Arial" w:cs="Arial"/>
                <w:sz w:val="24"/>
                <w:szCs w:val="24"/>
              </w:rPr>
            </w:pPr>
            <w:r>
              <w:rPr>
                <w:rFonts w:ascii="Arial" w:hAnsi="Arial" w:eastAsia="Arial" w:cs="Arial"/>
                <w:sz w:val="24"/>
                <w:szCs w:val="24"/>
              </w:rPr>
              <w:t>Two line segments (blue and red) are presented on the screen, and the participant is asked to rotate the blue segment using keyboard buttons to make it parallel with the red segment.</w:t>
            </w:r>
          </w:p>
        </w:tc>
      </w:tr>
      <w:tr w14:paraId="50D1C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1980" w:type="dxa"/>
          </w:tcPr>
          <w:p w14:paraId="00000156">
            <w:pPr>
              <w:jc w:val="left"/>
              <w:rPr>
                <w:rFonts w:ascii="Arial" w:hAnsi="Arial" w:eastAsia="Arial" w:cs="Arial"/>
                <w:sz w:val="24"/>
                <w:szCs w:val="24"/>
              </w:rPr>
            </w:pPr>
            <w:r>
              <w:rPr>
                <w:rFonts w:ascii="Arial" w:hAnsi="Arial" w:eastAsia="Arial" w:cs="Arial"/>
                <w:sz w:val="24"/>
                <w:szCs w:val="24"/>
              </w:rPr>
              <w:t>Short Penn Continuous Performance Test: Sensitivity = SCPT_TP/(SCPT_TP + SCPT_FN) (SCPT_SEN)</w:t>
            </w:r>
          </w:p>
        </w:tc>
        <w:tc>
          <w:tcPr>
            <w:tcW w:w="1134" w:type="dxa"/>
          </w:tcPr>
          <w:p w14:paraId="00000157">
            <w:pPr>
              <w:jc w:val="center"/>
              <w:rPr>
                <w:rFonts w:ascii="Arial" w:hAnsi="Arial" w:eastAsia="Arial" w:cs="Arial"/>
                <w:sz w:val="24"/>
                <w:szCs w:val="24"/>
              </w:rPr>
            </w:pPr>
            <w:r>
              <w:rPr>
                <w:rFonts w:ascii="Arial" w:hAnsi="Arial" w:eastAsia="Arial" w:cs="Arial"/>
                <w:sz w:val="24"/>
                <w:szCs w:val="24"/>
              </w:rPr>
              <w:t>SCPT_SEN</w:t>
            </w:r>
          </w:p>
        </w:tc>
        <w:tc>
          <w:tcPr>
            <w:tcW w:w="1417" w:type="dxa"/>
          </w:tcPr>
          <w:p w14:paraId="00000158">
            <w:pPr>
              <w:jc w:val="center"/>
              <w:rPr>
                <w:rFonts w:ascii="Arial" w:hAnsi="Arial" w:eastAsia="Arial" w:cs="Arial"/>
                <w:sz w:val="24"/>
                <w:szCs w:val="24"/>
              </w:rPr>
            </w:pPr>
            <w:r>
              <w:rPr>
                <w:rFonts w:ascii="Arial" w:hAnsi="Arial" w:eastAsia="Arial" w:cs="Arial"/>
                <w:sz w:val="24"/>
                <w:szCs w:val="24"/>
              </w:rPr>
              <w:t>Sustained Attention Sensitivity</w:t>
            </w:r>
          </w:p>
        </w:tc>
        <w:tc>
          <w:tcPr>
            <w:tcW w:w="3765" w:type="dxa"/>
            <w:vMerge w:val="restart"/>
          </w:tcPr>
          <w:p w14:paraId="00000159">
            <w:pPr>
              <w:jc w:val="left"/>
              <w:rPr>
                <w:rFonts w:ascii="Arial" w:hAnsi="Arial" w:eastAsia="Arial" w:cs="Arial"/>
                <w:sz w:val="24"/>
                <w:szCs w:val="24"/>
              </w:rPr>
            </w:pPr>
            <w:r>
              <w:rPr>
                <w:rFonts w:ascii="Arial" w:hAnsi="Arial" w:eastAsia="Arial" w:cs="Arial"/>
                <w:sz w:val="24"/>
                <w:szCs w:val="24"/>
              </w:rPr>
              <w:t>The participant is asked to look at the flashing vertical and horizontal red lines on the computer screen. In one condition, the participant must press the space bar when the lines form a number, and in another condition, the participant must press the space bar when the lines form a letter.</w:t>
            </w:r>
          </w:p>
        </w:tc>
      </w:tr>
      <w:tr w14:paraId="1A71E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1980" w:type="dxa"/>
          </w:tcPr>
          <w:p w14:paraId="0000015A">
            <w:pPr>
              <w:jc w:val="left"/>
              <w:rPr>
                <w:rFonts w:ascii="Arial" w:hAnsi="Arial" w:eastAsia="Arial" w:cs="Arial"/>
                <w:sz w:val="24"/>
                <w:szCs w:val="24"/>
              </w:rPr>
            </w:pPr>
            <w:r>
              <w:rPr>
                <w:rFonts w:ascii="Arial" w:hAnsi="Arial" w:eastAsia="Arial" w:cs="Arial"/>
                <w:sz w:val="24"/>
                <w:szCs w:val="24"/>
              </w:rPr>
              <w:t>Short Penn Continuous Performance Test: Specificity = SCPT_TN/(SCPT_TN + SCPT_FP) (SCPT_SPEC)</w:t>
            </w:r>
          </w:p>
        </w:tc>
        <w:tc>
          <w:tcPr>
            <w:tcW w:w="1134" w:type="dxa"/>
          </w:tcPr>
          <w:p w14:paraId="0000015B">
            <w:pPr>
              <w:jc w:val="center"/>
              <w:rPr>
                <w:rFonts w:ascii="Arial" w:hAnsi="Arial" w:eastAsia="Arial" w:cs="Arial"/>
                <w:sz w:val="24"/>
                <w:szCs w:val="24"/>
              </w:rPr>
            </w:pPr>
            <w:r>
              <w:rPr>
                <w:rFonts w:ascii="Arial" w:hAnsi="Arial" w:eastAsia="Arial" w:cs="Arial"/>
                <w:sz w:val="24"/>
                <w:szCs w:val="24"/>
              </w:rPr>
              <w:t>SCPT_SPEC</w:t>
            </w:r>
          </w:p>
        </w:tc>
        <w:tc>
          <w:tcPr>
            <w:tcW w:w="1417" w:type="dxa"/>
          </w:tcPr>
          <w:p w14:paraId="0000015C">
            <w:pPr>
              <w:jc w:val="center"/>
              <w:rPr>
                <w:rFonts w:ascii="Arial" w:hAnsi="Arial" w:eastAsia="Arial" w:cs="Arial"/>
                <w:sz w:val="24"/>
                <w:szCs w:val="24"/>
              </w:rPr>
            </w:pPr>
            <w:r>
              <w:rPr>
                <w:rFonts w:ascii="Arial" w:hAnsi="Arial" w:eastAsia="Arial" w:cs="Arial"/>
                <w:sz w:val="24"/>
                <w:szCs w:val="24"/>
              </w:rPr>
              <w:t>Sustained Attention Specificity</w:t>
            </w:r>
          </w:p>
        </w:tc>
        <w:tc>
          <w:tcPr>
            <w:tcW w:w="3765" w:type="dxa"/>
            <w:vMerge w:val="continue"/>
          </w:tcPr>
          <w:p w14:paraId="0000015D">
            <w:pPr>
              <w:pBdr>
                <w:top w:val="none" w:color="auto" w:sz="0" w:space="0"/>
                <w:left w:val="none" w:color="auto" w:sz="0" w:space="0"/>
                <w:bottom w:val="none" w:color="auto" w:sz="0" w:space="0"/>
                <w:right w:val="none" w:color="auto" w:sz="0" w:space="0"/>
                <w:between w:val="none" w:color="auto" w:sz="0" w:space="0"/>
              </w:pBdr>
              <w:spacing w:line="276" w:lineRule="auto"/>
              <w:jc w:val="left"/>
              <w:rPr>
                <w:rFonts w:ascii="Arial" w:hAnsi="Arial" w:eastAsia="Arial" w:cs="Arial"/>
                <w:sz w:val="24"/>
                <w:szCs w:val="24"/>
              </w:rPr>
            </w:pPr>
          </w:p>
        </w:tc>
      </w:tr>
      <w:tr w14:paraId="1F2BB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05" w:hRule="atLeast"/>
        </w:trPr>
        <w:tc>
          <w:tcPr>
            <w:tcW w:w="1980" w:type="dxa"/>
          </w:tcPr>
          <w:p w14:paraId="0000015E">
            <w:pPr>
              <w:jc w:val="left"/>
              <w:rPr>
                <w:rFonts w:ascii="Arial" w:hAnsi="Arial" w:eastAsia="Arial" w:cs="Arial"/>
                <w:sz w:val="24"/>
                <w:szCs w:val="24"/>
              </w:rPr>
            </w:pPr>
            <w:r>
              <w:rPr>
                <w:rFonts w:ascii="Arial" w:hAnsi="Arial" w:eastAsia="Arial" w:cs="Arial"/>
                <w:sz w:val="24"/>
                <w:szCs w:val="24"/>
              </w:rPr>
              <w:t>Penn Word Memory Test: Total Number of Correct Responses</w:t>
            </w:r>
          </w:p>
        </w:tc>
        <w:tc>
          <w:tcPr>
            <w:tcW w:w="1134" w:type="dxa"/>
          </w:tcPr>
          <w:p w14:paraId="0000015F">
            <w:pPr>
              <w:jc w:val="center"/>
              <w:rPr>
                <w:rFonts w:ascii="Arial" w:hAnsi="Arial" w:eastAsia="Arial" w:cs="Arial"/>
                <w:sz w:val="24"/>
                <w:szCs w:val="24"/>
              </w:rPr>
            </w:pPr>
            <w:r>
              <w:rPr>
                <w:rFonts w:ascii="Arial" w:hAnsi="Arial" w:eastAsia="Arial" w:cs="Arial"/>
                <w:sz w:val="24"/>
                <w:szCs w:val="24"/>
              </w:rPr>
              <w:t>IWRD_TOT</w:t>
            </w:r>
          </w:p>
        </w:tc>
        <w:tc>
          <w:tcPr>
            <w:tcW w:w="1417" w:type="dxa"/>
          </w:tcPr>
          <w:p w14:paraId="00000160">
            <w:pPr>
              <w:jc w:val="center"/>
              <w:rPr>
                <w:rFonts w:ascii="Arial" w:hAnsi="Arial" w:eastAsia="Arial" w:cs="Arial"/>
                <w:sz w:val="24"/>
                <w:szCs w:val="24"/>
              </w:rPr>
            </w:pPr>
            <w:r>
              <w:rPr>
                <w:rFonts w:ascii="Arial" w:hAnsi="Arial" w:eastAsia="Arial" w:cs="Arial"/>
                <w:sz w:val="24"/>
                <w:szCs w:val="24"/>
              </w:rPr>
              <w:t>Verbal Episodic Memory</w:t>
            </w:r>
          </w:p>
        </w:tc>
        <w:tc>
          <w:tcPr>
            <w:tcW w:w="3765" w:type="dxa"/>
          </w:tcPr>
          <w:p w14:paraId="00000161">
            <w:pPr>
              <w:jc w:val="left"/>
              <w:rPr>
                <w:rFonts w:ascii="Arial" w:hAnsi="Arial" w:eastAsia="Arial" w:cs="Arial"/>
                <w:sz w:val="24"/>
                <w:szCs w:val="24"/>
              </w:rPr>
            </w:pPr>
            <w:r>
              <w:rPr>
                <w:rFonts w:ascii="Arial" w:hAnsi="Arial" w:eastAsia="Arial" w:cs="Arial"/>
                <w:sz w:val="24"/>
                <w:szCs w:val="24"/>
              </w:rPr>
              <w:t>This task presents 20 words for participants to memorize. In the subsequent memory test, 40 words are presented, including the previous 20 words and 20 new words. Participants are required to judge whether they have seen the words before, with four options to choose from: "definitely yes", "probably yes", "probably no", and "definitely no".</w:t>
            </w:r>
          </w:p>
        </w:tc>
      </w:tr>
      <w:tr w14:paraId="6B941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1980" w:type="dxa"/>
          </w:tcPr>
          <w:p w14:paraId="00000162">
            <w:pPr>
              <w:jc w:val="left"/>
              <w:rPr>
                <w:rFonts w:ascii="Arial" w:hAnsi="Arial" w:eastAsia="Arial" w:cs="Arial"/>
                <w:sz w:val="24"/>
                <w:szCs w:val="24"/>
              </w:rPr>
            </w:pPr>
            <w:r>
              <w:rPr>
                <w:rFonts w:ascii="Arial" w:hAnsi="Arial" w:eastAsia="Arial" w:cs="Arial"/>
                <w:sz w:val="24"/>
                <w:szCs w:val="24"/>
              </w:rPr>
              <w:t>NIH Toolbox List Sorting Working Memory Test: Unadjusted Scale Score</w:t>
            </w:r>
          </w:p>
        </w:tc>
        <w:tc>
          <w:tcPr>
            <w:tcW w:w="1134" w:type="dxa"/>
          </w:tcPr>
          <w:p w14:paraId="00000163">
            <w:pPr>
              <w:jc w:val="center"/>
              <w:rPr>
                <w:rFonts w:ascii="Arial" w:hAnsi="Arial" w:eastAsia="Arial" w:cs="Arial"/>
                <w:sz w:val="24"/>
                <w:szCs w:val="24"/>
              </w:rPr>
            </w:pPr>
            <w:r>
              <w:rPr>
                <w:rFonts w:ascii="Arial" w:hAnsi="Arial" w:eastAsia="Arial" w:cs="Arial"/>
                <w:sz w:val="24"/>
                <w:szCs w:val="24"/>
              </w:rPr>
              <w:t>ListSort_Unadj</w:t>
            </w:r>
          </w:p>
        </w:tc>
        <w:tc>
          <w:tcPr>
            <w:tcW w:w="1417" w:type="dxa"/>
          </w:tcPr>
          <w:p w14:paraId="00000164">
            <w:pPr>
              <w:jc w:val="center"/>
              <w:rPr>
                <w:rFonts w:ascii="Arial" w:hAnsi="Arial" w:eastAsia="Arial" w:cs="Arial"/>
                <w:sz w:val="24"/>
                <w:szCs w:val="24"/>
              </w:rPr>
            </w:pPr>
            <w:r>
              <w:rPr>
                <w:rFonts w:ascii="Arial" w:hAnsi="Arial" w:eastAsia="Arial" w:cs="Arial"/>
                <w:sz w:val="24"/>
                <w:szCs w:val="24"/>
              </w:rPr>
              <w:t>Working Memory</w:t>
            </w:r>
          </w:p>
        </w:tc>
        <w:tc>
          <w:tcPr>
            <w:tcW w:w="3765" w:type="dxa"/>
          </w:tcPr>
          <w:p w14:paraId="00000165">
            <w:pPr>
              <w:jc w:val="left"/>
              <w:rPr>
                <w:rFonts w:ascii="Arial" w:hAnsi="Arial" w:eastAsia="Arial" w:cs="Arial"/>
                <w:sz w:val="24"/>
                <w:szCs w:val="24"/>
              </w:rPr>
            </w:pPr>
            <w:r>
              <w:rPr>
                <w:rFonts w:ascii="Arial" w:hAnsi="Arial" w:eastAsia="Arial" w:cs="Arial"/>
                <w:sz w:val="24"/>
                <w:szCs w:val="24"/>
              </w:rPr>
              <w:t>This task requires the participant to sequence visually- and orally-presented stimuli (foods and animals) into size order.</w:t>
            </w:r>
          </w:p>
        </w:tc>
      </w:tr>
      <w:tr w14:paraId="2B8D8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1980" w:type="dxa"/>
          </w:tcPr>
          <w:p w14:paraId="00000166">
            <w:pPr>
              <w:jc w:val="left"/>
              <w:rPr>
                <w:rFonts w:ascii="Arial" w:hAnsi="Arial" w:eastAsia="Arial" w:cs="Arial"/>
                <w:sz w:val="24"/>
                <w:szCs w:val="24"/>
              </w:rPr>
            </w:pPr>
            <w:r>
              <w:rPr>
                <w:rFonts w:ascii="Arial" w:hAnsi="Arial" w:eastAsia="Arial" w:cs="Arial"/>
                <w:sz w:val="24"/>
                <w:szCs w:val="24"/>
              </w:rPr>
              <w:t>NIH Toolbox Odor Identification Age 3+ Unadjusted Scale Score</w:t>
            </w:r>
          </w:p>
        </w:tc>
        <w:tc>
          <w:tcPr>
            <w:tcW w:w="1134" w:type="dxa"/>
          </w:tcPr>
          <w:p w14:paraId="00000167">
            <w:pPr>
              <w:jc w:val="center"/>
              <w:rPr>
                <w:rFonts w:ascii="Arial" w:hAnsi="Arial" w:eastAsia="Arial" w:cs="Arial"/>
                <w:sz w:val="24"/>
                <w:szCs w:val="24"/>
              </w:rPr>
            </w:pPr>
            <w:r>
              <w:rPr>
                <w:rFonts w:ascii="Arial" w:hAnsi="Arial" w:eastAsia="Arial" w:cs="Arial"/>
                <w:sz w:val="24"/>
                <w:szCs w:val="24"/>
              </w:rPr>
              <w:t>Odor_Unadj</w:t>
            </w:r>
          </w:p>
        </w:tc>
        <w:tc>
          <w:tcPr>
            <w:tcW w:w="1417" w:type="dxa"/>
          </w:tcPr>
          <w:p w14:paraId="00000168">
            <w:pPr>
              <w:jc w:val="center"/>
              <w:rPr>
                <w:rFonts w:ascii="Arial" w:hAnsi="Arial" w:eastAsia="Arial" w:cs="Arial"/>
                <w:sz w:val="24"/>
                <w:szCs w:val="24"/>
              </w:rPr>
            </w:pPr>
            <w:r>
              <w:rPr>
                <w:rFonts w:ascii="Arial" w:hAnsi="Arial" w:eastAsia="Arial" w:cs="Arial"/>
                <w:sz w:val="24"/>
                <w:szCs w:val="24"/>
              </w:rPr>
              <w:t>Odor Identification</w:t>
            </w:r>
          </w:p>
        </w:tc>
        <w:tc>
          <w:tcPr>
            <w:tcW w:w="3765" w:type="dxa"/>
          </w:tcPr>
          <w:p w14:paraId="00000169">
            <w:pPr>
              <w:jc w:val="left"/>
              <w:rPr>
                <w:rFonts w:ascii="Arial" w:hAnsi="Arial" w:eastAsia="Arial" w:cs="Arial"/>
                <w:sz w:val="24"/>
                <w:szCs w:val="24"/>
              </w:rPr>
            </w:pPr>
            <w:r>
              <w:rPr>
                <w:rFonts w:ascii="Arial" w:hAnsi="Arial" w:eastAsia="Arial" w:cs="Arial"/>
                <w:sz w:val="24"/>
                <w:szCs w:val="24"/>
              </w:rPr>
              <w:t>This task requires the participant to identify which of the four presented pictures matches the odor they just smelled.</w:t>
            </w:r>
          </w:p>
        </w:tc>
      </w:tr>
      <w:tr w14:paraId="70BA5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1980" w:type="dxa"/>
          </w:tcPr>
          <w:p w14:paraId="0000016A">
            <w:pPr>
              <w:jc w:val="left"/>
              <w:rPr>
                <w:rFonts w:ascii="Arial" w:hAnsi="Arial" w:eastAsia="Arial" w:cs="Arial"/>
                <w:sz w:val="24"/>
                <w:szCs w:val="24"/>
              </w:rPr>
            </w:pPr>
            <w:r>
              <w:rPr>
                <w:rFonts w:ascii="Arial" w:hAnsi="Arial" w:eastAsia="Arial" w:cs="Arial"/>
                <w:sz w:val="24"/>
                <w:szCs w:val="24"/>
              </w:rPr>
              <w:t>EVA score - Denominator</w:t>
            </w:r>
          </w:p>
        </w:tc>
        <w:tc>
          <w:tcPr>
            <w:tcW w:w="1134" w:type="dxa"/>
          </w:tcPr>
          <w:p w14:paraId="0000016B">
            <w:pPr>
              <w:jc w:val="center"/>
              <w:rPr>
                <w:rFonts w:ascii="Arial" w:hAnsi="Arial" w:eastAsia="Arial" w:cs="Arial"/>
                <w:sz w:val="24"/>
                <w:szCs w:val="24"/>
              </w:rPr>
            </w:pPr>
            <w:r>
              <w:rPr>
                <w:rFonts w:ascii="Arial" w:hAnsi="Arial" w:eastAsia="Arial" w:cs="Arial"/>
                <w:sz w:val="24"/>
                <w:szCs w:val="24"/>
              </w:rPr>
              <w:t>EVA_Denom</w:t>
            </w:r>
          </w:p>
        </w:tc>
        <w:tc>
          <w:tcPr>
            <w:tcW w:w="1417" w:type="dxa"/>
          </w:tcPr>
          <w:p w14:paraId="0000016C">
            <w:pPr>
              <w:jc w:val="center"/>
              <w:rPr>
                <w:rFonts w:ascii="Arial" w:hAnsi="Arial" w:eastAsia="Arial" w:cs="Arial"/>
                <w:sz w:val="24"/>
                <w:szCs w:val="24"/>
              </w:rPr>
            </w:pPr>
            <w:r>
              <w:rPr>
                <w:rFonts w:ascii="Arial" w:hAnsi="Arial" w:eastAsia="Arial" w:cs="Arial"/>
                <w:sz w:val="24"/>
                <w:szCs w:val="24"/>
              </w:rPr>
              <w:t>Visual Acuity</w:t>
            </w:r>
          </w:p>
        </w:tc>
        <w:tc>
          <w:tcPr>
            <w:tcW w:w="3765" w:type="dxa"/>
          </w:tcPr>
          <w:p w14:paraId="0000016D">
            <w:pPr>
              <w:jc w:val="left"/>
              <w:rPr>
                <w:rFonts w:ascii="Arial" w:hAnsi="Arial" w:eastAsia="Arial" w:cs="Arial"/>
                <w:sz w:val="24"/>
                <w:szCs w:val="24"/>
              </w:rPr>
            </w:pPr>
            <w:r>
              <w:rPr>
                <w:rFonts w:ascii="Arial" w:hAnsi="Arial" w:eastAsia="Arial" w:cs="Arial"/>
                <w:sz w:val="24"/>
                <w:szCs w:val="24"/>
              </w:rPr>
              <w:t>Based on the Snellen chart, the participant with corrected vision is asked to read letters that gradually become smaller.</w:t>
            </w:r>
          </w:p>
        </w:tc>
      </w:tr>
      <w:tr w14:paraId="37E91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75" w:hRule="atLeast"/>
        </w:trPr>
        <w:tc>
          <w:tcPr>
            <w:tcW w:w="1980" w:type="dxa"/>
          </w:tcPr>
          <w:p w14:paraId="0000016E">
            <w:pPr>
              <w:jc w:val="left"/>
              <w:rPr>
                <w:rFonts w:ascii="Arial" w:hAnsi="Arial" w:eastAsia="Arial" w:cs="Arial"/>
                <w:sz w:val="24"/>
                <w:szCs w:val="24"/>
              </w:rPr>
            </w:pPr>
            <w:r>
              <w:rPr>
                <w:rFonts w:ascii="Arial" w:hAnsi="Arial" w:eastAsia="Arial" w:cs="Arial"/>
                <w:sz w:val="24"/>
                <w:szCs w:val="24"/>
              </w:rPr>
              <w:t>Mars Final Contrast Sensitivity Score</w:t>
            </w:r>
          </w:p>
        </w:tc>
        <w:tc>
          <w:tcPr>
            <w:tcW w:w="1134" w:type="dxa"/>
          </w:tcPr>
          <w:p w14:paraId="0000016F">
            <w:pPr>
              <w:jc w:val="center"/>
              <w:rPr>
                <w:rFonts w:ascii="Arial" w:hAnsi="Arial" w:eastAsia="Arial" w:cs="Arial"/>
                <w:sz w:val="24"/>
                <w:szCs w:val="24"/>
              </w:rPr>
            </w:pPr>
            <w:r>
              <w:rPr>
                <w:rFonts w:ascii="Arial" w:hAnsi="Arial" w:eastAsia="Arial" w:cs="Arial"/>
                <w:sz w:val="24"/>
                <w:szCs w:val="24"/>
              </w:rPr>
              <w:t>Mars_Final</w:t>
            </w:r>
          </w:p>
        </w:tc>
        <w:tc>
          <w:tcPr>
            <w:tcW w:w="1417" w:type="dxa"/>
          </w:tcPr>
          <w:p w14:paraId="00000170">
            <w:pPr>
              <w:jc w:val="center"/>
              <w:rPr>
                <w:rFonts w:ascii="Arial" w:hAnsi="Arial" w:eastAsia="Arial" w:cs="Arial"/>
                <w:sz w:val="24"/>
                <w:szCs w:val="24"/>
              </w:rPr>
            </w:pPr>
            <w:r>
              <w:rPr>
                <w:rFonts w:ascii="Arial" w:hAnsi="Arial" w:eastAsia="Arial" w:cs="Arial"/>
                <w:sz w:val="24"/>
                <w:szCs w:val="24"/>
              </w:rPr>
              <w:t>Contrast Sensitivity</w:t>
            </w:r>
          </w:p>
        </w:tc>
        <w:tc>
          <w:tcPr>
            <w:tcW w:w="3765" w:type="dxa"/>
          </w:tcPr>
          <w:p w14:paraId="00000171">
            <w:pPr>
              <w:jc w:val="left"/>
              <w:rPr>
                <w:rFonts w:ascii="Arial" w:hAnsi="Arial" w:eastAsia="Arial" w:cs="Arial"/>
                <w:sz w:val="24"/>
                <w:szCs w:val="24"/>
              </w:rPr>
            </w:pPr>
            <w:r>
              <w:rPr>
                <w:rFonts w:ascii="Arial" w:hAnsi="Arial" w:eastAsia="Arial" w:cs="Arial"/>
                <w:sz w:val="24"/>
                <w:szCs w:val="24"/>
              </w:rPr>
              <w:t>This task requires the participant to read letters on the Mars Contrast Test Chart from left to right and top to bottom, as the contrast of the letters gradually decreases, until making two consecutive errors and stopping the test.</w:t>
            </w:r>
          </w:p>
        </w:tc>
      </w:tr>
    </w:tbl>
    <w:p w14:paraId="4FD73DBA">
      <w:pPr>
        <w:rPr>
          <w:rFonts w:ascii="Arial" w:hAnsi="Arial" w:eastAsia="Arial" w:cs="Arial"/>
          <w:b/>
          <w:bCs/>
        </w:rPr>
      </w:pPr>
      <w:r>
        <w:rPr>
          <w:rFonts w:hint="eastAsia" w:ascii="Arial" w:hAnsi="Arial" w:eastAsia="Arial" w:cs="Arial"/>
          <w:b/>
          <w:bCs/>
        </w:rPr>
        <w:t>Ta</w:t>
      </w:r>
      <w:bookmarkStart w:id="0" w:name="_GoBack"/>
      <w:bookmarkEnd w:id="0"/>
      <w:r>
        <w:rPr>
          <w:rFonts w:hint="eastAsia" w:ascii="Arial" w:hAnsi="Arial" w:eastAsia="Arial" w:cs="Arial"/>
          <w:b/>
          <w:bCs/>
        </w:rPr>
        <w:t>ble C</w:t>
      </w:r>
      <w:r>
        <w:rPr>
          <w:rFonts w:ascii="Arial" w:hAnsi="Arial" w:eastAsia="Arial" w:cs="Arial"/>
          <w:b/>
          <w:bCs/>
        </w:rPr>
        <w:t>: Detail information of 15 vision-related or vision-based behavioral tasks</w:t>
      </w:r>
      <w:r>
        <w:rPr>
          <w:rFonts w:ascii="Arial" w:hAnsi="Arial" w:eastAsia="Arial" w:cs="Arial"/>
        </w:rPr>
        <w:t xml:space="preserve"> </w:t>
      </w:r>
      <w:r>
        <w:rPr>
          <w:rFonts w:ascii="Arial" w:hAnsi="Arial" w:eastAsia="Arial" w:cs="Arial"/>
          <w:b/>
          <w:bCs/>
        </w:rPr>
        <w:t>selected from HCP-YA dataset; related to Figure 3.</w:t>
      </w:r>
    </w:p>
    <w:p w14:paraId="08B3109F">
      <w:pPr>
        <w:rPr>
          <w:rFonts w:ascii="Arial" w:hAnsi="Arial" w:eastAsia="Arial" w:cs="Arial"/>
          <w:b/>
          <w:bCs/>
        </w:rPr>
      </w:pPr>
    </w:p>
    <w:p w14:paraId="5B1A2D57">
      <w:pPr>
        <w:rPr>
          <w:rFonts w:ascii="Arial" w:hAnsi="Arial" w:eastAsia="Arial" w:cs="Arial"/>
          <w:b/>
          <w:bCs/>
        </w:rPr>
      </w:pPr>
    </w:p>
    <w:sectPr>
      <w:pgSz w:w="11906" w:h="16838"/>
      <w:pgMar w:top="1440" w:right="1800" w:bottom="1440" w:left="1800" w:header="851" w:footer="992"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C643C0D-EB6E-45E8-8A92-3194BC440A50}"/>
  </w:font>
  <w:font w:name="Arial">
    <w:panose1 w:val="020B0604020202020204"/>
    <w:charset w:val="01"/>
    <w:family w:val="swiss"/>
    <w:pitch w:val="default"/>
    <w:sig w:usb0="E0002EFF" w:usb1="C000785B" w:usb2="00000009" w:usb3="00000000" w:csb0="400001FF" w:csb1="FFFF0000"/>
    <w:embedRegular r:id="rId2" w:fontKey="{7B77FF29-BD49-4841-87CB-08B67E39C54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8B93FD3A-12E6-41D8-A498-ACB8D4CE7CA0}"/>
  </w:font>
  <w:font w:name="Symbol">
    <w:panose1 w:val="05050102010706020507"/>
    <w:charset w:val="02"/>
    <w:family w:val="roman"/>
    <w:pitch w:val="default"/>
    <w:sig w:usb0="00000000" w:usb1="00000000" w:usb2="00000000" w:usb3="00000000" w:csb0="80000000" w:csb1="00000000"/>
    <w:embedRegular r:id="rId4" w:fontKey="{061C9ECF-5678-433C-ABA5-E99E2BABDE47}"/>
  </w:font>
  <w:font w:name="Calibri">
    <w:panose1 w:val="020F0502020204030204"/>
    <w:charset w:val="00"/>
    <w:family w:val="swiss"/>
    <w:pitch w:val="default"/>
    <w:sig w:usb0="E4002EFF" w:usb1="C200247B" w:usb2="00000009" w:usb3="00000000" w:csb0="200001FF" w:csb1="00000000"/>
    <w:embedRegular r:id="rId5" w:fontKey="{D4086A92-A361-4DE8-8762-B3E4CA766A1C}"/>
  </w:font>
  <w:font w:name="等线">
    <w:panose1 w:val="02010600030101010101"/>
    <w:charset w:val="86"/>
    <w:family w:val="auto"/>
    <w:pitch w:val="default"/>
    <w:sig w:usb0="A00002BF" w:usb1="38CF7CFA" w:usb2="00000016" w:usb3="00000000" w:csb0="0004000F" w:csb1="00000000"/>
    <w:embedRegular r:id="rId6" w:fontKey="{0D42321A-86F2-4340-8A19-6EDF9CE9CB5E}"/>
  </w:font>
  <w:font w:name="Georgia">
    <w:panose1 w:val="02040502050405020303"/>
    <w:charset w:val="00"/>
    <w:family w:val="roman"/>
    <w:pitch w:val="default"/>
    <w:sig w:usb0="00000287" w:usb1="00000000" w:usb2="00000000" w:usb3="00000000" w:csb0="2000009F" w:csb1="00000000"/>
    <w:embedRegular r:id="rId7" w:fontKey="{59F9DCD9-B9E8-4823-9D32-BAEC697656E8}"/>
  </w:font>
  <w:font w:name="Arial">
    <w:panose1 w:val="020B0604020202020204"/>
    <w:charset w:val="00"/>
    <w:family w:val="swiss"/>
    <w:pitch w:val="default"/>
    <w:sig w:usb0="E0002EFF" w:usb1="C000785B" w:usb2="00000009" w:usb3="00000000" w:csb0="400001FF" w:csb1="FFFF0000"/>
    <w:embedRegular r:id="rId8" w:fontKey="{A379C87F-6A8B-414C-AD19-D5E06CFAB655}"/>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TrueTypeFonts/>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799"/>
    <w:rsid w:val="00036799"/>
    <w:rsid w:val="000A57FB"/>
    <w:rsid w:val="001D10B4"/>
    <w:rsid w:val="001E498D"/>
    <w:rsid w:val="002516E4"/>
    <w:rsid w:val="00320522"/>
    <w:rsid w:val="003952C6"/>
    <w:rsid w:val="003C71C5"/>
    <w:rsid w:val="003E7029"/>
    <w:rsid w:val="00457BA3"/>
    <w:rsid w:val="00470F55"/>
    <w:rsid w:val="005D3328"/>
    <w:rsid w:val="005D4D93"/>
    <w:rsid w:val="006620BD"/>
    <w:rsid w:val="006B1375"/>
    <w:rsid w:val="006F52EB"/>
    <w:rsid w:val="007C2E8D"/>
    <w:rsid w:val="00951275"/>
    <w:rsid w:val="00973022"/>
    <w:rsid w:val="009C15B1"/>
    <w:rsid w:val="009C3693"/>
    <w:rsid w:val="00AC0887"/>
    <w:rsid w:val="00C255C8"/>
    <w:rsid w:val="00D45D63"/>
    <w:rsid w:val="00F31036"/>
    <w:rsid w:val="17185700"/>
    <w:rsid w:val="2EE144CD"/>
    <w:rsid w:val="44F468B0"/>
    <w:rsid w:val="6CA125CA"/>
    <w:rsid w:val="7AB667E1"/>
    <w:rsid w:val="7CBE5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sz w:val="21"/>
      <w:szCs w:val="21"/>
      <w:lang w:val="en" w:eastAsia="zh-CN" w:bidi="ar-SA"/>
    </w:rPr>
  </w:style>
  <w:style w:type="paragraph" w:styleId="2">
    <w:name w:val="heading 1"/>
    <w:basedOn w:val="1"/>
    <w:next w:val="1"/>
    <w:qFormat/>
    <w:uiPriority w:val="9"/>
    <w:pPr>
      <w:keepNext/>
      <w:keepLines/>
      <w:spacing w:before="480" w:after="120"/>
      <w:outlineLvl w:val="0"/>
    </w:pPr>
    <w:rPr>
      <w:b/>
      <w:bCs/>
      <w:sz w:val="48"/>
      <w:szCs w:val="48"/>
    </w:rPr>
  </w:style>
  <w:style w:type="paragraph" w:styleId="3">
    <w:name w:val="heading 2"/>
    <w:basedOn w:val="1"/>
    <w:next w:val="1"/>
    <w:semiHidden/>
    <w:unhideWhenUsed/>
    <w:qFormat/>
    <w:uiPriority w:val="9"/>
    <w:pPr>
      <w:keepNext/>
      <w:keepLines/>
      <w:spacing w:before="360" w:after="80"/>
      <w:outlineLvl w:val="1"/>
    </w:pPr>
    <w:rPr>
      <w:b/>
      <w:bCs/>
      <w:sz w:val="36"/>
      <w:szCs w:val="36"/>
    </w:rPr>
  </w:style>
  <w:style w:type="paragraph" w:styleId="4">
    <w:name w:val="heading 3"/>
    <w:basedOn w:val="1"/>
    <w:next w:val="1"/>
    <w:semiHidden/>
    <w:unhideWhenUsed/>
    <w:qFormat/>
    <w:uiPriority w:val="9"/>
    <w:pPr>
      <w:keepNext/>
      <w:keepLines/>
      <w:spacing w:before="280" w:after="80"/>
      <w:outlineLvl w:val="2"/>
    </w:pPr>
    <w:rPr>
      <w:b/>
      <w:bCs/>
      <w:sz w:val="28"/>
      <w:szCs w:val="28"/>
    </w:rPr>
  </w:style>
  <w:style w:type="paragraph" w:styleId="5">
    <w:name w:val="heading 4"/>
    <w:basedOn w:val="1"/>
    <w:next w:val="1"/>
    <w:semiHidden/>
    <w:unhideWhenUsed/>
    <w:qFormat/>
    <w:uiPriority w:val="9"/>
    <w:pPr>
      <w:keepNext/>
      <w:keepLines/>
      <w:spacing w:before="240" w:after="40"/>
      <w:outlineLvl w:val="3"/>
    </w:pPr>
    <w:rPr>
      <w:b/>
      <w:bCs/>
      <w:sz w:val="24"/>
      <w:szCs w:val="24"/>
    </w:rPr>
  </w:style>
  <w:style w:type="paragraph" w:styleId="6">
    <w:name w:val="heading 5"/>
    <w:basedOn w:val="1"/>
    <w:next w:val="1"/>
    <w:semiHidden/>
    <w:unhideWhenUsed/>
    <w:qFormat/>
    <w:uiPriority w:val="9"/>
    <w:pPr>
      <w:keepNext/>
      <w:keepLines/>
      <w:spacing w:before="220" w:after="40"/>
      <w:outlineLvl w:val="4"/>
    </w:pPr>
    <w:rPr>
      <w:b/>
      <w:bCs/>
      <w:sz w:val="22"/>
      <w:szCs w:val="22"/>
    </w:rPr>
  </w:style>
  <w:style w:type="paragraph" w:styleId="7">
    <w:name w:val="heading 6"/>
    <w:basedOn w:val="1"/>
    <w:next w:val="1"/>
    <w:semiHidden/>
    <w:unhideWhenUsed/>
    <w:qFormat/>
    <w:uiPriority w:val="9"/>
    <w:pPr>
      <w:keepNext/>
      <w:keepLines/>
      <w:spacing w:before="200" w:after="40"/>
      <w:outlineLvl w:val="5"/>
    </w:pPr>
    <w:rPr>
      <w:b/>
      <w:bCs/>
      <w:sz w:val="20"/>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7"/>
    <w:unhideWhenUsed/>
    <w:uiPriority w:val="99"/>
    <w:rPr>
      <w:sz w:val="20"/>
      <w:szCs w:val="20"/>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tabs>
        <w:tab w:val="center" w:pos="4153"/>
        <w:tab w:val="right" w:pos="8306"/>
      </w:tabs>
      <w:snapToGrid w:val="0"/>
      <w:jc w:val="center"/>
    </w:pPr>
    <w:rPr>
      <w:sz w:val="18"/>
      <w:szCs w:val="18"/>
    </w:rPr>
  </w:style>
  <w:style w:type="paragraph" w:styleId="11">
    <w:name w:val="Subtitle"/>
    <w:basedOn w:val="1"/>
    <w:next w:val="1"/>
    <w:qFormat/>
    <w:uiPriority w:val="11"/>
    <w:pPr>
      <w:keepNext/>
      <w:keepLines/>
      <w:spacing w:before="360" w:after="80"/>
    </w:pPr>
    <w:rPr>
      <w:rFonts w:ascii="Georgia" w:hAnsi="Georgia" w:eastAsia="Georgia" w:cs="Georgia"/>
      <w:i/>
      <w:iCs/>
      <w:color w:val="666666"/>
      <w:sz w:val="48"/>
      <w:szCs w:val="48"/>
    </w:rPr>
  </w:style>
  <w:style w:type="paragraph" w:styleId="12">
    <w:name w:val="Title"/>
    <w:basedOn w:val="1"/>
    <w:next w:val="1"/>
    <w:qFormat/>
    <w:uiPriority w:val="10"/>
    <w:pPr>
      <w:keepNext/>
      <w:keepLines/>
      <w:spacing w:before="480" w:after="120"/>
    </w:pPr>
    <w:rPr>
      <w:b/>
      <w:bCs/>
      <w:sz w:val="72"/>
      <w:szCs w:val="72"/>
    </w:rPr>
  </w:style>
  <w:style w:type="paragraph" w:styleId="13">
    <w:name w:val="annotation subject"/>
    <w:basedOn w:val="8"/>
    <w:next w:val="8"/>
    <w:link w:val="29"/>
    <w:semiHidden/>
    <w:unhideWhenUsed/>
    <w:uiPriority w:val="99"/>
    <w:pPr>
      <w:jc w:val="left"/>
    </w:pPr>
    <w:rPr>
      <w:b/>
      <w:bCs/>
      <w:sz w:val="21"/>
      <w:szCs w:val="21"/>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character" w:styleId="18">
    <w:name w:val="annotation reference"/>
    <w:basedOn w:val="16"/>
    <w:semiHidden/>
    <w:unhideWhenUsed/>
    <w:uiPriority w:val="99"/>
    <w:rPr>
      <w:sz w:val="16"/>
      <w:szCs w:val="16"/>
    </w:rPr>
  </w:style>
  <w:style w:type="table" w:customStyle="1" w:styleId="19">
    <w:name w:val="TableNormal"/>
    <w:qFormat/>
    <w:uiPriority w:val="0"/>
    <w:tblPr>
      <w:tblCellMar>
        <w:top w:w="100" w:type="dxa"/>
        <w:left w:w="100" w:type="dxa"/>
        <w:bottom w:w="100" w:type="dxa"/>
        <w:right w:w="100" w:type="dxa"/>
      </w:tblCellMar>
    </w:tblPr>
  </w:style>
  <w:style w:type="character" w:customStyle="1" w:styleId="20">
    <w:name w:val="页眉 字符"/>
    <w:basedOn w:val="16"/>
    <w:link w:val="10"/>
    <w:qFormat/>
    <w:uiPriority w:val="99"/>
    <w:rPr>
      <w:sz w:val="18"/>
      <w:szCs w:val="18"/>
    </w:rPr>
  </w:style>
  <w:style w:type="character" w:customStyle="1" w:styleId="21">
    <w:name w:val="页脚 字符"/>
    <w:basedOn w:val="16"/>
    <w:link w:val="9"/>
    <w:qFormat/>
    <w:uiPriority w:val="99"/>
    <w:rPr>
      <w:sz w:val="18"/>
      <w:szCs w:val="18"/>
    </w:rPr>
  </w:style>
  <w:style w:type="paragraph" w:customStyle="1" w:styleId="22">
    <w:name w:val="Revision"/>
    <w:hidden/>
    <w:semiHidden/>
    <w:qFormat/>
    <w:uiPriority w:val="99"/>
    <w:pPr>
      <w:widowControl w:val="0"/>
      <w:jc w:val="both"/>
    </w:pPr>
    <w:rPr>
      <w:rFonts w:ascii="等线" w:hAnsi="等线" w:eastAsia="等线" w:cs="等线"/>
      <w:sz w:val="21"/>
      <w:szCs w:val="21"/>
      <w:lang w:val="en" w:eastAsia="zh-CN" w:bidi="ar-SA"/>
    </w:rPr>
  </w:style>
  <w:style w:type="character" w:customStyle="1" w:styleId="23">
    <w:name w:val="Unresolved Mention"/>
    <w:basedOn w:val="16"/>
    <w:semiHidden/>
    <w:unhideWhenUsed/>
    <w:qFormat/>
    <w:uiPriority w:val="99"/>
    <w:rPr>
      <w:color w:val="605E5C"/>
      <w:shd w:val="clear" w:color="auto" w:fill="E1DFDD"/>
    </w:rPr>
  </w:style>
  <w:style w:type="table" w:customStyle="1" w:styleId="24">
    <w:name w:val="_Style 20"/>
    <w:basedOn w:val="14"/>
    <w:qFormat/>
    <w:uiPriority w:val="0"/>
  </w:style>
  <w:style w:type="table" w:customStyle="1" w:styleId="25">
    <w:name w:val="_Style 21"/>
    <w:basedOn w:val="14"/>
    <w:qFormat/>
    <w:uiPriority w:val="0"/>
  </w:style>
  <w:style w:type="table" w:customStyle="1" w:styleId="26">
    <w:name w:val="_Style 22"/>
    <w:basedOn w:val="14"/>
    <w:qFormat/>
    <w:uiPriority w:val="0"/>
  </w:style>
  <w:style w:type="character" w:customStyle="1" w:styleId="27">
    <w:name w:val="批注文字 字符"/>
    <w:basedOn w:val="16"/>
    <w:link w:val="8"/>
    <w:qFormat/>
    <w:uiPriority w:val="99"/>
    <w:rPr>
      <w:sz w:val="20"/>
      <w:szCs w:val="20"/>
    </w:rPr>
  </w:style>
  <w:style w:type="paragraph" w:customStyle="1" w:styleId="28">
    <w:name w:val="Bibliography"/>
    <w:basedOn w:val="1"/>
    <w:next w:val="1"/>
    <w:unhideWhenUsed/>
    <w:uiPriority w:val="37"/>
    <w:pPr>
      <w:spacing w:line="480" w:lineRule="auto"/>
      <w:ind w:left="720" w:hanging="720"/>
    </w:pPr>
  </w:style>
  <w:style w:type="character" w:customStyle="1" w:styleId="29">
    <w:name w:val="批注主题 字符"/>
    <w:basedOn w:val="27"/>
    <w:link w:val="13"/>
    <w:semiHidden/>
    <w:uiPriority w:val="99"/>
    <w:rPr>
      <w:b/>
      <w:bCs/>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xWRp9RWMnq+C/7l84MFfsUpCQ==">CgMxLjAaJwoBMBIiCiAIBCocCgtBQUFCeEVIZk1CYxAIGgtBQUFCeEVIZk1CYyLhBAoLQUFBQnhFSGZNQmMSsQQKC0FBQUJ4RUhmTUJjEgtBQUFCeEVIZk1CYxqTAQoJdGV4dC9odG1sEoUBSnVzdCBsZWF2aW5nIGEgY29tbWVudCB0aGF0IEZpZ3VyZSBTMyBzaG91bGQgYmUgYWRkZWQgaGVyZSAoeW91IGRlbGV0ZWQgaXQgYW5kIGkgbGVmdCBpdCwgSSBmaWd1cmVkIHlvdSB3ZXJlIGludGVuZGluZyB0byByZXBsYWNlIGl0KSKUAQoKdGV4dC9wbGFpbhKFAUp1c3QgbGVhdmluZyBhIGNvbW1lbnQgdGhhdCBGaWd1cmUgUzMgc2hvdWxkIGJlIGFkZGVkIGhlcmUgKHlvdSBkZWxldGVkIGl0IGFuZCBpIGxlZnQgaXQsIEkgZmlndXJlZCB5b3Ugd2VyZSBpbnRlbmRpbmcgdG8gcmVwbGFjZSBpdCkqGyIVMTEyMzc0NDU3Mjc5Nzk5MjEyOTcxKAA4ADDJxPLzrzM4oZP0868zShQKCnRleHQvcGxhaW4SBkZpZ3VyZVoMeDYyd2pnZzBrMnA3cgIgAHgAmgEGCAAQABgAqgGIARKFAUp1c3QgbGVhdmluZyBhIGNvbW1lbnQgdGhhdCBGaWd1cmUgUzMgc2hvdWxkIGJlIGFkZGVkIGhlcmUgKHlvdSBkZWxldGVkIGl0IGFuZCBpIGxlZnQgaXQsIEkgZmlndXJlZCB5b3Ugd2VyZSBpbnRlbmRpbmcgdG8gcmVwbGFjZSBpdCkYycTy868zIKGT9POvM0IQa2l4LmVzdnFtaDU4cW05YjIPaWQuOGFicG13czE0eWg3OABqQwo1c3VnZ2VzdElkSW1wb3J0YzQ4OGFhNzEtYTc2OS00MTdjLTlmZjctOThlNWM4OTk4ZjY3XzQSClhpbmd5dSBMaXVqRAo2c3VnZ2VzdElkSW1wb3J0YzQ4OGFhNzEtYTc2OS00MTdjLTlmZjctOThlNWM4OTk4ZjY3XzIzEgpYaW5neXUgTGl1akQKNnN1Z2dlc3RJZEltcG9ydGM0ODhhYTcxLWE3NjktNDE3Yy05ZmY3LTk4ZTVjODk5OGY2N18yMRIKWGluZ3l1IExpdWpECjZzdWdnZXN0SWRJbXBvcnRjNDg4YWE3MS1hNzY5LTQxN2MtOWZmNy05OGU1Yzg5OThmNjdfMzISClhpbmd5dSBMaXVqRAo2c3VnZ2VzdElkSW1wb3J0YzQ4OGFhNzEtYTc2OS00MTdjLTlmZjctOThlNWM4OTk4ZjY3XzE4EgpYaW5neXUgTGl1akQKNnN1Z2dlc3RJZEltcG9ydGM0ODhhYTcxLWE3NjktNDE3Yy05ZmY3LTk4ZTVjODk5OGY2N18yNxIKWGluZ3l1IExpdWpECjZzdWdnZXN0SWRJbXBvcnRjNDg4YWE3MS1hNzY5LTQxN2MtOWZmNy05OGU1Yzg5OThmNjdfNzgSClhpbmd5dSBMaXVqRQo2c3VnZ2VzdElkSW1wb3J0YzQ4OGFhNzEtYTc2OS00MTdjLTlmZjctOThlNWM4OTk4ZjY3XzIwEgtMaXUsIFhpbmd5dWpECjVzdWdnZXN0SWRJbXBvcnRjNDg4YWE3MS1hNzY5LTQxN2MtOWZmNy05OGU1Yzg5OThmNjdfNhILTGl1LCBYaW5neXVqRQo2c3VnZ2VzdElkSW1wb3J0YzQ4OGFhNzEtYTc2OS00MTdjLTlmZjctOThlNWM4OTk4ZjY3XzI5EgtMaXUsIFhpbmd5dWpECjZzdWdnZXN0SWRJbXBvcnRjNDg4YWE3MS1hNzY5LTQxN2MtOWZmNy05OGU1Yzg5OThmNjdfNjYSClhpbmd5dSBMaXVqRQo2c3VnZ2VzdElkSW1wb3J0YzQ4OGFhNzEtYTc2OS00MTdjLTlmZjctOThlNWM4OTk4ZjY3XzI1EgtMaXUsIFhpbmd5dWpFCjZzdWdnZXN0SWRJbXBvcnRjNDg4YWE3MS1hNzY5LTQxN2MtOWZmNy05OGU1Yzg5OThmNjdfMTkSC0xpdSwgWGluZ3l1akMKNXN1Z2dlc3RJZEltcG9ydGM0ODhhYTcxLWE3NjktNDE3Yy05ZmY3LTk4ZTVjODk5OGY2N181EgpYaW5neXUgTGl1akQKNXN1Z2dlc3RJZEltcG9ydGM0ODhhYTcxLWE3NjktNDE3Yy05ZmY3LTk4ZTVjODk5OGY2N18zEgtMaXUsIFhpbmd5dWpECjZzdWdnZXN0SWRJbXBvcnRjNDg4YWE3MS1hNzY5LTQxN2MtOWZmNy05OGU1Yzg5OThmNjdfMzMSClhpbmd5dSBMaXVqRAo2c3VnZ2VzdElkSW1wb3J0YzQ4OGFhNzEtYTc2OS00MTdjLTlmZjctOThlNWM4OTk4ZjY3XzgwEgpYaW5neXUgTGl1akUKNnN1Z2dlc3RJZEltcG9ydGM0ODhhYTcxLWE3NjktNDE3Yy05ZmY3LTk4ZTVjODk5OGY2N18zNhILTGl1LCBYaW5neXVqRAo2c3VnZ2VzdElkSW1wb3J0YzQ4OGFhNzEtYTc2OS00MTdjLTlmZjctOThlNWM4OTk4ZjY3XzM3EgpYaW5neXUgTGl1ciExVDFSa1ppMFp1UEYxWU5aNFlQRmkySDZrVTFPVTFvcVc=</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2906</Words>
  <Characters>16263</Characters>
  <Lines>1432</Lines>
  <Paragraphs>608</Paragraphs>
  <TotalTime>76</TotalTime>
  <ScaleCrop>false</ScaleCrop>
  <LinksUpToDate>false</LinksUpToDate>
  <CharactersWithSpaces>18844</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2025-11-07T16:28:00Z</dcterms:created>
  <dc:creator>侠宇</dc:creator>
  <cp:lastModifiedBy>陈侠宇</cp:lastModifiedBy>
  <dcterms:modified xsi:type="dcterms:W3CDTF">2026-09-26T08:40:12Z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id="WWvsCsva"/&gt;&lt;style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KSOTemplateDocerSaveRecord">
    <vt:lpwstr>eyJoZGlkIjoiNzgwMTQzMDljNzllN2I5MmM5YWQ0MWVjZDI4ZmY3ZDkiLCJ1c2VySWQiOiIxNjkyMjE4Njg2In0=</vt:lpwstr>
  </property>
  <property fmtid="{D5CDD505-2E9C-101B-9397-08002B2CF9AE}" pid="5" name="KSOProductBuildVer">
    <vt:lpwstr>2052-12.1.0.24031</vt:lpwstr>
  </property>
  <property fmtid="{D5CDD505-2E9C-101B-9397-08002B2CF9AE}" pid="6" name="ICV">
    <vt:lpwstr>5C530600E0A64568809BEB02A146D44F_12</vt:lpwstr>
  </property>
</Properties>
</file>