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7C5FAB" w14:textId="296C163F" w:rsidR="00B3472C" w:rsidRPr="00B3472C" w:rsidRDefault="00B3472C" w:rsidP="00B3472C">
      <w:pPr>
        <w:pStyle w:val="NoSpacing"/>
        <w:jc w:val="center"/>
        <w:rPr>
          <w:rFonts w:ascii="Times New Roman" w:hAnsi="Times New Roman" w:cs="Times New Roman"/>
          <w:b/>
          <w:bCs/>
          <w:sz w:val="28"/>
          <w:szCs w:val="28"/>
          <w:lang w:val="es-PR"/>
        </w:rPr>
      </w:pPr>
      <w:r w:rsidRPr="00B3472C">
        <w:rPr>
          <w:rFonts w:ascii="Times New Roman" w:hAnsi="Times New Roman" w:cs="Times New Roman"/>
          <w:b/>
          <w:bCs/>
          <w:sz w:val="28"/>
          <w:szCs w:val="28"/>
          <w:lang w:val="es-PR"/>
        </w:rPr>
        <w:t xml:space="preserve">Infección por bacteriófagos provoca la pérdida de resistencia a los </w:t>
      </w:r>
      <w:r w:rsidRPr="00B3472C">
        <w:rPr>
          <w:rFonts w:ascii="Times New Roman" w:hAnsi="Times New Roman" w:cs="Times New Roman"/>
          <w:b/>
          <w:bCs/>
          <w:sz w:val="28"/>
          <w:szCs w:val="28"/>
        </w:rPr>
        <w:t>β</w:t>
      </w:r>
      <w:r w:rsidRPr="00B3472C">
        <w:rPr>
          <w:rFonts w:ascii="Times New Roman" w:hAnsi="Times New Roman" w:cs="Times New Roman"/>
          <w:b/>
          <w:bCs/>
          <w:sz w:val="28"/>
          <w:szCs w:val="28"/>
          <w:lang w:val="es-PR"/>
        </w:rPr>
        <w:t xml:space="preserve">-lactámicos en </w:t>
      </w:r>
      <w:r w:rsidRPr="00B3472C">
        <w:rPr>
          <w:rFonts w:ascii="Times New Roman" w:hAnsi="Times New Roman" w:cs="Times New Roman"/>
          <w:b/>
          <w:bCs/>
          <w:i/>
          <w:iCs/>
          <w:sz w:val="28"/>
          <w:szCs w:val="28"/>
          <w:lang w:val="es-PR"/>
        </w:rPr>
        <w:t>Staphylococcus aureus</w:t>
      </w:r>
      <w:r w:rsidRPr="00B3472C">
        <w:rPr>
          <w:rFonts w:ascii="Times New Roman" w:hAnsi="Times New Roman" w:cs="Times New Roman"/>
          <w:b/>
          <w:bCs/>
          <w:sz w:val="28"/>
          <w:szCs w:val="28"/>
          <w:lang w:val="es-PR"/>
        </w:rPr>
        <w:t xml:space="preserve"> resistente a la meticilina</w:t>
      </w:r>
    </w:p>
    <w:p w14:paraId="73233BC3" w14:textId="77777777" w:rsidR="00B3472C" w:rsidRPr="00B3472C" w:rsidRDefault="00B3472C" w:rsidP="00B3472C">
      <w:pPr>
        <w:pStyle w:val="NoSpacing"/>
        <w:jc w:val="center"/>
        <w:rPr>
          <w:rFonts w:ascii="Times New Roman" w:hAnsi="Times New Roman" w:cs="Times New Roman"/>
          <w:sz w:val="28"/>
          <w:szCs w:val="28"/>
          <w:lang w:val="es-PR"/>
        </w:rPr>
      </w:pPr>
    </w:p>
    <w:p w14:paraId="0ABCFE94" w14:textId="15C56DCE" w:rsidR="00B3472C" w:rsidRPr="0047696A" w:rsidRDefault="00B3472C" w:rsidP="00B3472C">
      <w:pPr>
        <w:pStyle w:val="NoSpacing"/>
        <w:jc w:val="center"/>
        <w:rPr>
          <w:rFonts w:ascii="Times New Roman" w:hAnsi="Times New Roman" w:cs="Times New Roman"/>
          <w:lang w:val="es-PR"/>
        </w:rPr>
      </w:pPr>
      <w:r w:rsidRPr="0047696A">
        <w:rPr>
          <w:rFonts w:ascii="Times New Roman" w:hAnsi="Times New Roman" w:cs="Times New Roman"/>
          <w:lang w:val="es-PR"/>
        </w:rPr>
        <w:t>My Tran*, Angel J. Hernandez Viera*, Patricia Q. Tran, Erick Nilsen, Lily Tran, Charlie Y. Mo</w:t>
      </w:r>
    </w:p>
    <w:p w14:paraId="2CDCB6B1" w14:textId="77777777" w:rsidR="00B3472C" w:rsidRDefault="00B3472C" w:rsidP="00B3472C">
      <w:pPr>
        <w:pStyle w:val="NoSpacing"/>
        <w:jc w:val="center"/>
        <w:rPr>
          <w:rFonts w:ascii="Times New Roman" w:hAnsi="Times New Roman" w:cs="Times New Roman"/>
          <w:lang w:val="es-PR"/>
        </w:rPr>
      </w:pPr>
      <w:r w:rsidRPr="00B3472C">
        <w:rPr>
          <w:rFonts w:ascii="Times New Roman" w:hAnsi="Times New Roman" w:cs="Times New Roman"/>
          <w:lang w:val="es-PR"/>
        </w:rPr>
        <w:t xml:space="preserve">Departamento de Bacteriología, Universidad de Wisconsin-Madison, EEUU  </w:t>
      </w:r>
    </w:p>
    <w:p w14:paraId="69634338" w14:textId="29B8AD4A" w:rsidR="00B3472C" w:rsidRPr="00B3472C" w:rsidRDefault="00B3472C" w:rsidP="00B3472C">
      <w:pPr>
        <w:pStyle w:val="NoSpacing"/>
        <w:jc w:val="center"/>
        <w:rPr>
          <w:rFonts w:ascii="Times New Roman" w:hAnsi="Times New Roman" w:cs="Times New Roman"/>
          <w:lang w:val="es-PR"/>
        </w:rPr>
      </w:pPr>
      <w:r w:rsidRPr="00B3472C">
        <w:rPr>
          <w:rFonts w:ascii="Times New Roman" w:hAnsi="Times New Roman" w:cs="Times New Roman"/>
          <w:lang w:val="es-PR"/>
        </w:rPr>
        <w:t>*Denota contribución igualitaria</w:t>
      </w:r>
    </w:p>
    <w:p w14:paraId="7BFFE8C2" w14:textId="1B1782B0" w:rsidR="00B3472C" w:rsidRPr="00B3472C" w:rsidRDefault="00B3472C" w:rsidP="00B3472C">
      <w:pPr>
        <w:pStyle w:val="NoSpacing"/>
        <w:jc w:val="center"/>
        <w:rPr>
          <w:rFonts w:ascii="Times New Roman" w:hAnsi="Times New Roman" w:cs="Times New Roman"/>
          <w:lang w:val="es-PR"/>
        </w:rPr>
      </w:pPr>
      <w:r w:rsidRPr="00B3472C">
        <w:rPr>
          <w:rFonts w:ascii="Times New Roman" w:hAnsi="Times New Roman" w:cs="Times New Roman"/>
          <w:lang w:val="es-PR"/>
        </w:rPr>
        <w:t xml:space="preserve">Correspondencia: </w:t>
      </w:r>
      <w:r>
        <w:fldChar w:fldCharType="begin"/>
      </w:r>
      <w:r>
        <w:instrText>HYPERLINK "mailto:cymo@wisc.edu"</w:instrText>
      </w:r>
      <w:r>
        <w:fldChar w:fldCharType="separate"/>
      </w:r>
      <w:r w:rsidRPr="00B3472C">
        <w:rPr>
          <w:rStyle w:val="Hyperlink"/>
          <w:rFonts w:ascii="Times New Roman" w:hAnsi="Times New Roman" w:cs="Times New Roman"/>
          <w:lang w:val="es-PR"/>
        </w:rPr>
        <w:t>cymo@wisc.edu</w:t>
      </w:r>
      <w:r>
        <w:fldChar w:fldCharType="end"/>
      </w:r>
    </w:p>
    <w:p w14:paraId="1B7F5BBE" w14:textId="77777777" w:rsidR="00B3472C" w:rsidRDefault="00B3472C" w:rsidP="00B3472C">
      <w:pPr>
        <w:pStyle w:val="NoSpacing"/>
        <w:rPr>
          <w:rFonts w:ascii="Times New Roman" w:hAnsi="Times New Roman" w:cs="Times New Roman"/>
          <w:lang w:val="es-PR"/>
        </w:rPr>
      </w:pPr>
    </w:p>
    <w:p w14:paraId="1A6DF0C8" w14:textId="77777777" w:rsidR="00B3472C" w:rsidRDefault="00B3472C" w:rsidP="00B3472C">
      <w:pPr>
        <w:pStyle w:val="NoSpacing"/>
        <w:rPr>
          <w:rFonts w:ascii="Times New Roman" w:hAnsi="Times New Roman" w:cs="Times New Roman"/>
          <w:lang w:val="es-PR"/>
        </w:rPr>
      </w:pPr>
    </w:p>
    <w:p w14:paraId="748E85EF" w14:textId="77777777" w:rsidR="005F08C3" w:rsidRDefault="005F08C3" w:rsidP="00B3472C">
      <w:pPr>
        <w:pStyle w:val="NoSpacing"/>
        <w:rPr>
          <w:rFonts w:ascii="Times New Roman" w:hAnsi="Times New Roman" w:cs="Times New Roman"/>
          <w:b/>
          <w:bCs/>
          <w:lang w:val="es-PR"/>
        </w:rPr>
      </w:pPr>
    </w:p>
    <w:p w14:paraId="2F7A543A" w14:textId="77777777" w:rsidR="005F08C3" w:rsidRDefault="005F08C3" w:rsidP="00B3472C">
      <w:pPr>
        <w:pStyle w:val="NoSpacing"/>
        <w:rPr>
          <w:rFonts w:ascii="Times New Roman" w:hAnsi="Times New Roman" w:cs="Times New Roman"/>
          <w:b/>
          <w:bCs/>
          <w:lang w:val="es-PR"/>
        </w:rPr>
      </w:pPr>
    </w:p>
    <w:p w14:paraId="63F41BD4" w14:textId="77777777" w:rsidR="005F08C3" w:rsidRDefault="005F08C3" w:rsidP="00B3472C">
      <w:pPr>
        <w:pStyle w:val="NoSpacing"/>
        <w:rPr>
          <w:rFonts w:ascii="Times New Roman" w:hAnsi="Times New Roman" w:cs="Times New Roman"/>
          <w:b/>
          <w:bCs/>
          <w:lang w:val="es-PR"/>
        </w:rPr>
      </w:pPr>
    </w:p>
    <w:p w14:paraId="74241410" w14:textId="77777777" w:rsidR="005F08C3" w:rsidRDefault="005F08C3" w:rsidP="00B3472C">
      <w:pPr>
        <w:pStyle w:val="NoSpacing"/>
        <w:rPr>
          <w:rFonts w:ascii="Times New Roman" w:hAnsi="Times New Roman" w:cs="Times New Roman"/>
          <w:b/>
          <w:bCs/>
          <w:lang w:val="es-PR"/>
        </w:rPr>
      </w:pPr>
    </w:p>
    <w:p w14:paraId="7717F640" w14:textId="77777777" w:rsidR="005F08C3" w:rsidRDefault="005F08C3" w:rsidP="00B3472C">
      <w:pPr>
        <w:pStyle w:val="NoSpacing"/>
        <w:rPr>
          <w:rFonts w:ascii="Times New Roman" w:hAnsi="Times New Roman" w:cs="Times New Roman"/>
          <w:b/>
          <w:bCs/>
          <w:lang w:val="es-PR"/>
        </w:rPr>
      </w:pPr>
    </w:p>
    <w:p w14:paraId="07622961" w14:textId="77777777" w:rsidR="005F08C3" w:rsidRDefault="005F08C3" w:rsidP="00B3472C">
      <w:pPr>
        <w:pStyle w:val="NoSpacing"/>
        <w:rPr>
          <w:rFonts w:ascii="Times New Roman" w:hAnsi="Times New Roman" w:cs="Times New Roman"/>
          <w:b/>
          <w:bCs/>
          <w:lang w:val="es-PR"/>
        </w:rPr>
      </w:pPr>
    </w:p>
    <w:p w14:paraId="5AB3B67F" w14:textId="77777777" w:rsidR="005F08C3" w:rsidRDefault="005F08C3" w:rsidP="00B3472C">
      <w:pPr>
        <w:pStyle w:val="NoSpacing"/>
        <w:rPr>
          <w:rFonts w:ascii="Times New Roman" w:hAnsi="Times New Roman" w:cs="Times New Roman"/>
          <w:b/>
          <w:bCs/>
          <w:lang w:val="es-PR"/>
        </w:rPr>
      </w:pPr>
    </w:p>
    <w:p w14:paraId="60572379" w14:textId="77777777" w:rsidR="005F08C3" w:rsidRDefault="005F08C3" w:rsidP="00B3472C">
      <w:pPr>
        <w:pStyle w:val="NoSpacing"/>
        <w:rPr>
          <w:rFonts w:ascii="Times New Roman" w:hAnsi="Times New Roman" w:cs="Times New Roman"/>
          <w:b/>
          <w:bCs/>
          <w:lang w:val="es-PR"/>
        </w:rPr>
      </w:pPr>
    </w:p>
    <w:p w14:paraId="26D2F80E" w14:textId="77777777" w:rsidR="005F08C3" w:rsidRDefault="005F08C3" w:rsidP="00B3472C">
      <w:pPr>
        <w:pStyle w:val="NoSpacing"/>
        <w:rPr>
          <w:rFonts w:ascii="Times New Roman" w:hAnsi="Times New Roman" w:cs="Times New Roman"/>
          <w:b/>
          <w:bCs/>
          <w:lang w:val="es-PR"/>
        </w:rPr>
      </w:pPr>
    </w:p>
    <w:p w14:paraId="6BF0BBA6" w14:textId="77777777" w:rsidR="005F08C3" w:rsidRDefault="005F08C3" w:rsidP="00B3472C">
      <w:pPr>
        <w:pStyle w:val="NoSpacing"/>
        <w:rPr>
          <w:rFonts w:ascii="Times New Roman" w:hAnsi="Times New Roman" w:cs="Times New Roman"/>
          <w:b/>
          <w:bCs/>
          <w:lang w:val="es-PR"/>
        </w:rPr>
      </w:pPr>
    </w:p>
    <w:p w14:paraId="11AB3439" w14:textId="77777777" w:rsidR="005F08C3" w:rsidRDefault="005F08C3" w:rsidP="00B3472C">
      <w:pPr>
        <w:pStyle w:val="NoSpacing"/>
        <w:rPr>
          <w:rFonts w:ascii="Times New Roman" w:hAnsi="Times New Roman" w:cs="Times New Roman"/>
          <w:b/>
          <w:bCs/>
          <w:lang w:val="es-PR"/>
        </w:rPr>
      </w:pPr>
    </w:p>
    <w:p w14:paraId="2D13B11D" w14:textId="77777777" w:rsidR="005F08C3" w:rsidRDefault="005F08C3" w:rsidP="00B3472C">
      <w:pPr>
        <w:pStyle w:val="NoSpacing"/>
        <w:rPr>
          <w:rFonts w:ascii="Times New Roman" w:hAnsi="Times New Roman" w:cs="Times New Roman"/>
          <w:b/>
          <w:bCs/>
          <w:lang w:val="es-PR"/>
        </w:rPr>
      </w:pPr>
    </w:p>
    <w:p w14:paraId="795CA964" w14:textId="77777777" w:rsidR="005F08C3" w:rsidRDefault="005F08C3" w:rsidP="00B3472C">
      <w:pPr>
        <w:pStyle w:val="NoSpacing"/>
        <w:rPr>
          <w:rFonts w:ascii="Times New Roman" w:hAnsi="Times New Roman" w:cs="Times New Roman"/>
          <w:b/>
          <w:bCs/>
          <w:lang w:val="es-PR"/>
        </w:rPr>
      </w:pPr>
    </w:p>
    <w:p w14:paraId="64257C91" w14:textId="77777777" w:rsidR="005F08C3" w:rsidRDefault="005F08C3" w:rsidP="00B3472C">
      <w:pPr>
        <w:pStyle w:val="NoSpacing"/>
        <w:rPr>
          <w:rFonts w:ascii="Times New Roman" w:hAnsi="Times New Roman" w:cs="Times New Roman"/>
          <w:b/>
          <w:bCs/>
          <w:lang w:val="es-PR"/>
        </w:rPr>
      </w:pPr>
    </w:p>
    <w:p w14:paraId="6D6B998D" w14:textId="77777777" w:rsidR="005F08C3" w:rsidRDefault="005F08C3" w:rsidP="00B3472C">
      <w:pPr>
        <w:pStyle w:val="NoSpacing"/>
        <w:rPr>
          <w:rFonts w:ascii="Times New Roman" w:hAnsi="Times New Roman" w:cs="Times New Roman"/>
          <w:b/>
          <w:bCs/>
          <w:lang w:val="es-PR"/>
        </w:rPr>
      </w:pPr>
    </w:p>
    <w:p w14:paraId="0419308B" w14:textId="77777777" w:rsidR="005F08C3" w:rsidRDefault="005F08C3" w:rsidP="00B3472C">
      <w:pPr>
        <w:pStyle w:val="NoSpacing"/>
        <w:rPr>
          <w:rFonts w:ascii="Times New Roman" w:hAnsi="Times New Roman" w:cs="Times New Roman"/>
          <w:b/>
          <w:bCs/>
          <w:lang w:val="es-PR"/>
        </w:rPr>
      </w:pPr>
    </w:p>
    <w:p w14:paraId="10E8B9E6" w14:textId="77777777" w:rsidR="005F08C3" w:rsidRDefault="005F08C3" w:rsidP="00B3472C">
      <w:pPr>
        <w:pStyle w:val="NoSpacing"/>
        <w:rPr>
          <w:rFonts w:ascii="Times New Roman" w:hAnsi="Times New Roman" w:cs="Times New Roman"/>
          <w:b/>
          <w:bCs/>
          <w:lang w:val="es-PR"/>
        </w:rPr>
      </w:pPr>
    </w:p>
    <w:p w14:paraId="1B9E7089" w14:textId="77777777" w:rsidR="005F08C3" w:rsidRDefault="005F08C3" w:rsidP="00B3472C">
      <w:pPr>
        <w:pStyle w:val="NoSpacing"/>
        <w:rPr>
          <w:rFonts w:ascii="Times New Roman" w:hAnsi="Times New Roman" w:cs="Times New Roman"/>
          <w:b/>
          <w:bCs/>
          <w:lang w:val="es-PR"/>
        </w:rPr>
      </w:pPr>
    </w:p>
    <w:p w14:paraId="1EF1EB30" w14:textId="77777777" w:rsidR="005F08C3" w:rsidRDefault="005F08C3" w:rsidP="00B3472C">
      <w:pPr>
        <w:pStyle w:val="NoSpacing"/>
        <w:rPr>
          <w:rFonts w:ascii="Times New Roman" w:hAnsi="Times New Roman" w:cs="Times New Roman"/>
          <w:b/>
          <w:bCs/>
          <w:lang w:val="es-PR"/>
        </w:rPr>
      </w:pPr>
    </w:p>
    <w:p w14:paraId="23053EE9" w14:textId="77777777" w:rsidR="005F08C3" w:rsidRDefault="005F08C3" w:rsidP="00B3472C">
      <w:pPr>
        <w:pStyle w:val="NoSpacing"/>
        <w:rPr>
          <w:rFonts w:ascii="Times New Roman" w:hAnsi="Times New Roman" w:cs="Times New Roman"/>
          <w:b/>
          <w:bCs/>
          <w:lang w:val="es-PR"/>
        </w:rPr>
      </w:pPr>
    </w:p>
    <w:p w14:paraId="31083925" w14:textId="77777777" w:rsidR="005F08C3" w:rsidRDefault="005F08C3" w:rsidP="00B3472C">
      <w:pPr>
        <w:pStyle w:val="NoSpacing"/>
        <w:rPr>
          <w:rFonts w:ascii="Times New Roman" w:hAnsi="Times New Roman" w:cs="Times New Roman"/>
          <w:b/>
          <w:bCs/>
          <w:lang w:val="es-PR"/>
        </w:rPr>
      </w:pPr>
    </w:p>
    <w:p w14:paraId="422EC645" w14:textId="77777777" w:rsidR="005F08C3" w:rsidRDefault="005F08C3" w:rsidP="00B3472C">
      <w:pPr>
        <w:pStyle w:val="NoSpacing"/>
        <w:rPr>
          <w:rFonts w:ascii="Times New Roman" w:hAnsi="Times New Roman" w:cs="Times New Roman"/>
          <w:b/>
          <w:bCs/>
          <w:lang w:val="es-PR"/>
        </w:rPr>
      </w:pPr>
    </w:p>
    <w:p w14:paraId="1E4FC8B0" w14:textId="77777777" w:rsidR="005F08C3" w:rsidRDefault="005F08C3" w:rsidP="00B3472C">
      <w:pPr>
        <w:pStyle w:val="NoSpacing"/>
        <w:rPr>
          <w:rFonts w:ascii="Times New Roman" w:hAnsi="Times New Roman" w:cs="Times New Roman"/>
          <w:b/>
          <w:bCs/>
          <w:lang w:val="es-PR"/>
        </w:rPr>
      </w:pPr>
    </w:p>
    <w:p w14:paraId="3052C458" w14:textId="77777777" w:rsidR="005F08C3" w:rsidRDefault="005F08C3" w:rsidP="00B3472C">
      <w:pPr>
        <w:pStyle w:val="NoSpacing"/>
        <w:rPr>
          <w:rFonts w:ascii="Times New Roman" w:hAnsi="Times New Roman" w:cs="Times New Roman"/>
          <w:b/>
          <w:bCs/>
          <w:lang w:val="es-PR"/>
        </w:rPr>
      </w:pPr>
    </w:p>
    <w:p w14:paraId="1867C2B8" w14:textId="77777777" w:rsidR="005F08C3" w:rsidRDefault="005F08C3" w:rsidP="00B3472C">
      <w:pPr>
        <w:pStyle w:val="NoSpacing"/>
        <w:rPr>
          <w:rFonts w:ascii="Times New Roman" w:hAnsi="Times New Roman" w:cs="Times New Roman"/>
          <w:b/>
          <w:bCs/>
          <w:lang w:val="es-PR"/>
        </w:rPr>
      </w:pPr>
    </w:p>
    <w:p w14:paraId="76D5442E" w14:textId="77777777" w:rsidR="005F08C3" w:rsidRDefault="005F08C3" w:rsidP="00B3472C">
      <w:pPr>
        <w:pStyle w:val="NoSpacing"/>
        <w:rPr>
          <w:rFonts w:ascii="Times New Roman" w:hAnsi="Times New Roman" w:cs="Times New Roman"/>
          <w:b/>
          <w:bCs/>
          <w:lang w:val="es-PR"/>
        </w:rPr>
      </w:pPr>
    </w:p>
    <w:p w14:paraId="5FE871C6" w14:textId="77777777" w:rsidR="005F08C3" w:rsidRDefault="005F08C3" w:rsidP="00B3472C">
      <w:pPr>
        <w:pStyle w:val="NoSpacing"/>
        <w:rPr>
          <w:rFonts w:ascii="Times New Roman" w:hAnsi="Times New Roman" w:cs="Times New Roman"/>
          <w:b/>
          <w:bCs/>
          <w:lang w:val="es-PR"/>
        </w:rPr>
      </w:pPr>
    </w:p>
    <w:p w14:paraId="02F78DD8" w14:textId="77777777" w:rsidR="005F08C3" w:rsidRDefault="005F08C3" w:rsidP="00B3472C">
      <w:pPr>
        <w:pStyle w:val="NoSpacing"/>
        <w:rPr>
          <w:rFonts w:ascii="Times New Roman" w:hAnsi="Times New Roman" w:cs="Times New Roman"/>
          <w:b/>
          <w:bCs/>
          <w:lang w:val="es-PR"/>
        </w:rPr>
      </w:pPr>
    </w:p>
    <w:p w14:paraId="74D4FFDD" w14:textId="77777777" w:rsidR="005F08C3" w:rsidRDefault="005F08C3" w:rsidP="00B3472C">
      <w:pPr>
        <w:pStyle w:val="NoSpacing"/>
        <w:rPr>
          <w:rFonts w:ascii="Times New Roman" w:hAnsi="Times New Roman" w:cs="Times New Roman"/>
          <w:b/>
          <w:bCs/>
          <w:lang w:val="es-PR"/>
        </w:rPr>
      </w:pPr>
    </w:p>
    <w:p w14:paraId="0CC00D98" w14:textId="77777777" w:rsidR="005F08C3" w:rsidRDefault="005F08C3" w:rsidP="00B3472C">
      <w:pPr>
        <w:pStyle w:val="NoSpacing"/>
        <w:rPr>
          <w:rFonts w:ascii="Times New Roman" w:hAnsi="Times New Roman" w:cs="Times New Roman"/>
          <w:b/>
          <w:bCs/>
          <w:lang w:val="es-PR"/>
        </w:rPr>
      </w:pPr>
    </w:p>
    <w:p w14:paraId="3E023D60" w14:textId="77777777" w:rsidR="005F08C3" w:rsidRDefault="005F08C3" w:rsidP="00B3472C">
      <w:pPr>
        <w:pStyle w:val="NoSpacing"/>
        <w:rPr>
          <w:rFonts w:ascii="Times New Roman" w:hAnsi="Times New Roman" w:cs="Times New Roman"/>
          <w:b/>
          <w:bCs/>
          <w:lang w:val="es-PR"/>
        </w:rPr>
      </w:pPr>
    </w:p>
    <w:p w14:paraId="57921CBB" w14:textId="77777777" w:rsidR="005F08C3" w:rsidRDefault="005F08C3" w:rsidP="00B3472C">
      <w:pPr>
        <w:pStyle w:val="NoSpacing"/>
        <w:rPr>
          <w:rFonts w:ascii="Times New Roman" w:hAnsi="Times New Roman" w:cs="Times New Roman"/>
          <w:b/>
          <w:bCs/>
          <w:lang w:val="es-PR"/>
        </w:rPr>
      </w:pPr>
    </w:p>
    <w:p w14:paraId="100E2AC2" w14:textId="77777777" w:rsidR="005F08C3" w:rsidRDefault="005F08C3" w:rsidP="00B3472C">
      <w:pPr>
        <w:pStyle w:val="NoSpacing"/>
        <w:rPr>
          <w:rFonts w:ascii="Times New Roman" w:hAnsi="Times New Roman" w:cs="Times New Roman"/>
          <w:b/>
          <w:bCs/>
          <w:lang w:val="es-PR"/>
        </w:rPr>
      </w:pPr>
    </w:p>
    <w:p w14:paraId="13AE6274" w14:textId="77777777" w:rsidR="005F08C3" w:rsidRDefault="005F08C3" w:rsidP="00B3472C">
      <w:pPr>
        <w:pStyle w:val="NoSpacing"/>
        <w:rPr>
          <w:rFonts w:ascii="Times New Roman" w:hAnsi="Times New Roman" w:cs="Times New Roman"/>
          <w:b/>
          <w:bCs/>
          <w:lang w:val="es-PR"/>
        </w:rPr>
      </w:pPr>
    </w:p>
    <w:p w14:paraId="3C415466" w14:textId="77777777" w:rsidR="005F08C3" w:rsidRDefault="005F08C3" w:rsidP="00B3472C">
      <w:pPr>
        <w:pStyle w:val="NoSpacing"/>
        <w:rPr>
          <w:rFonts w:ascii="Times New Roman" w:hAnsi="Times New Roman" w:cs="Times New Roman"/>
          <w:b/>
          <w:bCs/>
          <w:lang w:val="es-PR"/>
        </w:rPr>
      </w:pPr>
    </w:p>
    <w:p w14:paraId="574F7609" w14:textId="77777777" w:rsidR="005F08C3" w:rsidRDefault="005F08C3" w:rsidP="00B3472C">
      <w:pPr>
        <w:pStyle w:val="NoSpacing"/>
        <w:rPr>
          <w:rFonts w:ascii="Times New Roman" w:hAnsi="Times New Roman" w:cs="Times New Roman"/>
          <w:b/>
          <w:bCs/>
          <w:lang w:val="es-PR"/>
        </w:rPr>
      </w:pPr>
    </w:p>
    <w:p w14:paraId="4DF0DDF6" w14:textId="77777777" w:rsidR="005F08C3" w:rsidRDefault="005F08C3" w:rsidP="00B3472C">
      <w:pPr>
        <w:pStyle w:val="NoSpacing"/>
        <w:rPr>
          <w:rFonts w:ascii="Times New Roman" w:hAnsi="Times New Roman" w:cs="Times New Roman"/>
          <w:b/>
          <w:bCs/>
          <w:lang w:val="es-PR"/>
        </w:rPr>
      </w:pPr>
    </w:p>
    <w:p w14:paraId="4DE5E49F" w14:textId="1E701C0D" w:rsidR="00B3472C" w:rsidRPr="006E5DBB" w:rsidRDefault="00B3472C" w:rsidP="00B3472C">
      <w:pPr>
        <w:pStyle w:val="NoSpacing"/>
        <w:rPr>
          <w:rFonts w:ascii="Times New Roman" w:hAnsi="Times New Roman" w:cs="Times New Roman"/>
          <w:b/>
          <w:bCs/>
          <w:lang w:val="es-PR"/>
        </w:rPr>
      </w:pPr>
      <w:r w:rsidRPr="006E5DBB">
        <w:rPr>
          <w:rFonts w:ascii="Times New Roman" w:hAnsi="Times New Roman" w:cs="Times New Roman"/>
          <w:b/>
          <w:bCs/>
          <w:lang w:val="es-PR"/>
        </w:rPr>
        <w:lastRenderedPageBreak/>
        <w:t>Resumen</w:t>
      </w:r>
    </w:p>
    <w:p w14:paraId="7F0AAB20" w14:textId="0B7E8C52" w:rsidR="00B3472C" w:rsidRDefault="00A124E2" w:rsidP="00B3472C">
      <w:pPr>
        <w:pStyle w:val="NoSpacing"/>
        <w:rPr>
          <w:rFonts w:ascii="Times New Roman" w:hAnsi="Times New Roman" w:cs="Times New Roman"/>
          <w:lang w:val="es-PR"/>
        </w:rPr>
      </w:pPr>
      <w:r w:rsidRPr="00A124E2">
        <w:rPr>
          <w:rFonts w:ascii="Times New Roman" w:hAnsi="Times New Roman" w:cs="Times New Roman"/>
          <w:lang w:val="es-PR"/>
        </w:rPr>
        <w:t xml:space="preserve">La terapia </w:t>
      </w:r>
      <w:r w:rsidR="000364B3">
        <w:rPr>
          <w:rFonts w:ascii="Times New Roman" w:hAnsi="Times New Roman" w:cs="Times New Roman"/>
          <w:lang w:val="es-PR"/>
        </w:rPr>
        <w:t>de</w:t>
      </w:r>
      <w:r w:rsidRPr="00A124E2">
        <w:rPr>
          <w:rFonts w:ascii="Times New Roman" w:hAnsi="Times New Roman" w:cs="Times New Roman"/>
          <w:lang w:val="es-PR"/>
        </w:rPr>
        <w:t xml:space="preserve"> bacteriófagos (fagos) es un método prometedor para combatir patógenos bacterianos resistentes a </w:t>
      </w:r>
      <w:r w:rsidR="00C00DB3">
        <w:rPr>
          <w:rFonts w:ascii="Times New Roman" w:hAnsi="Times New Roman" w:cs="Times New Roman"/>
          <w:lang w:val="es-PR"/>
        </w:rPr>
        <w:t>antibióticos</w:t>
      </w:r>
      <w:r w:rsidRPr="00A124E2">
        <w:rPr>
          <w:rFonts w:ascii="Times New Roman" w:hAnsi="Times New Roman" w:cs="Times New Roman"/>
          <w:lang w:val="es-PR"/>
        </w:rPr>
        <w:t xml:space="preserve">. La infección por fagos puede seleccionar mutaciones en poblaciones bacterianas que confieren resistencia a la infección por fagos. </w:t>
      </w:r>
      <w:r w:rsidRPr="00526B4D">
        <w:rPr>
          <w:rFonts w:ascii="Times New Roman" w:hAnsi="Times New Roman" w:cs="Times New Roman"/>
          <w:lang w:val="es-PR"/>
        </w:rPr>
        <w:t xml:space="preserve">Sin embargo, la resistencia a los fagos puede generar compensaciones </w:t>
      </w:r>
      <w:r w:rsidR="00526B4D" w:rsidRPr="00526B4D">
        <w:rPr>
          <w:rFonts w:ascii="Times New Roman" w:hAnsi="Times New Roman" w:cs="Times New Roman"/>
          <w:lang w:val="es-PR"/>
        </w:rPr>
        <w:t xml:space="preserve">o contrapartidas </w:t>
      </w:r>
      <w:r w:rsidRPr="00526B4D">
        <w:rPr>
          <w:rFonts w:ascii="Times New Roman" w:hAnsi="Times New Roman" w:cs="Times New Roman"/>
          <w:lang w:val="es-PR"/>
        </w:rPr>
        <w:t>evolutivas de relevancia biomédica</w:t>
      </w:r>
      <w:r w:rsidRPr="00A124E2">
        <w:rPr>
          <w:rFonts w:ascii="Times New Roman" w:hAnsi="Times New Roman" w:cs="Times New Roman"/>
          <w:lang w:val="es-PR"/>
        </w:rPr>
        <w:t xml:space="preserve">. En </w:t>
      </w:r>
      <w:r>
        <w:rPr>
          <w:rFonts w:ascii="Times New Roman" w:hAnsi="Times New Roman" w:cs="Times New Roman"/>
          <w:lang w:val="es-PR"/>
        </w:rPr>
        <w:t>esta publicación</w:t>
      </w:r>
      <w:r w:rsidRPr="00A124E2">
        <w:rPr>
          <w:rFonts w:ascii="Times New Roman" w:hAnsi="Times New Roman" w:cs="Times New Roman"/>
          <w:lang w:val="es-PR"/>
        </w:rPr>
        <w:t xml:space="preserve">, informamos del descubrimiento de que la infección por ciertos fagos estafilocócicos sensibiliza a diferentes cepas de </w:t>
      </w:r>
      <w:r w:rsidRPr="00925F3D">
        <w:rPr>
          <w:rFonts w:ascii="Times New Roman" w:hAnsi="Times New Roman" w:cs="Times New Roman"/>
          <w:i/>
          <w:iCs/>
          <w:lang w:val="es-PR"/>
        </w:rPr>
        <w:t>Staphylococcus aureus</w:t>
      </w:r>
      <w:r w:rsidRPr="00A124E2">
        <w:rPr>
          <w:rFonts w:ascii="Times New Roman" w:hAnsi="Times New Roman" w:cs="Times New Roman"/>
          <w:lang w:val="es-PR"/>
        </w:rPr>
        <w:t xml:space="preserve"> resistente a la meticilina (SARM) a los β-lactámicos, una clase de antibióticos contra los cuales el SARM </w:t>
      </w:r>
      <w:r>
        <w:rPr>
          <w:rFonts w:ascii="Times New Roman" w:hAnsi="Times New Roman" w:cs="Times New Roman"/>
          <w:lang w:val="es-PR"/>
        </w:rPr>
        <w:t xml:space="preserve">es </w:t>
      </w:r>
      <w:r w:rsidRPr="00A124E2">
        <w:rPr>
          <w:rFonts w:ascii="Times New Roman" w:hAnsi="Times New Roman" w:cs="Times New Roman"/>
          <w:lang w:val="es-PR"/>
        </w:rPr>
        <w:t xml:space="preserve">resistente. Las </w:t>
      </w:r>
      <w:r>
        <w:rPr>
          <w:rFonts w:ascii="Times New Roman" w:hAnsi="Times New Roman" w:cs="Times New Roman"/>
          <w:lang w:val="es-PR"/>
        </w:rPr>
        <w:t>bacterias</w:t>
      </w:r>
      <w:r w:rsidRPr="00A124E2">
        <w:rPr>
          <w:rFonts w:ascii="Times New Roman" w:hAnsi="Times New Roman" w:cs="Times New Roman"/>
          <w:lang w:val="es-PR"/>
        </w:rPr>
        <w:t xml:space="preserve"> de SARM que sobreviven a la infección por estos fagos muestran reducciones significativas en </w:t>
      </w:r>
      <w:r w:rsidRPr="00EB369B">
        <w:rPr>
          <w:rFonts w:ascii="Times New Roman" w:hAnsi="Times New Roman" w:cs="Times New Roman"/>
          <w:lang w:val="es-PR"/>
        </w:rPr>
        <w:t>la concentración inhibitoria mínima (CMI)</w:t>
      </w:r>
      <w:r w:rsidRPr="00A124E2">
        <w:rPr>
          <w:rFonts w:ascii="Times New Roman" w:hAnsi="Times New Roman" w:cs="Times New Roman"/>
          <w:lang w:val="es-PR"/>
        </w:rPr>
        <w:t xml:space="preserve"> contra diferentes β-lactámicos en comparación con las bacterias no infectadas. El perfil transcriptómico revela que estas cepas evolucionadas de SARM poseen perfiles transcripcionales altamente modulados, donde numerosos genes involucrados en la virulencia de </w:t>
      </w:r>
      <w:r w:rsidRPr="00A124E2">
        <w:rPr>
          <w:rFonts w:ascii="Times New Roman" w:hAnsi="Times New Roman" w:cs="Times New Roman"/>
          <w:i/>
          <w:iCs/>
          <w:lang w:val="es-PR"/>
        </w:rPr>
        <w:t>S. aureus</w:t>
      </w:r>
      <w:r w:rsidRPr="00A124E2">
        <w:rPr>
          <w:rFonts w:ascii="Times New Roman" w:hAnsi="Times New Roman" w:cs="Times New Roman"/>
          <w:lang w:val="es-PR"/>
        </w:rPr>
        <w:t xml:space="preserve"> fueron </w:t>
      </w:r>
      <w:r w:rsidR="00C87793">
        <w:rPr>
          <w:rFonts w:ascii="Times New Roman" w:hAnsi="Times New Roman" w:cs="Times New Roman"/>
          <w:lang w:val="es-PR"/>
        </w:rPr>
        <w:t>subexpresados</w:t>
      </w:r>
      <w:r w:rsidRPr="00A124E2">
        <w:rPr>
          <w:rFonts w:ascii="Times New Roman" w:hAnsi="Times New Roman" w:cs="Times New Roman"/>
          <w:lang w:val="es-PR"/>
        </w:rPr>
        <w:t>. El SARM tratado con fagos mostró fenotipos de virulencia atenuados, en forma de reducción de hemólisis y agregación</w:t>
      </w:r>
      <w:r>
        <w:rPr>
          <w:rFonts w:ascii="Times New Roman" w:hAnsi="Times New Roman" w:cs="Times New Roman"/>
          <w:lang w:val="es-PR"/>
        </w:rPr>
        <w:t xml:space="preserve"> mediada por fibronectina</w:t>
      </w:r>
      <w:r w:rsidRPr="00A124E2">
        <w:rPr>
          <w:rFonts w:ascii="Times New Roman" w:hAnsi="Times New Roman" w:cs="Times New Roman"/>
          <w:lang w:val="es-PR"/>
        </w:rPr>
        <w:t xml:space="preserve">. A pesar de compartir fenotipos similares, el análisis de secuenciación </w:t>
      </w:r>
      <w:r w:rsidR="00C00DB3">
        <w:rPr>
          <w:rFonts w:ascii="Times New Roman" w:hAnsi="Times New Roman" w:cs="Times New Roman"/>
          <w:lang w:val="es-PR"/>
        </w:rPr>
        <w:t>del genoma</w:t>
      </w:r>
      <w:r w:rsidRPr="00A124E2">
        <w:rPr>
          <w:rFonts w:ascii="Times New Roman" w:hAnsi="Times New Roman" w:cs="Times New Roman"/>
          <w:lang w:val="es-PR"/>
        </w:rPr>
        <w:t xml:space="preserve"> reveló que las diferentes cepas de SARM desarrollaron perfiles genéticos únicos durante la infección. Estos resultados sugieren trayectorias evolutivas complejas en el SARM durante la depredación por fagos y abren nuevas posibilidades para reducir la resistencia a </w:t>
      </w:r>
      <w:r w:rsidR="00C00DB3">
        <w:rPr>
          <w:rFonts w:ascii="Times New Roman" w:hAnsi="Times New Roman" w:cs="Times New Roman"/>
          <w:lang w:val="es-PR"/>
        </w:rPr>
        <w:t>antibióticos</w:t>
      </w:r>
      <w:r w:rsidRPr="00A124E2">
        <w:rPr>
          <w:rFonts w:ascii="Times New Roman" w:hAnsi="Times New Roman" w:cs="Times New Roman"/>
          <w:lang w:val="es-PR"/>
        </w:rPr>
        <w:t xml:space="preserve"> y virulencia en las infecciones por SARM.</w:t>
      </w:r>
    </w:p>
    <w:p w14:paraId="47552EC0" w14:textId="77777777" w:rsidR="005F08C3" w:rsidRDefault="005F08C3" w:rsidP="00B3472C">
      <w:pPr>
        <w:pStyle w:val="NoSpacing"/>
        <w:rPr>
          <w:rFonts w:ascii="Times New Roman" w:hAnsi="Times New Roman" w:cs="Times New Roman"/>
          <w:lang w:val="es-PR"/>
        </w:rPr>
      </w:pPr>
    </w:p>
    <w:p w14:paraId="5F068444" w14:textId="77777777" w:rsidR="005F08C3" w:rsidRDefault="005F08C3" w:rsidP="00B3472C">
      <w:pPr>
        <w:pStyle w:val="NoSpacing"/>
        <w:rPr>
          <w:rFonts w:ascii="Times New Roman" w:hAnsi="Times New Roman" w:cs="Times New Roman"/>
          <w:lang w:val="es-PR"/>
        </w:rPr>
      </w:pPr>
    </w:p>
    <w:p w14:paraId="4759D77A" w14:textId="531B7E33" w:rsidR="005F08C3" w:rsidRDefault="005F08C3" w:rsidP="00B3472C">
      <w:pPr>
        <w:pStyle w:val="NoSpacing"/>
        <w:rPr>
          <w:rFonts w:ascii="Times New Roman" w:hAnsi="Times New Roman" w:cs="Times New Roman"/>
          <w:b/>
          <w:bCs/>
          <w:lang w:val="es-PR"/>
        </w:rPr>
      </w:pPr>
      <w:r>
        <w:rPr>
          <w:rFonts w:ascii="Times New Roman" w:hAnsi="Times New Roman" w:cs="Times New Roman"/>
          <w:b/>
          <w:bCs/>
          <w:lang w:val="es-PR"/>
        </w:rPr>
        <w:t>Declaración de Impacto</w:t>
      </w:r>
    </w:p>
    <w:p w14:paraId="7B505B4B" w14:textId="017D8B2F" w:rsidR="005F08C3" w:rsidRPr="005F08C3" w:rsidRDefault="005F08C3" w:rsidP="00B3472C">
      <w:pPr>
        <w:pStyle w:val="NoSpacing"/>
        <w:rPr>
          <w:rFonts w:ascii="Times New Roman" w:hAnsi="Times New Roman" w:cs="Times New Roman"/>
          <w:lang w:val="es-PR"/>
        </w:rPr>
      </w:pPr>
      <w:r w:rsidRPr="005F08C3">
        <w:rPr>
          <w:rFonts w:ascii="Times New Roman" w:hAnsi="Times New Roman" w:cs="Times New Roman"/>
          <w:lang w:val="es-PR"/>
        </w:rPr>
        <w:t xml:space="preserve">La evolución de la resistencia a bacteriófagos resensibiliza a </w:t>
      </w:r>
      <w:r w:rsidRPr="005F08C3">
        <w:rPr>
          <w:rFonts w:ascii="Times New Roman" w:hAnsi="Times New Roman" w:cs="Times New Roman"/>
          <w:i/>
          <w:iCs/>
          <w:lang w:val="es-PR"/>
        </w:rPr>
        <w:t>Staphylococcus aureus</w:t>
      </w:r>
      <w:r w:rsidRPr="005F08C3">
        <w:rPr>
          <w:rFonts w:ascii="Times New Roman" w:hAnsi="Times New Roman" w:cs="Times New Roman"/>
          <w:lang w:val="es-PR"/>
        </w:rPr>
        <w:t xml:space="preserve"> resistente a la meticilina a los antibióticos β-lactámicos.</w:t>
      </w:r>
    </w:p>
    <w:p w14:paraId="208A32A1" w14:textId="77777777" w:rsidR="005F08C3" w:rsidRPr="005F08C3" w:rsidRDefault="005F08C3" w:rsidP="00B3472C">
      <w:pPr>
        <w:pStyle w:val="NoSpacing"/>
        <w:rPr>
          <w:rFonts w:ascii="Times New Roman" w:hAnsi="Times New Roman" w:cs="Times New Roman"/>
          <w:lang w:val="es-PR"/>
        </w:rPr>
      </w:pPr>
    </w:p>
    <w:p w14:paraId="7E12CF69" w14:textId="77777777" w:rsidR="00C00DB3" w:rsidRDefault="00C00DB3" w:rsidP="00B3472C">
      <w:pPr>
        <w:pStyle w:val="NoSpacing"/>
        <w:rPr>
          <w:rFonts w:ascii="Times New Roman" w:hAnsi="Times New Roman" w:cs="Times New Roman"/>
          <w:lang w:val="es-PR"/>
        </w:rPr>
      </w:pPr>
    </w:p>
    <w:p w14:paraId="066C394A" w14:textId="77777777" w:rsidR="00C00DB3" w:rsidRDefault="00C00DB3" w:rsidP="00B3472C">
      <w:pPr>
        <w:pStyle w:val="NoSpacing"/>
        <w:rPr>
          <w:rFonts w:ascii="Times New Roman" w:hAnsi="Times New Roman" w:cs="Times New Roman"/>
          <w:lang w:val="es-PR"/>
        </w:rPr>
      </w:pPr>
    </w:p>
    <w:p w14:paraId="74F944DF" w14:textId="77777777" w:rsidR="00C00DB3" w:rsidRDefault="00C00DB3" w:rsidP="00B3472C">
      <w:pPr>
        <w:pStyle w:val="NoSpacing"/>
        <w:rPr>
          <w:rFonts w:ascii="Times New Roman" w:hAnsi="Times New Roman" w:cs="Times New Roman"/>
          <w:lang w:val="es-PR"/>
        </w:rPr>
      </w:pPr>
    </w:p>
    <w:p w14:paraId="79FABB79" w14:textId="77777777" w:rsidR="00C00DB3" w:rsidRDefault="00C00DB3" w:rsidP="00B3472C">
      <w:pPr>
        <w:pStyle w:val="NoSpacing"/>
        <w:rPr>
          <w:rFonts w:ascii="Times New Roman" w:hAnsi="Times New Roman" w:cs="Times New Roman"/>
          <w:lang w:val="es-PR"/>
        </w:rPr>
      </w:pPr>
    </w:p>
    <w:p w14:paraId="79A81717" w14:textId="77777777" w:rsidR="00C00DB3" w:rsidRDefault="00C00DB3" w:rsidP="00B3472C">
      <w:pPr>
        <w:pStyle w:val="NoSpacing"/>
        <w:rPr>
          <w:rFonts w:ascii="Times New Roman" w:hAnsi="Times New Roman" w:cs="Times New Roman"/>
          <w:lang w:val="es-PR"/>
        </w:rPr>
      </w:pPr>
    </w:p>
    <w:p w14:paraId="29304AEF" w14:textId="77777777" w:rsidR="00C00DB3" w:rsidRDefault="00C00DB3" w:rsidP="00B3472C">
      <w:pPr>
        <w:pStyle w:val="NoSpacing"/>
        <w:rPr>
          <w:rFonts w:ascii="Times New Roman" w:hAnsi="Times New Roman" w:cs="Times New Roman"/>
          <w:lang w:val="es-PR"/>
        </w:rPr>
      </w:pPr>
    </w:p>
    <w:p w14:paraId="67CA50DE" w14:textId="77777777" w:rsidR="00C00DB3" w:rsidRDefault="00C00DB3" w:rsidP="00B3472C">
      <w:pPr>
        <w:pStyle w:val="NoSpacing"/>
        <w:rPr>
          <w:rFonts w:ascii="Times New Roman" w:hAnsi="Times New Roman" w:cs="Times New Roman"/>
          <w:lang w:val="es-PR"/>
        </w:rPr>
      </w:pPr>
    </w:p>
    <w:p w14:paraId="6302EC1E" w14:textId="77777777" w:rsidR="00C00DB3" w:rsidRDefault="00C00DB3" w:rsidP="00B3472C">
      <w:pPr>
        <w:pStyle w:val="NoSpacing"/>
        <w:rPr>
          <w:rFonts w:ascii="Times New Roman" w:hAnsi="Times New Roman" w:cs="Times New Roman"/>
          <w:lang w:val="es-PR"/>
        </w:rPr>
      </w:pPr>
    </w:p>
    <w:p w14:paraId="7EF8F237" w14:textId="77777777" w:rsidR="00C00DB3" w:rsidRDefault="00C00DB3" w:rsidP="00B3472C">
      <w:pPr>
        <w:pStyle w:val="NoSpacing"/>
        <w:rPr>
          <w:rFonts w:ascii="Times New Roman" w:hAnsi="Times New Roman" w:cs="Times New Roman"/>
          <w:lang w:val="es-PR"/>
        </w:rPr>
      </w:pPr>
    </w:p>
    <w:p w14:paraId="20EEF50B" w14:textId="77777777" w:rsidR="00C00DB3" w:rsidRDefault="00C00DB3" w:rsidP="00B3472C">
      <w:pPr>
        <w:pStyle w:val="NoSpacing"/>
        <w:rPr>
          <w:rFonts w:ascii="Times New Roman" w:hAnsi="Times New Roman" w:cs="Times New Roman"/>
          <w:lang w:val="es-PR"/>
        </w:rPr>
      </w:pPr>
    </w:p>
    <w:p w14:paraId="271B0B4E" w14:textId="77777777" w:rsidR="00C00DB3" w:rsidRDefault="00C00DB3" w:rsidP="00B3472C">
      <w:pPr>
        <w:pStyle w:val="NoSpacing"/>
        <w:rPr>
          <w:rFonts w:ascii="Times New Roman" w:hAnsi="Times New Roman" w:cs="Times New Roman"/>
          <w:lang w:val="es-PR"/>
        </w:rPr>
      </w:pPr>
    </w:p>
    <w:p w14:paraId="7530D368" w14:textId="77777777" w:rsidR="00C00DB3" w:rsidRDefault="00C00DB3" w:rsidP="00B3472C">
      <w:pPr>
        <w:pStyle w:val="NoSpacing"/>
        <w:rPr>
          <w:rFonts w:ascii="Times New Roman" w:hAnsi="Times New Roman" w:cs="Times New Roman"/>
          <w:lang w:val="es-PR"/>
        </w:rPr>
      </w:pPr>
    </w:p>
    <w:p w14:paraId="302571FB" w14:textId="77777777" w:rsidR="00C00DB3" w:rsidRDefault="00C00DB3" w:rsidP="00B3472C">
      <w:pPr>
        <w:pStyle w:val="NoSpacing"/>
        <w:rPr>
          <w:rFonts w:ascii="Times New Roman" w:hAnsi="Times New Roman" w:cs="Times New Roman"/>
          <w:lang w:val="es-PR"/>
        </w:rPr>
      </w:pPr>
    </w:p>
    <w:p w14:paraId="3867484E" w14:textId="77777777" w:rsidR="00C00DB3" w:rsidRDefault="00C00DB3" w:rsidP="00B3472C">
      <w:pPr>
        <w:pStyle w:val="NoSpacing"/>
        <w:rPr>
          <w:rFonts w:ascii="Times New Roman" w:hAnsi="Times New Roman" w:cs="Times New Roman"/>
          <w:lang w:val="es-PR"/>
        </w:rPr>
      </w:pPr>
    </w:p>
    <w:p w14:paraId="568B931C" w14:textId="77777777" w:rsidR="00C00DB3" w:rsidRDefault="00C00DB3" w:rsidP="00B3472C">
      <w:pPr>
        <w:pStyle w:val="NoSpacing"/>
        <w:rPr>
          <w:rFonts w:ascii="Times New Roman" w:hAnsi="Times New Roman" w:cs="Times New Roman"/>
          <w:lang w:val="es-PR"/>
        </w:rPr>
      </w:pPr>
    </w:p>
    <w:p w14:paraId="23271725" w14:textId="77777777" w:rsidR="00C00DB3" w:rsidRDefault="00C00DB3" w:rsidP="00B3472C">
      <w:pPr>
        <w:pStyle w:val="NoSpacing"/>
        <w:rPr>
          <w:rFonts w:ascii="Times New Roman" w:hAnsi="Times New Roman" w:cs="Times New Roman"/>
          <w:lang w:val="es-PR"/>
        </w:rPr>
      </w:pPr>
    </w:p>
    <w:p w14:paraId="262DFB4E" w14:textId="77777777" w:rsidR="00C00DB3" w:rsidRDefault="00C00DB3" w:rsidP="00B3472C">
      <w:pPr>
        <w:pStyle w:val="NoSpacing"/>
        <w:rPr>
          <w:rFonts w:ascii="Times New Roman" w:hAnsi="Times New Roman" w:cs="Times New Roman"/>
          <w:lang w:val="es-PR"/>
        </w:rPr>
      </w:pPr>
    </w:p>
    <w:p w14:paraId="48A387DD" w14:textId="77777777" w:rsidR="00C00DB3" w:rsidRDefault="00C00DB3" w:rsidP="00B3472C">
      <w:pPr>
        <w:pStyle w:val="NoSpacing"/>
        <w:rPr>
          <w:rFonts w:ascii="Times New Roman" w:hAnsi="Times New Roman" w:cs="Times New Roman"/>
          <w:lang w:val="es-PR"/>
        </w:rPr>
      </w:pPr>
    </w:p>
    <w:p w14:paraId="6E1AEE42" w14:textId="77777777" w:rsidR="005F08C3" w:rsidRDefault="005F08C3" w:rsidP="00B3472C">
      <w:pPr>
        <w:pStyle w:val="NoSpacing"/>
        <w:rPr>
          <w:rFonts w:ascii="Times New Roman" w:hAnsi="Times New Roman" w:cs="Times New Roman"/>
          <w:b/>
          <w:bCs/>
          <w:lang w:val="es-PR"/>
        </w:rPr>
      </w:pPr>
    </w:p>
    <w:p w14:paraId="3C73E6C6" w14:textId="77777777" w:rsidR="005F08C3" w:rsidRDefault="005F08C3" w:rsidP="00B3472C">
      <w:pPr>
        <w:pStyle w:val="NoSpacing"/>
        <w:rPr>
          <w:rFonts w:ascii="Times New Roman" w:hAnsi="Times New Roman" w:cs="Times New Roman"/>
          <w:b/>
          <w:bCs/>
          <w:lang w:val="es-PR"/>
        </w:rPr>
      </w:pPr>
    </w:p>
    <w:p w14:paraId="6C7E4ED9" w14:textId="77777777" w:rsidR="005F08C3" w:rsidRDefault="005F08C3" w:rsidP="00B3472C">
      <w:pPr>
        <w:pStyle w:val="NoSpacing"/>
        <w:rPr>
          <w:rFonts w:ascii="Times New Roman" w:hAnsi="Times New Roman" w:cs="Times New Roman"/>
          <w:b/>
          <w:bCs/>
          <w:lang w:val="es-PR"/>
        </w:rPr>
      </w:pPr>
    </w:p>
    <w:p w14:paraId="4BAA1D05" w14:textId="45691CAF" w:rsidR="00C00DB3" w:rsidRPr="006E5DBB" w:rsidRDefault="00C00DB3" w:rsidP="00B3472C">
      <w:pPr>
        <w:pStyle w:val="NoSpacing"/>
        <w:rPr>
          <w:rFonts w:ascii="Times New Roman" w:hAnsi="Times New Roman" w:cs="Times New Roman"/>
          <w:b/>
          <w:bCs/>
          <w:lang w:val="es-PR"/>
        </w:rPr>
      </w:pPr>
      <w:r w:rsidRPr="006E5DBB">
        <w:rPr>
          <w:rFonts w:ascii="Times New Roman" w:hAnsi="Times New Roman" w:cs="Times New Roman"/>
          <w:b/>
          <w:bCs/>
          <w:lang w:val="es-PR"/>
        </w:rPr>
        <w:lastRenderedPageBreak/>
        <w:t>Introducción</w:t>
      </w:r>
    </w:p>
    <w:p w14:paraId="041939B1" w14:textId="007FC438" w:rsidR="00C00DB3" w:rsidRPr="00C00DB3" w:rsidRDefault="00C00DB3" w:rsidP="00C00DB3">
      <w:pPr>
        <w:pStyle w:val="NoSpacing"/>
        <w:rPr>
          <w:rFonts w:ascii="Times New Roman" w:hAnsi="Times New Roman" w:cs="Times New Roman"/>
          <w:lang w:val="es-PR"/>
        </w:rPr>
      </w:pPr>
      <w:r w:rsidRPr="00C00DB3">
        <w:rPr>
          <w:rFonts w:ascii="Times New Roman" w:hAnsi="Times New Roman" w:cs="Times New Roman"/>
          <w:i/>
          <w:iCs/>
          <w:lang w:val="es-PR"/>
        </w:rPr>
        <w:t>Staphylococcus aureus</w:t>
      </w:r>
      <w:r w:rsidRPr="00C00DB3">
        <w:rPr>
          <w:rFonts w:ascii="Times New Roman" w:hAnsi="Times New Roman" w:cs="Times New Roman"/>
          <w:lang w:val="es-PR"/>
        </w:rPr>
        <w:t xml:space="preserve"> es uno de los patógenos bacterianos más </w:t>
      </w:r>
      <w:r>
        <w:rPr>
          <w:rFonts w:ascii="Times New Roman" w:hAnsi="Times New Roman" w:cs="Times New Roman"/>
          <w:lang w:val="es-PR"/>
        </w:rPr>
        <w:t xml:space="preserve">comunes y </w:t>
      </w:r>
      <w:r w:rsidRPr="00C00DB3">
        <w:rPr>
          <w:rFonts w:ascii="Times New Roman" w:hAnsi="Times New Roman" w:cs="Times New Roman"/>
          <w:lang w:val="es-PR"/>
        </w:rPr>
        <w:t xml:space="preserve">conocidos, </w:t>
      </w:r>
      <w:r>
        <w:rPr>
          <w:rFonts w:ascii="Times New Roman" w:hAnsi="Times New Roman" w:cs="Times New Roman"/>
          <w:lang w:val="es-PR"/>
        </w:rPr>
        <w:t xml:space="preserve">es </w:t>
      </w:r>
      <w:r w:rsidRPr="00C00DB3">
        <w:rPr>
          <w:rFonts w:ascii="Times New Roman" w:hAnsi="Times New Roman" w:cs="Times New Roman"/>
          <w:lang w:val="es-PR"/>
        </w:rPr>
        <w:t>responsable de cientos de miles de infecciones graves en todo el mundo cada año.</w:t>
      </w:r>
    </w:p>
    <w:p w14:paraId="56C6EC87" w14:textId="4DE70537" w:rsidR="00C00DB3" w:rsidRPr="00C00DB3" w:rsidRDefault="00C00DB3" w:rsidP="00C00DB3">
      <w:pPr>
        <w:pStyle w:val="NoSpacing"/>
        <w:rPr>
          <w:rFonts w:ascii="Times New Roman" w:hAnsi="Times New Roman" w:cs="Times New Roman"/>
          <w:lang w:val="es-PR"/>
        </w:rPr>
      </w:pPr>
      <w:r w:rsidRPr="00C00DB3">
        <w:rPr>
          <w:rFonts w:ascii="Times New Roman" w:hAnsi="Times New Roman" w:cs="Times New Roman"/>
          <w:i/>
          <w:iCs/>
          <w:lang w:val="es-PR"/>
        </w:rPr>
        <w:t>S. aureus</w:t>
      </w:r>
      <w:r w:rsidRPr="00C00DB3">
        <w:rPr>
          <w:rFonts w:ascii="Times New Roman" w:hAnsi="Times New Roman" w:cs="Times New Roman"/>
          <w:lang w:val="es-PR"/>
        </w:rPr>
        <w:t xml:space="preserve"> resistente a la meticilina (SARM) representa una amenaza clínica particular, ya que las infecciones por SARM aumentan la mortalidad, la morbilidad y la estancia hospitalaria, en comparación con las causadas por </w:t>
      </w:r>
      <w:r w:rsidRPr="00C00DB3">
        <w:rPr>
          <w:rFonts w:ascii="Times New Roman" w:hAnsi="Times New Roman" w:cs="Times New Roman"/>
          <w:i/>
          <w:iCs/>
          <w:lang w:val="es-PR"/>
        </w:rPr>
        <w:t>S. aureus</w:t>
      </w:r>
      <w:r w:rsidRPr="00C00DB3">
        <w:rPr>
          <w:rFonts w:ascii="Times New Roman" w:hAnsi="Times New Roman" w:cs="Times New Roman"/>
          <w:lang w:val="es-PR"/>
        </w:rPr>
        <w:t xml:space="preserve"> sensible a la meticilina.¹ Parte de la notoriedad del SARM se debe a su fuerte resistencia a los antibióticos de la familia β-lactámicos, como las penicilinas y las cefalosporinas, que inhiben la actividad de las enzimas transpeptidasas durante la síntesis de peptidoglicano en la pared celular bacteriana. L</w:t>
      </w:r>
      <w:r>
        <w:rPr>
          <w:rFonts w:ascii="Times New Roman" w:hAnsi="Times New Roman" w:cs="Times New Roman"/>
          <w:lang w:val="es-PR"/>
        </w:rPr>
        <w:t>os</w:t>
      </w:r>
      <w:r w:rsidRPr="00C00DB3">
        <w:rPr>
          <w:rFonts w:ascii="Times New Roman" w:hAnsi="Times New Roman" w:cs="Times New Roman"/>
          <w:lang w:val="es-PR"/>
        </w:rPr>
        <w:t xml:space="preserve"> β-lactámi</w:t>
      </w:r>
      <w:r>
        <w:rPr>
          <w:rFonts w:ascii="Times New Roman" w:hAnsi="Times New Roman" w:cs="Times New Roman"/>
          <w:lang w:val="es-PR"/>
        </w:rPr>
        <w:t>cos</w:t>
      </w:r>
      <w:r w:rsidRPr="00C00DB3">
        <w:rPr>
          <w:rFonts w:ascii="Times New Roman" w:hAnsi="Times New Roman" w:cs="Times New Roman"/>
          <w:lang w:val="es-PR"/>
        </w:rPr>
        <w:t xml:space="preserve"> </w:t>
      </w:r>
      <w:r>
        <w:rPr>
          <w:rFonts w:ascii="Times New Roman" w:hAnsi="Times New Roman" w:cs="Times New Roman"/>
          <w:lang w:val="es-PR"/>
        </w:rPr>
        <w:t xml:space="preserve">forman parte de </w:t>
      </w:r>
      <w:r w:rsidRPr="00C00DB3">
        <w:rPr>
          <w:rFonts w:ascii="Times New Roman" w:hAnsi="Times New Roman" w:cs="Times New Roman"/>
          <w:lang w:val="es-PR"/>
        </w:rPr>
        <w:t>una de las clases de fárm</w:t>
      </w:r>
      <w:r>
        <w:rPr>
          <w:rFonts w:ascii="Times New Roman" w:hAnsi="Times New Roman" w:cs="Times New Roman"/>
          <w:lang w:val="es-PR"/>
        </w:rPr>
        <w:t>acos</w:t>
      </w:r>
      <w:r w:rsidRPr="00C00DB3">
        <w:rPr>
          <w:rFonts w:ascii="Times New Roman" w:hAnsi="Times New Roman" w:cs="Times New Roman"/>
          <w:lang w:val="es-PR"/>
        </w:rPr>
        <w:t xml:space="preserve"> más comúnmente recetadas, y muchas de ellas han sido designadas como antimicrobianos de "importancia crítica" por la Organización Mundial de la Salud.</w:t>
      </w:r>
      <w:r>
        <w:rPr>
          <w:rFonts w:ascii="Times New Roman" w:hAnsi="Times New Roman" w:cs="Times New Roman"/>
          <w:vertAlign w:val="superscript"/>
          <w:lang w:val="es-PR"/>
        </w:rPr>
        <w:t>4</w:t>
      </w:r>
      <w:r w:rsidRPr="00C00DB3">
        <w:rPr>
          <w:rFonts w:ascii="Times New Roman" w:hAnsi="Times New Roman" w:cs="Times New Roman"/>
          <w:lang w:val="es-PR"/>
        </w:rPr>
        <w:t xml:space="preserve"> Por lo tanto, las infecciones por SARM representan un riesgo considerable para la salud pública, ya que son notoriamente difíciles de tratar y </w:t>
      </w:r>
      <w:r>
        <w:rPr>
          <w:rFonts w:ascii="Times New Roman" w:hAnsi="Times New Roman" w:cs="Times New Roman"/>
          <w:lang w:val="es-PR"/>
        </w:rPr>
        <w:t>son comunes</w:t>
      </w:r>
      <w:r w:rsidRPr="00C00DB3">
        <w:rPr>
          <w:rFonts w:ascii="Times New Roman" w:hAnsi="Times New Roman" w:cs="Times New Roman"/>
          <w:lang w:val="es-PR"/>
        </w:rPr>
        <w:t xml:space="preserve"> en comunidades y entornos hospitalarios.</w:t>
      </w:r>
    </w:p>
    <w:p w14:paraId="59488B6C" w14:textId="0A927C53" w:rsidR="00C00DB3" w:rsidRDefault="00C00DB3" w:rsidP="00C00DB3">
      <w:pPr>
        <w:pStyle w:val="NoSpacing"/>
        <w:rPr>
          <w:rFonts w:ascii="Times New Roman" w:hAnsi="Times New Roman" w:cs="Times New Roman"/>
          <w:vertAlign w:val="superscript"/>
          <w:lang w:val="es-PR"/>
        </w:rPr>
      </w:pPr>
      <w:r w:rsidRPr="00C00DB3">
        <w:rPr>
          <w:rFonts w:ascii="Times New Roman" w:hAnsi="Times New Roman" w:cs="Times New Roman"/>
          <w:lang w:val="es-PR"/>
        </w:rPr>
        <w:t>De hecho, en 2019, el SARM causó más de 100</w:t>
      </w:r>
      <w:r>
        <w:rPr>
          <w:rFonts w:ascii="Times New Roman" w:hAnsi="Times New Roman" w:cs="Times New Roman"/>
          <w:lang w:val="es-PR"/>
        </w:rPr>
        <w:t>,</w:t>
      </w:r>
      <w:r w:rsidRPr="00C00DB3">
        <w:rPr>
          <w:rFonts w:ascii="Times New Roman" w:hAnsi="Times New Roman" w:cs="Times New Roman"/>
          <w:lang w:val="es-PR"/>
        </w:rPr>
        <w:t xml:space="preserve">000 muertes atribuibles a infecciones resistentes a </w:t>
      </w:r>
      <w:r w:rsidR="00401F59">
        <w:rPr>
          <w:rFonts w:ascii="Times New Roman" w:hAnsi="Times New Roman" w:cs="Times New Roman"/>
          <w:lang w:val="es-PR"/>
        </w:rPr>
        <w:t>antibióticos</w:t>
      </w:r>
      <w:r w:rsidRPr="00C00DB3">
        <w:rPr>
          <w:rFonts w:ascii="Times New Roman" w:hAnsi="Times New Roman" w:cs="Times New Roman"/>
          <w:lang w:val="es-PR"/>
        </w:rPr>
        <w:t xml:space="preserve"> en todo el mundo</w:t>
      </w:r>
      <w:r>
        <w:rPr>
          <w:rFonts w:ascii="Times New Roman" w:hAnsi="Times New Roman" w:cs="Times New Roman"/>
          <w:lang w:val="es-PR"/>
        </w:rPr>
        <w:t>.</w:t>
      </w:r>
      <w:r>
        <w:rPr>
          <w:rFonts w:ascii="Times New Roman" w:hAnsi="Times New Roman" w:cs="Times New Roman"/>
          <w:vertAlign w:val="superscript"/>
          <w:lang w:val="es-PR"/>
        </w:rPr>
        <w:t>4</w:t>
      </w:r>
    </w:p>
    <w:p w14:paraId="1591A4DA" w14:textId="77777777" w:rsidR="00C00DB3" w:rsidRDefault="00C00DB3" w:rsidP="00C00DB3">
      <w:pPr>
        <w:pStyle w:val="NoSpacing"/>
        <w:rPr>
          <w:rFonts w:ascii="Times New Roman" w:hAnsi="Times New Roman" w:cs="Times New Roman"/>
          <w:vertAlign w:val="superscript"/>
          <w:lang w:val="es-PR"/>
        </w:rPr>
      </w:pPr>
    </w:p>
    <w:p w14:paraId="071AACA3" w14:textId="3430F426" w:rsidR="00C00DB3" w:rsidRDefault="00C00DB3" w:rsidP="00C00DB3">
      <w:pPr>
        <w:pStyle w:val="NoSpacing"/>
        <w:rPr>
          <w:rFonts w:ascii="Times New Roman" w:hAnsi="Times New Roman" w:cs="Times New Roman"/>
          <w:lang w:val="es-PR"/>
        </w:rPr>
      </w:pPr>
      <w:r w:rsidRPr="00C00DB3">
        <w:rPr>
          <w:rFonts w:ascii="Times New Roman" w:hAnsi="Times New Roman" w:cs="Times New Roman"/>
          <w:lang w:val="es-PR"/>
        </w:rPr>
        <w:t>Un mediador principal de la resistencia a l</w:t>
      </w:r>
      <w:r>
        <w:rPr>
          <w:rFonts w:ascii="Times New Roman" w:hAnsi="Times New Roman" w:cs="Times New Roman"/>
          <w:lang w:val="es-PR"/>
        </w:rPr>
        <w:t>os</w:t>
      </w:r>
      <w:r w:rsidRPr="00C00DB3">
        <w:rPr>
          <w:rFonts w:ascii="Times New Roman" w:hAnsi="Times New Roman" w:cs="Times New Roman"/>
          <w:lang w:val="es-PR"/>
        </w:rPr>
        <w:t xml:space="preserve"> β-lactámic</w:t>
      </w:r>
      <w:r>
        <w:rPr>
          <w:rFonts w:ascii="Times New Roman" w:hAnsi="Times New Roman" w:cs="Times New Roman"/>
          <w:lang w:val="es-PR"/>
        </w:rPr>
        <w:t>o</w:t>
      </w:r>
      <w:r w:rsidRPr="00C00DB3">
        <w:rPr>
          <w:rFonts w:ascii="Times New Roman" w:hAnsi="Times New Roman" w:cs="Times New Roman"/>
          <w:lang w:val="es-PR"/>
        </w:rPr>
        <w:t xml:space="preserve">s en el SARM </w:t>
      </w:r>
      <w:r w:rsidR="00EB369B">
        <w:rPr>
          <w:rFonts w:ascii="Times New Roman" w:hAnsi="Times New Roman" w:cs="Times New Roman"/>
          <w:lang w:val="es-PR"/>
        </w:rPr>
        <w:t>son los genes</w:t>
      </w:r>
      <w:r w:rsidRPr="00EB369B">
        <w:rPr>
          <w:rFonts w:ascii="Times New Roman" w:hAnsi="Times New Roman" w:cs="Times New Roman"/>
          <w:lang w:val="es-PR"/>
        </w:rPr>
        <w:t xml:space="preserve"> </w:t>
      </w:r>
      <w:r w:rsidRPr="00EB369B">
        <w:rPr>
          <w:rFonts w:ascii="Times New Roman" w:hAnsi="Times New Roman" w:cs="Times New Roman"/>
          <w:i/>
          <w:iCs/>
          <w:lang w:val="es-PR"/>
        </w:rPr>
        <w:t>SCCmec</w:t>
      </w:r>
      <w:r w:rsidRPr="00C00DB3">
        <w:rPr>
          <w:rFonts w:ascii="Times New Roman" w:hAnsi="Times New Roman" w:cs="Times New Roman"/>
          <w:lang w:val="es-PR"/>
        </w:rPr>
        <w:t xml:space="preserve">, un elemento genético móvil que porta el gen de resistencia </w:t>
      </w:r>
      <w:r w:rsidRPr="00C00DB3">
        <w:rPr>
          <w:rFonts w:ascii="Times New Roman" w:hAnsi="Times New Roman" w:cs="Times New Roman"/>
          <w:i/>
          <w:iCs/>
          <w:lang w:val="es-PR"/>
        </w:rPr>
        <w:t>mecA</w:t>
      </w:r>
      <w:r w:rsidRPr="00C00DB3">
        <w:rPr>
          <w:rFonts w:ascii="Times New Roman" w:hAnsi="Times New Roman" w:cs="Times New Roman"/>
          <w:lang w:val="es-PR"/>
        </w:rPr>
        <w:t xml:space="preserve">. </w:t>
      </w:r>
      <w:r w:rsidR="00401F59">
        <w:rPr>
          <w:rFonts w:ascii="Times New Roman" w:hAnsi="Times New Roman" w:cs="Times New Roman"/>
          <w:i/>
          <w:iCs/>
          <w:lang w:val="es-PR"/>
        </w:rPr>
        <w:t>mecA</w:t>
      </w:r>
      <w:r w:rsidRPr="00C00DB3">
        <w:rPr>
          <w:rFonts w:ascii="Times New Roman" w:hAnsi="Times New Roman" w:cs="Times New Roman"/>
          <w:lang w:val="es-PR"/>
        </w:rPr>
        <w:t xml:space="preserve"> codifica la proteína </w:t>
      </w:r>
      <w:r w:rsidR="00A61C9C">
        <w:rPr>
          <w:rFonts w:ascii="Times New Roman" w:hAnsi="Times New Roman" w:cs="Times New Roman"/>
          <w:lang w:val="es-PR"/>
        </w:rPr>
        <w:t>fijadora</w:t>
      </w:r>
      <w:r w:rsidRPr="00C00DB3">
        <w:rPr>
          <w:rFonts w:ascii="Times New Roman" w:hAnsi="Times New Roman" w:cs="Times New Roman"/>
          <w:lang w:val="es-PR"/>
        </w:rPr>
        <w:t xml:space="preserve"> de penicilina 2</w:t>
      </w:r>
      <w:r w:rsidR="00A61C9C">
        <w:rPr>
          <w:rFonts w:ascii="Times New Roman" w:hAnsi="Times New Roman" w:cs="Times New Roman"/>
          <w:lang w:val="es-PR"/>
        </w:rPr>
        <w:t>a</w:t>
      </w:r>
      <w:r w:rsidRPr="00C00DB3">
        <w:rPr>
          <w:rFonts w:ascii="Times New Roman" w:hAnsi="Times New Roman" w:cs="Times New Roman"/>
          <w:lang w:val="es-PR"/>
        </w:rPr>
        <w:t xml:space="preserve"> (PBP2a), una transpeptidasa con baja afinidad por l</w:t>
      </w:r>
      <w:r w:rsidR="00401F59">
        <w:rPr>
          <w:rFonts w:ascii="Times New Roman" w:hAnsi="Times New Roman" w:cs="Times New Roman"/>
          <w:lang w:val="es-PR"/>
        </w:rPr>
        <w:t>o</w:t>
      </w:r>
      <w:r w:rsidRPr="00C00DB3">
        <w:rPr>
          <w:rFonts w:ascii="Times New Roman" w:hAnsi="Times New Roman" w:cs="Times New Roman"/>
          <w:lang w:val="es-PR"/>
        </w:rPr>
        <w:t xml:space="preserve">s </w:t>
      </w:r>
      <w:r w:rsidR="00A61C9C">
        <w:rPr>
          <w:rFonts w:ascii="Times New Roman" w:hAnsi="Times New Roman" w:cs="Times New Roman"/>
          <w:lang w:val="es-PR"/>
        </w:rPr>
        <w:t>beta</w:t>
      </w:r>
      <w:r w:rsidRPr="00C00DB3">
        <w:rPr>
          <w:rFonts w:ascii="Times New Roman" w:hAnsi="Times New Roman" w:cs="Times New Roman"/>
          <w:lang w:val="es-PR"/>
        </w:rPr>
        <w:t>lactámic</w:t>
      </w:r>
      <w:r w:rsidR="00A61C9C">
        <w:rPr>
          <w:rFonts w:ascii="Times New Roman" w:hAnsi="Times New Roman" w:cs="Times New Roman"/>
          <w:lang w:val="es-PR"/>
        </w:rPr>
        <w:t>o</w:t>
      </w:r>
      <w:r w:rsidRPr="00C00DB3">
        <w:rPr>
          <w:rFonts w:ascii="Times New Roman" w:hAnsi="Times New Roman" w:cs="Times New Roman"/>
          <w:lang w:val="es-PR"/>
        </w:rPr>
        <w:t>s</w:t>
      </w:r>
      <w:r w:rsidR="00A61C9C">
        <w:rPr>
          <w:rFonts w:ascii="Times New Roman" w:hAnsi="Times New Roman" w:cs="Times New Roman"/>
          <w:lang w:val="es-PR"/>
        </w:rPr>
        <w:t>.</w:t>
      </w:r>
      <w:r w:rsidR="00A61C9C">
        <w:rPr>
          <w:rFonts w:ascii="Times New Roman" w:hAnsi="Times New Roman" w:cs="Times New Roman"/>
          <w:vertAlign w:val="superscript"/>
          <w:lang w:val="es-PR"/>
        </w:rPr>
        <w:t>5</w:t>
      </w:r>
      <w:r w:rsidRPr="00C00DB3">
        <w:rPr>
          <w:rFonts w:ascii="Times New Roman" w:hAnsi="Times New Roman" w:cs="Times New Roman"/>
          <w:lang w:val="es-PR"/>
        </w:rPr>
        <w:t xml:space="preserve"> Esta menor afinidad permite que PBP2a participe en la síntesis de peptidoglicano incluso en presencia de β-lactámic</w:t>
      </w:r>
      <w:r w:rsidR="00A61C9C">
        <w:rPr>
          <w:rFonts w:ascii="Times New Roman" w:hAnsi="Times New Roman" w:cs="Times New Roman"/>
          <w:lang w:val="es-PR"/>
        </w:rPr>
        <w:t>o</w:t>
      </w:r>
      <w:r w:rsidRPr="00C00DB3">
        <w:rPr>
          <w:rFonts w:ascii="Times New Roman" w:hAnsi="Times New Roman" w:cs="Times New Roman"/>
          <w:lang w:val="es-PR"/>
        </w:rPr>
        <w:t xml:space="preserve">s, lo que favorece la supervivencia celular. Además de </w:t>
      </w:r>
      <w:r w:rsidRPr="00A61C9C">
        <w:rPr>
          <w:rFonts w:ascii="Times New Roman" w:hAnsi="Times New Roman" w:cs="Times New Roman"/>
          <w:i/>
          <w:iCs/>
          <w:lang w:val="es-PR"/>
        </w:rPr>
        <w:t>mecA</w:t>
      </w:r>
      <w:r w:rsidRPr="00C00DB3">
        <w:rPr>
          <w:rFonts w:ascii="Times New Roman" w:hAnsi="Times New Roman" w:cs="Times New Roman"/>
          <w:lang w:val="es-PR"/>
        </w:rPr>
        <w:t xml:space="preserve">, numerosas cepas de SARM también portan </w:t>
      </w:r>
      <w:r w:rsidR="00A61C9C">
        <w:rPr>
          <w:rFonts w:ascii="Times New Roman" w:hAnsi="Times New Roman" w:cs="Times New Roman"/>
          <w:lang w:val="es-PR"/>
        </w:rPr>
        <w:t>beta</w:t>
      </w:r>
      <w:r w:rsidRPr="00C00DB3">
        <w:rPr>
          <w:rFonts w:ascii="Times New Roman" w:hAnsi="Times New Roman" w:cs="Times New Roman"/>
          <w:lang w:val="es-PR"/>
        </w:rPr>
        <w:t xml:space="preserve">lactamasas, como BlaZ, que degradan </w:t>
      </w:r>
      <w:r w:rsidR="00401F59">
        <w:rPr>
          <w:rFonts w:ascii="Times New Roman" w:hAnsi="Times New Roman" w:cs="Times New Roman"/>
          <w:lang w:val="es-PR"/>
        </w:rPr>
        <w:t>ciertos</w:t>
      </w:r>
      <w:r w:rsidRPr="00C00DB3">
        <w:rPr>
          <w:rFonts w:ascii="Times New Roman" w:hAnsi="Times New Roman" w:cs="Times New Roman"/>
          <w:lang w:val="es-PR"/>
        </w:rPr>
        <w:t xml:space="preserve"> β-lactámic</w:t>
      </w:r>
      <w:r w:rsidR="00A61C9C">
        <w:rPr>
          <w:rFonts w:ascii="Times New Roman" w:hAnsi="Times New Roman" w:cs="Times New Roman"/>
          <w:lang w:val="es-PR"/>
        </w:rPr>
        <w:t>o</w:t>
      </w:r>
      <w:r w:rsidRPr="00C00DB3">
        <w:rPr>
          <w:rFonts w:ascii="Times New Roman" w:hAnsi="Times New Roman" w:cs="Times New Roman"/>
          <w:lang w:val="es-PR"/>
        </w:rPr>
        <w:t xml:space="preserve">s, lo que contribuye aún más a la resistencia a </w:t>
      </w:r>
      <w:r w:rsidR="00A61C9C">
        <w:rPr>
          <w:rFonts w:ascii="Times New Roman" w:hAnsi="Times New Roman" w:cs="Times New Roman"/>
          <w:lang w:val="es-PR"/>
        </w:rPr>
        <w:t>estos antibióticos</w:t>
      </w:r>
      <w:r w:rsidRPr="00C00DB3">
        <w:rPr>
          <w:rFonts w:ascii="Times New Roman" w:hAnsi="Times New Roman" w:cs="Times New Roman"/>
          <w:lang w:val="es-PR"/>
        </w:rPr>
        <w:t>. En conjunto, estos mecanismos pueden limitar gravemente las opciones de tratamiento contra el SARM,</w:t>
      </w:r>
      <w:r w:rsidR="007827FB">
        <w:rPr>
          <w:rFonts w:ascii="Times New Roman" w:hAnsi="Times New Roman" w:cs="Times New Roman"/>
          <w:lang w:val="es-PR"/>
        </w:rPr>
        <w:t xml:space="preserve"> </w:t>
      </w:r>
      <w:r w:rsidRPr="00C00DB3">
        <w:rPr>
          <w:rFonts w:ascii="Times New Roman" w:hAnsi="Times New Roman" w:cs="Times New Roman"/>
          <w:lang w:val="es-PR"/>
        </w:rPr>
        <w:t>las opciones de tratamiento clínico actuales se basan principalmente en la vancomicina y la daptomicina.</w:t>
      </w:r>
      <w:r w:rsidR="007827FB">
        <w:rPr>
          <w:rFonts w:ascii="Times New Roman" w:hAnsi="Times New Roman" w:cs="Times New Roman"/>
          <w:vertAlign w:val="superscript"/>
          <w:lang w:val="es-PR"/>
        </w:rPr>
        <w:t>6</w:t>
      </w:r>
      <w:r w:rsidRPr="00C00DB3">
        <w:rPr>
          <w:rFonts w:ascii="Times New Roman" w:hAnsi="Times New Roman" w:cs="Times New Roman"/>
          <w:lang w:val="es-PR"/>
        </w:rPr>
        <w:t xml:space="preserve"> Tanto la vancomicina como la daptomicina son antibióticos de último recurso contra el SARM, y una preocupación importante es la creciente resistencia del SARM a estos </w:t>
      </w:r>
      <w:r w:rsidR="007827FB">
        <w:rPr>
          <w:rFonts w:ascii="Times New Roman" w:hAnsi="Times New Roman" w:cs="Times New Roman"/>
          <w:lang w:val="es-PR"/>
        </w:rPr>
        <w:t>antibioticos</w:t>
      </w:r>
      <w:r w:rsidRPr="00C00DB3">
        <w:rPr>
          <w:rFonts w:ascii="Times New Roman" w:hAnsi="Times New Roman" w:cs="Times New Roman"/>
          <w:lang w:val="es-PR"/>
        </w:rPr>
        <w:t>.</w:t>
      </w:r>
      <w:r w:rsidR="007827FB">
        <w:rPr>
          <w:rFonts w:ascii="Times New Roman" w:hAnsi="Times New Roman" w:cs="Times New Roman"/>
          <w:vertAlign w:val="superscript"/>
          <w:lang w:val="es-PR"/>
        </w:rPr>
        <w:t>7,8</w:t>
      </w:r>
      <w:r w:rsidRPr="00C00DB3">
        <w:rPr>
          <w:rFonts w:ascii="Times New Roman" w:hAnsi="Times New Roman" w:cs="Times New Roman"/>
          <w:lang w:val="es-PR"/>
        </w:rPr>
        <w:t xml:space="preserve"> El desarrollo de soluciones para combatir el SARM es un objetivo principal en el ámbito académico</w:t>
      </w:r>
      <w:r w:rsidR="007827FB">
        <w:rPr>
          <w:rFonts w:ascii="Times New Roman" w:hAnsi="Times New Roman" w:cs="Times New Roman"/>
          <w:lang w:val="es-PR"/>
        </w:rPr>
        <w:t xml:space="preserve"> e</w:t>
      </w:r>
      <w:r w:rsidRPr="00C00DB3">
        <w:rPr>
          <w:rFonts w:ascii="Times New Roman" w:hAnsi="Times New Roman" w:cs="Times New Roman"/>
          <w:lang w:val="es-PR"/>
        </w:rPr>
        <w:t xml:space="preserve"> industria</w:t>
      </w:r>
      <w:r w:rsidR="007827FB">
        <w:rPr>
          <w:rFonts w:ascii="Times New Roman" w:hAnsi="Times New Roman" w:cs="Times New Roman"/>
          <w:lang w:val="es-PR"/>
        </w:rPr>
        <w:t>l</w:t>
      </w:r>
      <w:r w:rsidRPr="00C00DB3">
        <w:rPr>
          <w:rFonts w:ascii="Times New Roman" w:hAnsi="Times New Roman" w:cs="Times New Roman"/>
          <w:lang w:val="es-PR"/>
        </w:rPr>
        <w:t>.</w:t>
      </w:r>
    </w:p>
    <w:p w14:paraId="18771CE2" w14:textId="77777777" w:rsidR="00EB09A1" w:rsidRDefault="00EB09A1" w:rsidP="00C00DB3">
      <w:pPr>
        <w:pStyle w:val="NoSpacing"/>
        <w:rPr>
          <w:rFonts w:ascii="Times New Roman" w:hAnsi="Times New Roman" w:cs="Times New Roman"/>
          <w:lang w:val="es-PR"/>
        </w:rPr>
      </w:pPr>
    </w:p>
    <w:p w14:paraId="718A7CFB" w14:textId="39C47318" w:rsidR="00EB09A1" w:rsidRDefault="00EB09A1" w:rsidP="00EB09A1">
      <w:pPr>
        <w:pStyle w:val="NoSpacing"/>
        <w:rPr>
          <w:rFonts w:ascii="Times New Roman" w:hAnsi="Times New Roman" w:cs="Times New Roman"/>
          <w:vertAlign w:val="superscript"/>
          <w:lang w:val="es-PR"/>
        </w:rPr>
      </w:pPr>
      <w:r w:rsidRPr="00EB09A1">
        <w:rPr>
          <w:rFonts w:ascii="Times New Roman" w:hAnsi="Times New Roman" w:cs="Times New Roman"/>
          <w:lang w:val="es-PR"/>
        </w:rPr>
        <w:t>Debido a su</w:t>
      </w:r>
      <w:r>
        <w:rPr>
          <w:rFonts w:ascii="Times New Roman" w:hAnsi="Times New Roman" w:cs="Times New Roman"/>
          <w:lang w:val="es-PR"/>
        </w:rPr>
        <w:t xml:space="preserve"> </w:t>
      </w:r>
      <w:r w:rsidRPr="00EB09A1">
        <w:rPr>
          <w:rFonts w:ascii="Times New Roman" w:hAnsi="Times New Roman" w:cs="Times New Roman"/>
          <w:lang w:val="es-PR"/>
        </w:rPr>
        <w:t xml:space="preserve">resistencia </w:t>
      </w:r>
      <w:r>
        <w:rPr>
          <w:rFonts w:ascii="Times New Roman" w:hAnsi="Times New Roman" w:cs="Times New Roman"/>
          <w:lang w:val="es-PR"/>
        </w:rPr>
        <w:t xml:space="preserve">a antibióticos </w:t>
      </w:r>
      <w:r w:rsidRPr="00EB09A1">
        <w:rPr>
          <w:rFonts w:ascii="Times New Roman" w:hAnsi="Times New Roman" w:cs="Times New Roman"/>
          <w:lang w:val="es-PR"/>
        </w:rPr>
        <w:t xml:space="preserve">y su </w:t>
      </w:r>
      <w:r w:rsidR="00401F59">
        <w:rPr>
          <w:rFonts w:ascii="Times New Roman" w:hAnsi="Times New Roman" w:cs="Times New Roman"/>
          <w:lang w:val="es-PR"/>
        </w:rPr>
        <w:t>impacto clínico</w:t>
      </w:r>
      <w:r w:rsidRPr="00EB09A1">
        <w:rPr>
          <w:rFonts w:ascii="Times New Roman" w:hAnsi="Times New Roman" w:cs="Times New Roman"/>
          <w:lang w:val="es-PR"/>
        </w:rPr>
        <w:t xml:space="preserve">, </w:t>
      </w:r>
      <w:r w:rsidRPr="00EB09A1">
        <w:rPr>
          <w:rFonts w:ascii="Times New Roman" w:hAnsi="Times New Roman" w:cs="Times New Roman"/>
          <w:i/>
          <w:iCs/>
          <w:lang w:val="es-PR"/>
        </w:rPr>
        <w:t>S. aureus</w:t>
      </w:r>
      <w:r w:rsidRPr="00EB09A1">
        <w:rPr>
          <w:rFonts w:ascii="Times New Roman" w:hAnsi="Times New Roman" w:cs="Times New Roman"/>
          <w:lang w:val="es-PR"/>
        </w:rPr>
        <w:t xml:space="preserve"> es un candidato ideal para tratamientos antimicrobianos alternativos, como la terapia </w:t>
      </w:r>
      <w:r>
        <w:rPr>
          <w:rFonts w:ascii="Times New Roman" w:hAnsi="Times New Roman" w:cs="Times New Roman"/>
          <w:lang w:val="es-PR"/>
        </w:rPr>
        <w:t>de</w:t>
      </w:r>
      <w:r w:rsidRPr="00EB09A1">
        <w:rPr>
          <w:rFonts w:ascii="Times New Roman" w:hAnsi="Times New Roman" w:cs="Times New Roman"/>
          <w:lang w:val="es-PR"/>
        </w:rPr>
        <w:t xml:space="preserve"> fagos. Los fagos son virus que infectan y destruyen bacterias, lo que representa una de las mayores amenazas para las comunidades bacterianas. Algun</w:t>
      </w:r>
      <w:r w:rsidR="00401F59">
        <w:rPr>
          <w:rFonts w:ascii="Times New Roman" w:hAnsi="Times New Roman" w:cs="Times New Roman"/>
          <w:lang w:val="es-PR"/>
        </w:rPr>
        <w:t>o</w:t>
      </w:r>
      <w:r w:rsidRPr="00EB09A1">
        <w:rPr>
          <w:rFonts w:ascii="Times New Roman" w:hAnsi="Times New Roman" w:cs="Times New Roman"/>
          <w:lang w:val="es-PR"/>
        </w:rPr>
        <w:t>s estima</w:t>
      </w:r>
      <w:r w:rsidR="00401F59">
        <w:rPr>
          <w:rFonts w:ascii="Times New Roman" w:hAnsi="Times New Roman" w:cs="Times New Roman"/>
          <w:lang w:val="es-PR"/>
        </w:rPr>
        <w:t>dos</w:t>
      </w:r>
      <w:r w:rsidRPr="00EB09A1">
        <w:rPr>
          <w:rFonts w:ascii="Times New Roman" w:hAnsi="Times New Roman" w:cs="Times New Roman"/>
          <w:lang w:val="es-PR"/>
        </w:rPr>
        <w:t xml:space="preserve"> sugieren que el 40 % de la mortalidad bacteriana mundial se debe a la depredación de fagos.</w:t>
      </w:r>
      <w:r>
        <w:rPr>
          <w:rFonts w:ascii="Times New Roman" w:hAnsi="Times New Roman" w:cs="Times New Roman"/>
          <w:vertAlign w:val="superscript"/>
          <w:lang w:val="es-PR"/>
        </w:rPr>
        <w:t xml:space="preserve">9 </w:t>
      </w:r>
      <w:r w:rsidRPr="00EB09A1">
        <w:rPr>
          <w:rFonts w:ascii="Times New Roman" w:hAnsi="Times New Roman" w:cs="Times New Roman"/>
          <w:lang w:val="es-PR"/>
        </w:rPr>
        <w:t xml:space="preserve">En la terapia </w:t>
      </w:r>
      <w:r>
        <w:rPr>
          <w:rFonts w:ascii="Times New Roman" w:hAnsi="Times New Roman" w:cs="Times New Roman"/>
          <w:lang w:val="es-PR"/>
        </w:rPr>
        <w:t>de</w:t>
      </w:r>
      <w:r w:rsidRPr="00EB09A1">
        <w:rPr>
          <w:rFonts w:ascii="Times New Roman" w:hAnsi="Times New Roman" w:cs="Times New Roman"/>
          <w:lang w:val="es-PR"/>
        </w:rPr>
        <w:t xml:space="preserve"> fagos, se administran fagos líticos para destruir el o los patógenos bacterianos causantes de una infección. Los fagos ofrecen ciertas ventajas sobre los antibióticos tradicionales: son altamente específicos </w:t>
      </w:r>
      <w:r>
        <w:rPr>
          <w:rFonts w:ascii="Times New Roman" w:hAnsi="Times New Roman" w:cs="Times New Roman"/>
          <w:lang w:val="es-PR"/>
        </w:rPr>
        <w:t>a</w:t>
      </w:r>
      <w:r w:rsidRPr="00EB09A1">
        <w:rPr>
          <w:rFonts w:ascii="Times New Roman" w:hAnsi="Times New Roman" w:cs="Times New Roman"/>
          <w:lang w:val="es-PR"/>
        </w:rPr>
        <w:t xml:space="preserve"> sus huéspedes</w:t>
      </w:r>
      <w:r>
        <w:rPr>
          <w:rFonts w:ascii="Times New Roman" w:hAnsi="Times New Roman" w:cs="Times New Roman"/>
          <w:lang w:val="es-PR"/>
        </w:rPr>
        <w:t xml:space="preserve">, </w:t>
      </w:r>
      <w:r w:rsidRPr="00EB09A1">
        <w:rPr>
          <w:rFonts w:ascii="Times New Roman" w:hAnsi="Times New Roman" w:cs="Times New Roman"/>
          <w:lang w:val="es-PR"/>
        </w:rPr>
        <w:t>reduci</w:t>
      </w:r>
      <w:r>
        <w:rPr>
          <w:rFonts w:ascii="Times New Roman" w:hAnsi="Times New Roman" w:cs="Times New Roman"/>
          <w:lang w:val="es-PR"/>
        </w:rPr>
        <w:t>endo</w:t>
      </w:r>
      <w:r w:rsidRPr="00EB09A1">
        <w:rPr>
          <w:rFonts w:ascii="Times New Roman" w:hAnsi="Times New Roman" w:cs="Times New Roman"/>
          <w:lang w:val="es-PR"/>
        </w:rPr>
        <w:t xml:space="preserve"> la destrucción de microorganismos fuera de</w:t>
      </w:r>
      <w:r>
        <w:rPr>
          <w:rFonts w:ascii="Times New Roman" w:hAnsi="Times New Roman" w:cs="Times New Roman"/>
          <w:lang w:val="es-PR"/>
        </w:rPr>
        <w:t>l patógeno</w:t>
      </w:r>
      <w:r w:rsidRPr="00EB09A1">
        <w:rPr>
          <w:rFonts w:ascii="Times New Roman" w:hAnsi="Times New Roman" w:cs="Times New Roman"/>
          <w:lang w:val="es-PR"/>
        </w:rPr>
        <w:t xml:space="preserve">; se autoamplifican y evolucionan, lo que permite la rápida generación de nuevas variantes de fagos con </w:t>
      </w:r>
      <w:r>
        <w:rPr>
          <w:rFonts w:ascii="Times New Roman" w:hAnsi="Times New Roman" w:cs="Times New Roman"/>
          <w:lang w:val="es-PR"/>
        </w:rPr>
        <w:t xml:space="preserve">mejor </w:t>
      </w:r>
      <w:r w:rsidRPr="00EB09A1">
        <w:rPr>
          <w:rFonts w:ascii="Times New Roman" w:hAnsi="Times New Roman" w:cs="Times New Roman"/>
          <w:lang w:val="es-PR"/>
        </w:rPr>
        <w:t>actividad; y generalmente se consideran seguros, ya que solo se ha informado de toxicidad en casos extremadamente raros en animales y pacientes.</w:t>
      </w:r>
      <w:r>
        <w:rPr>
          <w:rFonts w:ascii="Times New Roman" w:hAnsi="Times New Roman" w:cs="Times New Roman"/>
          <w:vertAlign w:val="superscript"/>
          <w:lang w:val="es-PR"/>
        </w:rPr>
        <w:t xml:space="preserve">10 </w:t>
      </w:r>
      <w:r w:rsidRPr="00EB09A1">
        <w:rPr>
          <w:rFonts w:ascii="Times New Roman" w:hAnsi="Times New Roman" w:cs="Times New Roman"/>
          <w:lang w:val="es-PR"/>
        </w:rPr>
        <w:t xml:space="preserve">De hecho, en la última década se han publicado más de una docena de estudios de caso y ensayos clínicos prometedores contra las infecciones por </w:t>
      </w:r>
      <w:r w:rsidRPr="00B767BD">
        <w:rPr>
          <w:rFonts w:ascii="Times New Roman" w:hAnsi="Times New Roman" w:cs="Times New Roman"/>
          <w:i/>
          <w:iCs/>
          <w:lang w:val="es-PR"/>
        </w:rPr>
        <w:t>S. aureus</w:t>
      </w:r>
      <w:r w:rsidR="00B767BD">
        <w:rPr>
          <w:rFonts w:ascii="Times New Roman" w:hAnsi="Times New Roman" w:cs="Times New Roman"/>
          <w:lang w:val="es-PR"/>
        </w:rPr>
        <w:t>.</w:t>
      </w:r>
      <w:r w:rsidR="00B767BD">
        <w:rPr>
          <w:rFonts w:ascii="Times New Roman" w:hAnsi="Times New Roman" w:cs="Times New Roman"/>
          <w:vertAlign w:val="superscript"/>
          <w:lang w:val="es-PR"/>
        </w:rPr>
        <w:t>11</w:t>
      </w:r>
    </w:p>
    <w:p w14:paraId="47230A69" w14:textId="77777777" w:rsidR="00925F3D" w:rsidRDefault="00925F3D" w:rsidP="00EB09A1">
      <w:pPr>
        <w:pStyle w:val="NoSpacing"/>
        <w:rPr>
          <w:rFonts w:ascii="Times New Roman" w:hAnsi="Times New Roman" w:cs="Times New Roman"/>
          <w:vertAlign w:val="superscript"/>
          <w:lang w:val="es-PR"/>
        </w:rPr>
      </w:pPr>
    </w:p>
    <w:p w14:paraId="5F58AA15" w14:textId="2BFFB3A4" w:rsidR="00925F3D" w:rsidRDefault="00925F3D" w:rsidP="00EB09A1">
      <w:pPr>
        <w:pStyle w:val="NoSpacing"/>
        <w:rPr>
          <w:rFonts w:ascii="Times New Roman" w:hAnsi="Times New Roman" w:cs="Times New Roman"/>
          <w:vertAlign w:val="superscript"/>
          <w:lang w:val="es-PR"/>
        </w:rPr>
      </w:pPr>
      <w:r w:rsidRPr="00925F3D">
        <w:rPr>
          <w:rFonts w:ascii="Times New Roman" w:hAnsi="Times New Roman" w:cs="Times New Roman"/>
          <w:lang w:val="es-PR"/>
        </w:rPr>
        <w:t xml:space="preserve">A pesar de estos avances, el uso rutinario de la </w:t>
      </w:r>
      <w:r>
        <w:rPr>
          <w:rFonts w:ascii="Times New Roman" w:hAnsi="Times New Roman" w:cs="Times New Roman"/>
          <w:lang w:val="es-PR"/>
        </w:rPr>
        <w:t>terapia de fagos</w:t>
      </w:r>
      <w:r w:rsidRPr="00925F3D">
        <w:rPr>
          <w:rFonts w:ascii="Times New Roman" w:hAnsi="Times New Roman" w:cs="Times New Roman"/>
          <w:lang w:val="es-PR"/>
        </w:rPr>
        <w:t xml:space="preserve"> aún enfrenta desafíos. El principal de estos es el inevitable aumento de la resistencia a los fagos, ya que su depredación </w:t>
      </w:r>
      <w:r w:rsidRPr="00925F3D">
        <w:rPr>
          <w:rFonts w:ascii="Times New Roman" w:hAnsi="Times New Roman" w:cs="Times New Roman"/>
          <w:lang w:val="es-PR"/>
        </w:rPr>
        <w:lastRenderedPageBreak/>
        <w:t>ejerce una fuerte presión selectiva sobre las poblaciones bacterianas. Según un met</w:t>
      </w:r>
      <w:r>
        <w:rPr>
          <w:rFonts w:ascii="Times New Roman" w:hAnsi="Times New Roman" w:cs="Times New Roman"/>
          <w:lang w:val="es-PR"/>
        </w:rPr>
        <w:t>a</w:t>
      </w:r>
      <w:r w:rsidRPr="00925F3D">
        <w:rPr>
          <w:rFonts w:ascii="Times New Roman" w:hAnsi="Times New Roman" w:cs="Times New Roman"/>
          <w:lang w:val="es-PR"/>
        </w:rPr>
        <w:t xml:space="preserve">análisis centrado en los resultados </w:t>
      </w:r>
      <w:r>
        <w:rPr>
          <w:rFonts w:ascii="Times New Roman" w:hAnsi="Times New Roman" w:cs="Times New Roman"/>
          <w:lang w:val="es-PR"/>
        </w:rPr>
        <w:t>en el uso de terapia de fagos</w:t>
      </w:r>
      <w:r w:rsidRPr="00925F3D">
        <w:rPr>
          <w:rFonts w:ascii="Times New Roman" w:hAnsi="Times New Roman" w:cs="Times New Roman"/>
          <w:lang w:val="es-PR"/>
        </w:rPr>
        <w:t>, la resistencia a los fagos evolucionó en el 75 % de los casos clínicos humanos en los que se monitoreó la evolución de la resistencia.</w:t>
      </w:r>
      <w:r>
        <w:rPr>
          <w:rFonts w:ascii="Times New Roman" w:hAnsi="Times New Roman" w:cs="Times New Roman"/>
          <w:vertAlign w:val="superscript"/>
          <w:lang w:val="es-PR"/>
        </w:rPr>
        <w:t xml:space="preserve">12 </w:t>
      </w:r>
      <w:r w:rsidRPr="00925F3D">
        <w:rPr>
          <w:rFonts w:ascii="Times New Roman" w:hAnsi="Times New Roman" w:cs="Times New Roman"/>
          <w:lang w:val="es-PR"/>
        </w:rPr>
        <w:t>Las mutaciones representan una vía principal por la cual las bacterias desarrollan resistencia a los fagos.</w:t>
      </w:r>
      <w:r>
        <w:rPr>
          <w:rFonts w:ascii="Times New Roman" w:hAnsi="Times New Roman" w:cs="Times New Roman"/>
          <w:lang w:val="es-PR"/>
        </w:rPr>
        <w:t xml:space="preserve"> </w:t>
      </w:r>
      <w:r w:rsidRPr="00925F3D">
        <w:rPr>
          <w:rFonts w:ascii="Times New Roman" w:hAnsi="Times New Roman" w:cs="Times New Roman"/>
          <w:lang w:val="es-PR"/>
        </w:rPr>
        <w:t xml:space="preserve">Hasta la fecha, las mutaciones de resistencia a fagos mejor caracterizadas implican alteraciones en las moléculas del receptor </w:t>
      </w:r>
      <w:r>
        <w:rPr>
          <w:rFonts w:ascii="Times New Roman" w:hAnsi="Times New Roman" w:cs="Times New Roman"/>
          <w:lang w:val="es-PR"/>
        </w:rPr>
        <w:t>en</w:t>
      </w:r>
      <w:r w:rsidRPr="00925F3D">
        <w:rPr>
          <w:rFonts w:ascii="Times New Roman" w:hAnsi="Times New Roman" w:cs="Times New Roman"/>
          <w:lang w:val="es-PR"/>
        </w:rPr>
        <w:t xml:space="preserve"> la superficie celular que median la adhesión de fagos. En muchas bacterias, estos receptores suelen ser proteínas o </w:t>
      </w:r>
      <w:r>
        <w:rPr>
          <w:rFonts w:ascii="Times New Roman" w:hAnsi="Times New Roman" w:cs="Times New Roman"/>
          <w:lang w:val="es-PR"/>
        </w:rPr>
        <w:t>glúcidos</w:t>
      </w:r>
      <w:r w:rsidRPr="00925F3D">
        <w:rPr>
          <w:rFonts w:ascii="Times New Roman" w:hAnsi="Times New Roman" w:cs="Times New Roman"/>
          <w:lang w:val="es-PR"/>
        </w:rPr>
        <w:t>, que son reconocid</w:t>
      </w:r>
      <w:r>
        <w:rPr>
          <w:rFonts w:ascii="Times New Roman" w:hAnsi="Times New Roman" w:cs="Times New Roman"/>
          <w:lang w:val="es-PR"/>
        </w:rPr>
        <w:t>o</w:t>
      </w:r>
      <w:r w:rsidRPr="00925F3D">
        <w:rPr>
          <w:rFonts w:ascii="Times New Roman" w:hAnsi="Times New Roman" w:cs="Times New Roman"/>
          <w:lang w:val="es-PR"/>
        </w:rPr>
        <w:t>s por las proteínas de los fagos.</w:t>
      </w:r>
      <w:r w:rsidRPr="00925F3D">
        <w:rPr>
          <w:rFonts w:ascii="Times New Roman" w:hAnsi="Times New Roman" w:cs="Times New Roman"/>
          <w:vertAlign w:val="superscript"/>
          <w:lang w:val="es-PR"/>
        </w:rPr>
        <w:t xml:space="preserve">11,13,14 </w:t>
      </w:r>
      <w:r w:rsidRPr="00925F3D">
        <w:rPr>
          <w:rFonts w:ascii="Times New Roman" w:hAnsi="Times New Roman" w:cs="Times New Roman"/>
          <w:lang w:val="es-PR"/>
        </w:rPr>
        <w:t>Por ejemplo,</w:t>
      </w:r>
      <w:r w:rsidR="00A720ED">
        <w:rPr>
          <w:rFonts w:ascii="Times New Roman" w:hAnsi="Times New Roman" w:cs="Times New Roman"/>
          <w:lang w:val="es-PR"/>
        </w:rPr>
        <w:t xml:space="preserve"> </w:t>
      </w:r>
      <w:r w:rsidRPr="00925F3D">
        <w:rPr>
          <w:rFonts w:ascii="Times New Roman" w:hAnsi="Times New Roman" w:cs="Times New Roman"/>
          <w:lang w:val="es-PR"/>
        </w:rPr>
        <w:t xml:space="preserve">en </w:t>
      </w:r>
      <w:r w:rsidRPr="00925F3D">
        <w:rPr>
          <w:rFonts w:ascii="Times New Roman" w:hAnsi="Times New Roman" w:cs="Times New Roman"/>
          <w:i/>
          <w:iCs/>
          <w:lang w:val="es-PR"/>
        </w:rPr>
        <w:t>Escherichia coli</w:t>
      </w:r>
      <w:r w:rsidRPr="00925F3D">
        <w:rPr>
          <w:rFonts w:ascii="Times New Roman" w:hAnsi="Times New Roman" w:cs="Times New Roman"/>
          <w:lang w:val="es-PR"/>
        </w:rPr>
        <w:t xml:space="preserve">, las mutaciones en la proteína de la pared celular LamB confieren resistencia contra la infección por </w:t>
      </w:r>
      <w:r>
        <w:rPr>
          <w:rFonts w:ascii="Times New Roman" w:hAnsi="Times New Roman" w:cs="Times New Roman"/>
          <w:lang w:val="es-PR"/>
        </w:rPr>
        <w:t>el fago</w:t>
      </w:r>
      <w:r w:rsidRPr="00925F3D">
        <w:rPr>
          <w:rFonts w:ascii="Times New Roman" w:hAnsi="Times New Roman" w:cs="Times New Roman"/>
          <w:lang w:val="es-PR"/>
        </w:rPr>
        <w:t xml:space="preserve"> lambda, mientras que en </w:t>
      </w:r>
      <w:r w:rsidRPr="00925F3D">
        <w:rPr>
          <w:rFonts w:ascii="Times New Roman" w:hAnsi="Times New Roman" w:cs="Times New Roman"/>
          <w:i/>
          <w:iCs/>
          <w:lang w:val="es-PR"/>
        </w:rPr>
        <w:t>S. aureus</w:t>
      </w:r>
      <w:r w:rsidRPr="00925F3D">
        <w:rPr>
          <w:rFonts w:ascii="Times New Roman" w:hAnsi="Times New Roman" w:cs="Times New Roman"/>
          <w:lang w:val="es-PR"/>
        </w:rPr>
        <w:t xml:space="preserve">, se ha demostrado que las mutaciones que modifican </w:t>
      </w:r>
      <w:r w:rsidR="00EC2DE6">
        <w:rPr>
          <w:rFonts w:ascii="Times New Roman" w:hAnsi="Times New Roman" w:cs="Times New Roman"/>
          <w:lang w:val="es-PR"/>
        </w:rPr>
        <w:t>los</w:t>
      </w:r>
      <w:r w:rsidRPr="00925F3D">
        <w:rPr>
          <w:rFonts w:ascii="Times New Roman" w:hAnsi="Times New Roman" w:cs="Times New Roman"/>
          <w:lang w:val="es-PR"/>
        </w:rPr>
        <w:t xml:space="preserve"> </w:t>
      </w:r>
      <w:r w:rsidRPr="00EC2DE6">
        <w:rPr>
          <w:rFonts w:ascii="Times New Roman" w:hAnsi="Times New Roman" w:cs="Times New Roman"/>
          <w:lang w:val="es-PR"/>
        </w:rPr>
        <w:t>ácido</w:t>
      </w:r>
      <w:r w:rsidR="00EC2DE6" w:rsidRPr="00EC2DE6">
        <w:rPr>
          <w:rFonts w:ascii="Times New Roman" w:hAnsi="Times New Roman" w:cs="Times New Roman"/>
          <w:lang w:val="es-PR"/>
        </w:rPr>
        <w:t>s</w:t>
      </w:r>
      <w:r w:rsidRPr="00EC2DE6">
        <w:rPr>
          <w:rFonts w:ascii="Times New Roman" w:hAnsi="Times New Roman" w:cs="Times New Roman"/>
          <w:lang w:val="es-PR"/>
        </w:rPr>
        <w:t xml:space="preserve"> teicoico</w:t>
      </w:r>
      <w:r w:rsidR="00EC2DE6" w:rsidRPr="00EC2DE6">
        <w:rPr>
          <w:rFonts w:ascii="Times New Roman" w:hAnsi="Times New Roman" w:cs="Times New Roman"/>
          <w:lang w:val="es-PR"/>
        </w:rPr>
        <w:t>s</w:t>
      </w:r>
      <w:r w:rsidRPr="00EC2DE6">
        <w:rPr>
          <w:rFonts w:ascii="Times New Roman" w:hAnsi="Times New Roman" w:cs="Times New Roman"/>
          <w:lang w:val="es-PR"/>
        </w:rPr>
        <w:t xml:space="preserve"> </w:t>
      </w:r>
      <w:r w:rsidR="00EC2DE6" w:rsidRPr="00EC2DE6">
        <w:rPr>
          <w:rFonts w:ascii="Times New Roman" w:hAnsi="Times New Roman" w:cs="Times New Roman"/>
          <w:lang w:val="es-PR"/>
        </w:rPr>
        <w:t>asociados a la pared celular</w:t>
      </w:r>
      <w:r w:rsidRPr="00EC2DE6">
        <w:rPr>
          <w:rFonts w:ascii="Times New Roman" w:hAnsi="Times New Roman" w:cs="Times New Roman"/>
          <w:lang w:val="es-PR"/>
        </w:rPr>
        <w:t xml:space="preserve"> (WTA</w:t>
      </w:r>
      <w:r w:rsidR="00EC2DE6" w:rsidRPr="00EC2DE6">
        <w:rPr>
          <w:rFonts w:ascii="Times New Roman" w:hAnsi="Times New Roman" w:cs="Times New Roman"/>
          <w:lang w:val="es-PR"/>
        </w:rPr>
        <w:t>, por sus siglas en inglés</w:t>
      </w:r>
      <w:r w:rsidRPr="00EC2DE6">
        <w:rPr>
          <w:rFonts w:ascii="Times New Roman" w:hAnsi="Times New Roman" w:cs="Times New Roman"/>
          <w:lang w:val="es-PR"/>
        </w:rPr>
        <w:t>)</w:t>
      </w:r>
      <w:r w:rsidRPr="00925F3D">
        <w:rPr>
          <w:rFonts w:ascii="Times New Roman" w:hAnsi="Times New Roman" w:cs="Times New Roman"/>
          <w:lang w:val="es-PR"/>
        </w:rPr>
        <w:t xml:space="preserve"> limitan la infección por fagos</w:t>
      </w:r>
      <w:r w:rsidR="00A720ED">
        <w:rPr>
          <w:rFonts w:ascii="Times New Roman" w:hAnsi="Times New Roman" w:cs="Times New Roman"/>
          <w:lang w:val="es-PR"/>
        </w:rPr>
        <w:t>.</w:t>
      </w:r>
      <w:r w:rsidRPr="00A720ED">
        <w:rPr>
          <w:rFonts w:ascii="Times New Roman" w:hAnsi="Times New Roman" w:cs="Times New Roman"/>
          <w:vertAlign w:val="superscript"/>
          <w:lang w:val="es-PR"/>
        </w:rPr>
        <w:t>14,15</w:t>
      </w:r>
      <w:r w:rsidRPr="00925F3D">
        <w:rPr>
          <w:rFonts w:ascii="Times New Roman" w:hAnsi="Times New Roman" w:cs="Times New Roman"/>
          <w:lang w:val="es-PR"/>
        </w:rPr>
        <w:t xml:space="preserve"> Para complicar el panorama, </w:t>
      </w:r>
      <w:r w:rsidR="00A720ED">
        <w:rPr>
          <w:rFonts w:ascii="Times New Roman" w:hAnsi="Times New Roman" w:cs="Times New Roman"/>
          <w:lang w:val="es-PR"/>
        </w:rPr>
        <w:t>otros</w:t>
      </w:r>
      <w:r w:rsidRPr="00925F3D">
        <w:rPr>
          <w:rFonts w:ascii="Times New Roman" w:hAnsi="Times New Roman" w:cs="Times New Roman"/>
          <w:lang w:val="es-PR"/>
        </w:rPr>
        <w:t xml:space="preserve"> estudios han</w:t>
      </w:r>
      <w:r w:rsidR="00A720ED">
        <w:rPr>
          <w:rFonts w:ascii="Times New Roman" w:hAnsi="Times New Roman" w:cs="Times New Roman"/>
          <w:lang w:val="es-PR"/>
        </w:rPr>
        <w:t xml:space="preserve"> </w:t>
      </w:r>
      <w:r w:rsidRPr="00925F3D">
        <w:rPr>
          <w:rFonts w:ascii="Times New Roman" w:hAnsi="Times New Roman" w:cs="Times New Roman"/>
          <w:lang w:val="es-PR"/>
        </w:rPr>
        <w:t xml:space="preserve">revelado que </w:t>
      </w:r>
      <w:r w:rsidR="00401F59">
        <w:rPr>
          <w:rFonts w:ascii="Times New Roman" w:hAnsi="Times New Roman" w:cs="Times New Roman"/>
          <w:lang w:val="es-PR"/>
        </w:rPr>
        <w:t xml:space="preserve">otros </w:t>
      </w:r>
      <w:r w:rsidRPr="00925F3D">
        <w:rPr>
          <w:rFonts w:ascii="Times New Roman" w:hAnsi="Times New Roman" w:cs="Times New Roman"/>
          <w:lang w:val="es-PR"/>
        </w:rPr>
        <w:t>mecanismos adicionales del huésped</w:t>
      </w:r>
      <w:r w:rsidR="00A720ED">
        <w:rPr>
          <w:rFonts w:ascii="Times New Roman" w:hAnsi="Times New Roman" w:cs="Times New Roman"/>
          <w:lang w:val="es-PR"/>
        </w:rPr>
        <w:t xml:space="preserve"> bacteriano</w:t>
      </w:r>
      <w:r w:rsidRPr="00925F3D">
        <w:rPr>
          <w:rFonts w:ascii="Times New Roman" w:hAnsi="Times New Roman" w:cs="Times New Roman"/>
          <w:lang w:val="es-PR"/>
        </w:rPr>
        <w:t xml:space="preserve">, incluyendo sistemas de defensa </w:t>
      </w:r>
      <w:r w:rsidR="00A720ED">
        <w:rPr>
          <w:rFonts w:ascii="Times New Roman" w:hAnsi="Times New Roman" w:cs="Times New Roman"/>
          <w:lang w:val="es-PR"/>
        </w:rPr>
        <w:t xml:space="preserve">contra </w:t>
      </w:r>
      <w:r w:rsidRPr="00925F3D">
        <w:rPr>
          <w:rFonts w:ascii="Times New Roman" w:hAnsi="Times New Roman" w:cs="Times New Roman"/>
          <w:lang w:val="es-PR"/>
        </w:rPr>
        <w:t>fagos , pueden afectar la evolución de la resistencia contra los fagos</w:t>
      </w:r>
      <w:r w:rsidR="00A720ED">
        <w:rPr>
          <w:rFonts w:ascii="Times New Roman" w:hAnsi="Times New Roman" w:cs="Times New Roman"/>
          <w:lang w:val="es-PR"/>
        </w:rPr>
        <w:t>.</w:t>
      </w:r>
      <w:r w:rsidRPr="00A720ED">
        <w:rPr>
          <w:rFonts w:ascii="Times New Roman" w:hAnsi="Times New Roman" w:cs="Times New Roman"/>
          <w:vertAlign w:val="superscript"/>
          <w:lang w:val="es-PR"/>
        </w:rPr>
        <w:t>16,17</w:t>
      </w:r>
      <w:r w:rsidR="00A720ED">
        <w:rPr>
          <w:rFonts w:ascii="Times New Roman" w:hAnsi="Times New Roman" w:cs="Times New Roman"/>
          <w:lang w:val="es-PR"/>
        </w:rPr>
        <w:t xml:space="preserve"> </w:t>
      </w:r>
      <w:r w:rsidRPr="00925F3D">
        <w:rPr>
          <w:rFonts w:ascii="Times New Roman" w:hAnsi="Times New Roman" w:cs="Times New Roman"/>
          <w:lang w:val="es-PR"/>
        </w:rPr>
        <w:t>Estos problemas resaltan la importancia de desarrollar estrategias de tratamiento con fagos que minimicen o capitalicen la evolución de la resistencia a los fagos.</w:t>
      </w:r>
      <w:r w:rsidRPr="00A720ED">
        <w:rPr>
          <w:rFonts w:ascii="Times New Roman" w:hAnsi="Times New Roman" w:cs="Times New Roman"/>
          <w:vertAlign w:val="superscript"/>
          <w:lang w:val="es-PR"/>
        </w:rPr>
        <w:t>18</w:t>
      </w:r>
    </w:p>
    <w:p w14:paraId="214B68B2" w14:textId="77777777" w:rsidR="00A720ED" w:rsidRDefault="00A720ED" w:rsidP="00EB09A1">
      <w:pPr>
        <w:pStyle w:val="NoSpacing"/>
        <w:rPr>
          <w:rFonts w:ascii="Times New Roman" w:hAnsi="Times New Roman" w:cs="Times New Roman"/>
          <w:vertAlign w:val="superscript"/>
          <w:lang w:val="es-PR"/>
        </w:rPr>
      </w:pPr>
    </w:p>
    <w:p w14:paraId="3B09A2D1" w14:textId="76A6E3CE" w:rsidR="00A720ED" w:rsidRDefault="00A720ED" w:rsidP="00A720ED">
      <w:pPr>
        <w:pStyle w:val="NoSpacing"/>
        <w:rPr>
          <w:rFonts w:ascii="Times New Roman" w:hAnsi="Times New Roman" w:cs="Times New Roman"/>
          <w:vertAlign w:val="superscript"/>
          <w:lang w:val="es-PR"/>
        </w:rPr>
      </w:pPr>
      <w:r w:rsidRPr="00A720ED">
        <w:rPr>
          <w:rFonts w:ascii="Times New Roman" w:hAnsi="Times New Roman" w:cs="Times New Roman"/>
          <w:lang w:val="es-PR"/>
        </w:rPr>
        <w:t xml:space="preserve">Un aspecto único de la terapia </w:t>
      </w:r>
      <w:r>
        <w:rPr>
          <w:rFonts w:ascii="Times New Roman" w:hAnsi="Times New Roman" w:cs="Times New Roman"/>
          <w:lang w:val="es-PR"/>
        </w:rPr>
        <w:t>de</w:t>
      </w:r>
      <w:r w:rsidRPr="00A720ED">
        <w:rPr>
          <w:rFonts w:ascii="Times New Roman" w:hAnsi="Times New Roman" w:cs="Times New Roman"/>
          <w:lang w:val="es-PR"/>
        </w:rPr>
        <w:t xml:space="preserve"> fagos es la posibilidad de aprovechar las compensaciones evolutivas para combatir patógenos resistentes. Una compensación </w:t>
      </w:r>
      <w:r w:rsidR="00526B4D">
        <w:rPr>
          <w:rFonts w:ascii="Times New Roman" w:hAnsi="Times New Roman" w:cs="Times New Roman"/>
          <w:lang w:val="es-PR"/>
        </w:rPr>
        <w:t>evolutiva</w:t>
      </w:r>
      <w:r w:rsidRPr="00A720ED">
        <w:rPr>
          <w:rFonts w:ascii="Times New Roman" w:hAnsi="Times New Roman" w:cs="Times New Roman"/>
          <w:lang w:val="es-PR"/>
        </w:rPr>
        <w:t xml:space="preserve"> se define como un rasgo evolutivo que confiere una ventaja de adaptación frente a una presión selectiva particular, a expensas de una menor adaptación frente a una presión no seleccionada. En </w:t>
      </w:r>
      <w:r w:rsidR="00526B4D">
        <w:rPr>
          <w:rFonts w:ascii="Times New Roman" w:hAnsi="Times New Roman" w:cs="Times New Roman"/>
          <w:lang w:val="es-PR"/>
        </w:rPr>
        <w:t xml:space="preserve">diferentes </w:t>
      </w:r>
      <w:r w:rsidRPr="00A720ED">
        <w:rPr>
          <w:rFonts w:ascii="Times New Roman" w:hAnsi="Times New Roman" w:cs="Times New Roman"/>
          <w:lang w:val="es-PR"/>
        </w:rPr>
        <w:t xml:space="preserve">especies bacterianas, se ha demostrado que estas compensaciones </w:t>
      </w:r>
      <w:r w:rsidR="00526B4D">
        <w:rPr>
          <w:rFonts w:ascii="Times New Roman" w:hAnsi="Times New Roman" w:cs="Times New Roman"/>
          <w:lang w:val="es-PR"/>
        </w:rPr>
        <w:t>pueden ocurrir</w:t>
      </w:r>
      <w:r w:rsidRPr="00A720ED">
        <w:rPr>
          <w:rFonts w:ascii="Times New Roman" w:hAnsi="Times New Roman" w:cs="Times New Roman"/>
          <w:lang w:val="es-PR"/>
        </w:rPr>
        <w:t xml:space="preserve"> entre la resistencia a los fagos y la resistencia a los antibióticos (Figura 1A). Se predice que los fagos que </w:t>
      </w:r>
      <w:r w:rsidR="00526B4D">
        <w:rPr>
          <w:rFonts w:ascii="Times New Roman" w:hAnsi="Times New Roman" w:cs="Times New Roman"/>
          <w:lang w:val="es-PR"/>
        </w:rPr>
        <w:t>usan como receptor</w:t>
      </w:r>
      <w:r w:rsidRPr="00A720ED">
        <w:rPr>
          <w:rFonts w:ascii="Times New Roman" w:hAnsi="Times New Roman" w:cs="Times New Roman"/>
          <w:lang w:val="es-PR"/>
        </w:rPr>
        <w:t xml:space="preserve"> a un factor de virulencia o mecanismo de resistencia a los antibióticos en la bacteria </w:t>
      </w:r>
      <w:r w:rsidR="00526B4D">
        <w:rPr>
          <w:rFonts w:ascii="Times New Roman" w:hAnsi="Times New Roman" w:cs="Times New Roman"/>
          <w:lang w:val="es-PR"/>
        </w:rPr>
        <w:t>huésped</w:t>
      </w:r>
      <w:r w:rsidRPr="00A720ED">
        <w:rPr>
          <w:rFonts w:ascii="Times New Roman" w:hAnsi="Times New Roman" w:cs="Times New Roman"/>
          <w:lang w:val="es-PR"/>
        </w:rPr>
        <w:t xml:space="preserve"> ejercen una fuerte presión selectiva sobre la bacteria para mutar o inhibir </w:t>
      </w:r>
      <w:r w:rsidR="00526B4D">
        <w:rPr>
          <w:rFonts w:ascii="Times New Roman" w:hAnsi="Times New Roman" w:cs="Times New Roman"/>
          <w:lang w:val="es-PR"/>
        </w:rPr>
        <w:t>el receptor</w:t>
      </w:r>
      <w:r w:rsidRPr="00A720ED">
        <w:rPr>
          <w:rFonts w:ascii="Times New Roman" w:hAnsi="Times New Roman" w:cs="Times New Roman"/>
          <w:lang w:val="es-PR"/>
        </w:rPr>
        <w:t xml:space="preserve"> </w:t>
      </w:r>
      <w:r w:rsidR="00526B4D">
        <w:rPr>
          <w:rFonts w:ascii="Times New Roman" w:hAnsi="Times New Roman" w:cs="Times New Roman"/>
          <w:lang w:val="es-PR"/>
        </w:rPr>
        <w:t>que el fago usa</w:t>
      </w:r>
      <w:r w:rsidRPr="00A720ED">
        <w:rPr>
          <w:rFonts w:ascii="Times New Roman" w:hAnsi="Times New Roman" w:cs="Times New Roman"/>
          <w:lang w:val="es-PR"/>
        </w:rPr>
        <w:t xml:space="preserve">. Estos cambios conferirían protección contra la infección por fagos, pero a su vez podrían reducir la resistencia o la virulencia en la bacteria. Por ejemplo, en </w:t>
      </w:r>
      <w:r w:rsidRPr="00526B4D">
        <w:rPr>
          <w:rFonts w:ascii="Times New Roman" w:hAnsi="Times New Roman" w:cs="Times New Roman"/>
          <w:i/>
          <w:iCs/>
          <w:lang w:val="es-PR"/>
        </w:rPr>
        <w:t>P. aeruginosa</w:t>
      </w:r>
      <w:r w:rsidRPr="00A720ED">
        <w:rPr>
          <w:rFonts w:ascii="Times New Roman" w:hAnsi="Times New Roman" w:cs="Times New Roman"/>
          <w:lang w:val="es-PR"/>
        </w:rPr>
        <w:t xml:space="preserve">, la infección por el fago OMKO1, que se </w:t>
      </w:r>
      <w:r w:rsidR="00526B4D">
        <w:rPr>
          <w:rFonts w:ascii="Times New Roman" w:hAnsi="Times New Roman" w:cs="Times New Roman"/>
          <w:lang w:val="es-PR"/>
        </w:rPr>
        <w:t>enlaza</w:t>
      </w:r>
      <w:r w:rsidRPr="00A720ED">
        <w:rPr>
          <w:rFonts w:ascii="Times New Roman" w:hAnsi="Times New Roman" w:cs="Times New Roman"/>
          <w:lang w:val="es-PR"/>
        </w:rPr>
        <w:t xml:space="preserve"> a la proteína de membrana externa M OprM de las bombas de eflujo MexAB y MexXY-OprM, impulsa la evolución de mutaciones en dichos genes, lo que lleva a la resensibilización </w:t>
      </w:r>
      <w:r w:rsidR="00526B4D">
        <w:rPr>
          <w:rFonts w:ascii="Times New Roman" w:hAnsi="Times New Roman" w:cs="Times New Roman"/>
          <w:lang w:val="es-PR"/>
        </w:rPr>
        <w:t>a antibioticos en</w:t>
      </w:r>
      <w:r w:rsidRPr="00A720ED">
        <w:rPr>
          <w:rFonts w:ascii="Times New Roman" w:hAnsi="Times New Roman" w:cs="Times New Roman"/>
          <w:lang w:val="es-PR"/>
        </w:rPr>
        <w:t xml:space="preserve"> </w:t>
      </w:r>
      <w:r w:rsidRPr="00526B4D">
        <w:rPr>
          <w:rFonts w:ascii="Times New Roman" w:hAnsi="Times New Roman" w:cs="Times New Roman"/>
          <w:i/>
          <w:iCs/>
          <w:lang w:val="es-PR"/>
        </w:rPr>
        <w:t>P. aeruginosa</w:t>
      </w:r>
      <w:r w:rsidRPr="00A720ED">
        <w:rPr>
          <w:rFonts w:ascii="Times New Roman" w:hAnsi="Times New Roman" w:cs="Times New Roman"/>
          <w:lang w:val="es-PR"/>
        </w:rPr>
        <w:t xml:space="preserve"> resistente a los f</w:t>
      </w:r>
      <w:r w:rsidR="00526B4D">
        <w:rPr>
          <w:rFonts w:ascii="Times New Roman" w:hAnsi="Times New Roman" w:cs="Times New Roman"/>
          <w:lang w:val="es-PR"/>
        </w:rPr>
        <w:t>agos.</w:t>
      </w:r>
      <w:r w:rsidRPr="00526B4D">
        <w:rPr>
          <w:rFonts w:ascii="Times New Roman" w:hAnsi="Times New Roman" w:cs="Times New Roman"/>
          <w:vertAlign w:val="superscript"/>
          <w:lang w:val="es-PR"/>
        </w:rPr>
        <w:t>10,19</w:t>
      </w:r>
    </w:p>
    <w:p w14:paraId="34BDFD29" w14:textId="77777777" w:rsidR="00526B4D" w:rsidRDefault="00526B4D" w:rsidP="00A720ED">
      <w:pPr>
        <w:pStyle w:val="NoSpacing"/>
        <w:rPr>
          <w:rFonts w:ascii="Times New Roman" w:hAnsi="Times New Roman" w:cs="Times New Roman"/>
          <w:vertAlign w:val="superscript"/>
          <w:lang w:val="es-PR"/>
        </w:rPr>
      </w:pPr>
    </w:p>
    <w:p w14:paraId="125067E1" w14:textId="244F7C20" w:rsidR="00EC2DE6" w:rsidRDefault="00EC2DE6" w:rsidP="00A720ED">
      <w:pPr>
        <w:pStyle w:val="NoSpacing"/>
        <w:rPr>
          <w:rFonts w:ascii="Times New Roman" w:hAnsi="Times New Roman" w:cs="Times New Roman"/>
          <w:lang w:val="es-PR"/>
        </w:rPr>
      </w:pPr>
      <w:r w:rsidRPr="00EC2DE6">
        <w:rPr>
          <w:rFonts w:ascii="Times New Roman" w:hAnsi="Times New Roman" w:cs="Times New Roman"/>
          <w:lang w:val="es-PR"/>
        </w:rPr>
        <w:t>Se sabe poco sobre cómo la resistencia a los fagos puede</w:t>
      </w:r>
      <w:r>
        <w:rPr>
          <w:rFonts w:ascii="Times New Roman" w:hAnsi="Times New Roman" w:cs="Times New Roman"/>
          <w:lang w:val="es-PR"/>
        </w:rPr>
        <w:t xml:space="preserve"> causar </w:t>
      </w:r>
      <w:r w:rsidRPr="00EC2DE6">
        <w:rPr>
          <w:rFonts w:ascii="Times New Roman" w:hAnsi="Times New Roman" w:cs="Times New Roman"/>
          <w:lang w:val="es-PR"/>
        </w:rPr>
        <w:t xml:space="preserve">compensaciones </w:t>
      </w:r>
      <w:r>
        <w:rPr>
          <w:rFonts w:ascii="Times New Roman" w:hAnsi="Times New Roman" w:cs="Times New Roman"/>
          <w:lang w:val="es-PR"/>
        </w:rPr>
        <w:t>evolutivas</w:t>
      </w:r>
      <w:r w:rsidRPr="00EC2DE6">
        <w:rPr>
          <w:rFonts w:ascii="Times New Roman" w:hAnsi="Times New Roman" w:cs="Times New Roman"/>
          <w:lang w:val="es-PR"/>
        </w:rPr>
        <w:t xml:space="preserve"> en</w:t>
      </w:r>
      <w:r w:rsidR="00401F59">
        <w:rPr>
          <w:rFonts w:ascii="Times New Roman" w:hAnsi="Times New Roman" w:cs="Times New Roman"/>
          <w:lang w:val="es-PR"/>
        </w:rPr>
        <w:t xml:space="preserve"> el</w:t>
      </w:r>
      <w:r w:rsidRPr="00EC2DE6">
        <w:rPr>
          <w:rFonts w:ascii="Times New Roman" w:hAnsi="Times New Roman" w:cs="Times New Roman"/>
          <w:lang w:val="es-PR"/>
        </w:rPr>
        <w:t xml:space="preserve"> SARM. Trabajos previos han demostrado que la resistencia a los fagos en </w:t>
      </w:r>
      <w:r w:rsidRPr="00EC2DE6">
        <w:rPr>
          <w:rFonts w:ascii="Times New Roman" w:hAnsi="Times New Roman" w:cs="Times New Roman"/>
          <w:i/>
          <w:iCs/>
          <w:lang w:val="es-PR"/>
        </w:rPr>
        <w:t>S. aureus</w:t>
      </w:r>
      <w:r w:rsidRPr="00EC2DE6">
        <w:rPr>
          <w:rFonts w:ascii="Times New Roman" w:hAnsi="Times New Roman" w:cs="Times New Roman"/>
          <w:lang w:val="es-PR"/>
        </w:rPr>
        <w:t xml:space="preserve"> puede proceder a través de mutaciones genéticas que no están directamente involucradas en la </w:t>
      </w:r>
      <w:r>
        <w:rPr>
          <w:rFonts w:ascii="Times New Roman" w:hAnsi="Times New Roman" w:cs="Times New Roman"/>
          <w:lang w:val="es-PR"/>
        </w:rPr>
        <w:t>adhesión</w:t>
      </w:r>
      <w:r w:rsidRPr="00EC2DE6">
        <w:rPr>
          <w:rFonts w:ascii="Times New Roman" w:hAnsi="Times New Roman" w:cs="Times New Roman"/>
          <w:lang w:val="es-PR"/>
        </w:rPr>
        <w:t xml:space="preserve"> del fago. Por ejemplo, estudios de Berryhill y colegas demostraron que la infección por fagos </w:t>
      </w:r>
      <w:r>
        <w:rPr>
          <w:rFonts w:ascii="Times New Roman" w:hAnsi="Times New Roman" w:cs="Times New Roman"/>
          <w:lang w:val="es-PR"/>
        </w:rPr>
        <w:t>en</w:t>
      </w:r>
      <w:r w:rsidRPr="00EC2DE6">
        <w:rPr>
          <w:rFonts w:ascii="Times New Roman" w:hAnsi="Times New Roman" w:cs="Times New Roman"/>
          <w:lang w:val="es-PR"/>
        </w:rPr>
        <w:t xml:space="preserve"> </w:t>
      </w:r>
      <w:r w:rsidRPr="00EC2DE6">
        <w:rPr>
          <w:rFonts w:ascii="Times New Roman" w:hAnsi="Times New Roman" w:cs="Times New Roman"/>
          <w:i/>
          <w:iCs/>
          <w:lang w:val="es-PR"/>
        </w:rPr>
        <w:t>S. aureus</w:t>
      </w:r>
      <w:r w:rsidRPr="00EC2DE6">
        <w:rPr>
          <w:rFonts w:ascii="Times New Roman" w:hAnsi="Times New Roman" w:cs="Times New Roman"/>
          <w:lang w:val="es-PR"/>
        </w:rPr>
        <w:t xml:space="preserve"> Newman, una cepa </w:t>
      </w:r>
      <w:r>
        <w:rPr>
          <w:rFonts w:ascii="Times New Roman" w:hAnsi="Times New Roman" w:cs="Times New Roman"/>
          <w:lang w:val="es-PR"/>
        </w:rPr>
        <w:t>sensible a betalactámicos</w:t>
      </w:r>
      <w:r w:rsidRPr="00EC2DE6">
        <w:rPr>
          <w:rFonts w:ascii="Times New Roman" w:hAnsi="Times New Roman" w:cs="Times New Roman"/>
          <w:lang w:val="es-PR"/>
        </w:rPr>
        <w:t xml:space="preserve">, puede seleccionar mutaciones en </w:t>
      </w:r>
      <w:r w:rsidRPr="00EC2DE6">
        <w:rPr>
          <w:rFonts w:ascii="Times New Roman" w:hAnsi="Times New Roman" w:cs="Times New Roman"/>
          <w:i/>
          <w:iCs/>
          <w:lang w:val="es-PR"/>
        </w:rPr>
        <w:t>femA</w:t>
      </w:r>
      <w:r w:rsidRPr="00EC2DE6">
        <w:rPr>
          <w:rFonts w:ascii="Times New Roman" w:hAnsi="Times New Roman" w:cs="Times New Roman"/>
          <w:lang w:val="es-PR"/>
        </w:rPr>
        <w:t>,</w:t>
      </w:r>
      <w:r>
        <w:rPr>
          <w:rFonts w:ascii="Times New Roman" w:hAnsi="Times New Roman" w:cs="Times New Roman"/>
          <w:lang w:val="es-PR"/>
        </w:rPr>
        <w:t xml:space="preserve"> </w:t>
      </w:r>
      <w:r w:rsidRPr="00EC2DE6">
        <w:rPr>
          <w:rFonts w:ascii="Times New Roman" w:hAnsi="Times New Roman" w:cs="Times New Roman"/>
          <w:lang w:val="es-PR"/>
        </w:rPr>
        <w:t>una enzima citoplasmática que cataliza la formación de</w:t>
      </w:r>
      <w:r>
        <w:rPr>
          <w:rFonts w:ascii="Times New Roman" w:hAnsi="Times New Roman" w:cs="Times New Roman"/>
          <w:lang w:val="es-PR"/>
        </w:rPr>
        <w:t xml:space="preserve"> </w:t>
      </w:r>
      <w:r w:rsidRPr="00EC2DE6">
        <w:rPr>
          <w:rFonts w:ascii="Times New Roman" w:hAnsi="Times New Roman" w:cs="Times New Roman"/>
          <w:lang w:val="es-PR"/>
        </w:rPr>
        <w:t>l</w:t>
      </w:r>
      <w:r>
        <w:rPr>
          <w:rFonts w:ascii="Times New Roman" w:hAnsi="Times New Roman" w:cs="Times New Roman"/>
          <w:lang w:val="es-PR"/>
        </w:rPr>
        <w:t>os</w:t>
      </w:r>
      <w:r w:rsidRPr="00EC2DE6">
        <w:rPr>
          <w:rFonts w:ascii="Times New Roman" w:hAnsi="Times New Roman" w:cs="Times New Roman"/>
          <w:lang w:val="es-PR"/>
        </w:rPr>
        <w:t xml:space="preserve"> puente</w:t>
      </w:r>
      <w:r>
        <w:rPr>
          <w:rFonts w:ascii="Times New Roman" w:hAnsi="Times New Roman" w:cs="Times New Roman"/>
          <w:lang w:val="es-PR"/>
        </w:rPr>
        <w:t>s</w:t>
      </w:r>
      <w:r w:rsidRPr="00EC2DE6">
        <w:rPr>
          <w:rFonts w:ascii="Times New Roman" w:hAnsi="Times New Roman" w:cs="Times New Roman"/>
          <w:lang w:val="es-PR"/>
        </w:rPr>
        <w:t xml:space="preserve"> de pentaglicina </w:t>
      </w:r>
      <w:r>
        <w:rPr>
          <w:rFonts w:ascii="Times New Roman" w:hAnsi="Times New Roman" w:cs="Times New Roman"/>
          <w:lang w:val="es-PR"/>
        </w:rPr>
        <w:t>en la pared celular de</w:t>
      </w:r>
      <w:r w:rsidRPr="00EC2DE6">
        <w:rPr>
          <w:rFonts w:ascii="Times New Roman" w:hAnsi="Times New Roman" w:cs="Times New Roman"/>
          <w:lang w:val="es-PR"/>
        </w:rPr>
        <w:t xml:space="preserve"> </w:t>
      </w:r>
      <w:r w:rsidRPr="00EC2DE6">
        <w:rPr>
          <w:rFonts w:ascii="Times New Roman" w:hAnsi="Times New Roman" w:cs="Times New Roman"/>
          <w:i/>
          <w:iCs/>
          <w:lang w:val="es-PR"/>
        </w:rPr>
        <w:t>S. aureus</w:t>
      </w:r>
      <w:r w:rsidRPr="00EC2DE6">
        <w:rPr>
          <w:rFonts w:ascii="Times New Roman" w:hAnsi="Times New Roman" w:cs="Times New Roman"/>
          <w:lang w:val="es-PR"/>
        </w:rPr>
        <w:t>.</w:t>
      </w:r>
      <w:r w:rsidR="00275E27">
        <w:rPr>
          <w:rFonts w:ascii="Times New Roman" w:hAnsi="Times New Roman" w:cs="Times New Roman"/>
          <w:vertAlign w:val="superscript"/>
          <w:lang w:val="es-PR"/>
        </w:rPr>
        <w:t>20</w:t>
      </w:r>
      <w:r w:rsidRPr="00EC2DE6">
        <w:rPr>
          <w:rFonts w:ascii="Times New Roman" w:hAnsi="Times New Roman" w:cs="Times New Roman"/>
          <w:lang w:val="es-PR"/>
        </w:rPr>
        <w:t xml:space="preserve"> En lugar de servir </w:t>
      </w:r>
      <w:r w:rsidR="00275E27">
        <w:rPr>
          <w:rFonts w:ascii="Times New Roman" w:hAnsi="Times New Roman" w:cs="Times New Roman"/>
          <w:lang w:val="es-PR"/>
        </w:rPr>
        <w:t xml:space="preserve">directamente </w:t>
      </w:r>
      <w:r w:rsidRPr="00EC2DE6">
        <w:rPr>
          <w:rFonts w:ascii="Times New Roman" w:hAnsi="Times New Roman" w:cs="Times New Roman"/>
          <w:lang w:val="es-PR"/>
        </w:rPr>
        <w:t>como un</w:t>
      </w:r>
      <w:r w:rsidR="00275E27">
        <w:rPr>
          <w:rFonts w:ascii="Times New Roman" w:hAnsi="Times New Roman" w:cs="Times New Roman"/>
          <w:lang w:val="es-PR"/>
        </w:rPr>
        <w:t xml:space="preserve"> receptor</w:t>
      </w:r>
      <w:r w:rsidRPr="00EC2DE6">
        <w:rPr>
          <w:rFonts w:ascii="Times New Roman" w:hAnsi="Times New Roman" w:cs="Times New Roman"/>
          <w:lang w:val="es-PR"/>
        </w:rPr>
        <w:t xml:space="preserve"> del fago, </w:t>
      </w:r>
      <w:r w:rsidRPr="00275E27">
        <w:rPr>
          <w:rFonts w:ascii="Times New Roman" w:hAnsi="Times New Roman" w:cs="Times New Roman"/>
          <w:i/>
          <w:iCs/>
          <w:lang w:val="es-PR"/>
        </w:rPr>
        <w:t xml:space="preserve">femA </w:t>
      </w:r>
      <w:r w:rsidRPr="00EC2DE6">
        <w:rPr>
          <w:rFonts w:ascii="Times New Roman" w:hAnsi="Times New Roman" w:cs="Times New Roman"/>
          <w:lang w:val="es-PR"/>
        </w:rPr>
        <w:t xml:space="preserve">mantiene la integridad de la pared celular, que a su vez podría ser vital para la maduración de WTA y la </w:t>
      </w:r>
      <w:r w:rsidR="00275E27">
        <w:rPr>
          <w:rFonts w:ascii="Times New Roman" w:hAnsi="Times New Roman" w:cs="Times New Roman"/>
          <w:lang w:val="es-PR"/>
        </w:rPr>
        <w:t>adhesión</w:t>
      </w:r>
      <w:r w:rsidRPr="00EC2DE6">
        <w:rPr>
          <w:rFonts w:ascii="Times New Roman" w:hAnsi="Times New Roman" w:cs="Times New Roman"/>
          <w:lang w:val="es-PR"/>
        </w:rPr>
        <w:t xml:space="preserve"> del fago.</w:t>
      </w:r>
      <w:r w:rsidRPr="00275E27">
        <w:rPr>
          <w:rFonts w:ascii="Times New Roman" w:hAnsi="Times New Roman" w:cs="Times New Roman"/>
          <w:vertAlign w:val="superscript"/>
          <w:lang w:val="es-PR"/>
        </w:rPr>
        <w:t>13,21</w:t>
      </w:r>
      <w:r w:rsidRPr="00EC2DE6">
        <w:rPr>
          <w:rFonts w:ascii="Times New Roman" w:hAnsi="Times New Roman" w:cs="Times New Roman"/>
          <w:lang w:val="es-PR"/>
        </w:rPr>
        <w:t xml:space="preserve"> Curiosamente, una consecuencia de estas mutaciones de femA es una mayor sensibilidad a los antibióticos</w:t>
      </w:r>
      <w:r w:rsidR="00275E27">
        <w:rPr>
          <w:rFonts w:ascii="Times New Roman" w:hAnsi="Times New Roman" w:cs="Times New Roman"/>
          <w:lang w:val="es-PR"/>
        </w:rPr>
        <w:t xml:space="preserve"> betalactámicos</w:t>
      </w:r>
      <w:r w:rsidRPr="00EC2DE6">
        <w:rPr>
          <w:rFonts w:ascii="Times New Roman" w:hAnsi="Times New Roman" w:cs="Times New Roman"/>
          <w:lang w:val="es-PR"/>
        </w:rPr>
        <w:t xml:space="preserve">. Por lo tanto, nos preguntamos cómo la resistencia a los fagos podría afectar la fisiología del SARM, con la </w:t>
      </w:r>
      <w:r w:rsidR="00275E27">
        <w:rPr>
          <w:rFonts w:ascii="Times New Roman" w:hAnsi="Times New Roman" w:cs="Times New Roman"/>
          <w:lang w:val="es-PR"/>
        </w:rPr>
        <w:t>intención</w:t>
      </w:r>
      <w:r w:rsidRPr="00EC2DE6">
        <w:rPr>
          <w:rFonts w:ascii="Times New Roman" w:hAnsi="Times New Roman" w:cs="Times New Roman"/>
          <w:lang w:val="es-PR"/>
        </w:rPr>
        <w:t xml:space="preserve"> de identificar compensaciones </w:t>
      </w:r>
      <w:r w:rsidR="00275E27">
        <w:rPr>
          <w:rFonts w:ascii="Times New Roman" w:hAnsi="Times New Roman" w:cs="Times New Roman"/>
          <w:lang w:val="es-PR"/>
        </w:rPr>
        <w:t>evolutivas</w:t>
      </w:r>
      <w:r w:rsidRPr="00EC2DE6">
        <w:rPr>
          <w:rFonts w:ascii="Times New Roman" w:hAnsi="Times New Roman" w:cs="Times New Roman"/>
          <w:lang w:val="es-PR"/>
        </w:rPr>
        <w:t xml:space="preserve"> de posible </w:t>
      </w:r>
      <w:r w:rsidR="00275E27">
        <w:rPr>
          <w:rFonts w:ascii="Times New Roman" w:hAnsi="Times New Roman" w:cs="Times New Roman"/>
          <w:lang w:val="es-PR"/>
        </w:rPr>
        <w:t>r</w:t>
      </w:r>
      <w:r w:rsidRPr="00EC2DE6">
        <w:rPr>
          <w:rFonts w:ascii="Times New Roman" w:hAnsi="Times New Roman" w:cs="Times New Roman"/>
          <w:lang w:val="es-PR"/>
        </w:rPr>
        <w:t>elevancia biomédica.</w:t>
      </w:r>
    </w:p>
    <w:p w14:paraId="32799EC5" w14:textId="77777777" w:rsidR="00275E27" w:rsidRDefault="00275E27" w:rsidP="00A720ED">
      <w:pPr>
        <w:pStyle w:val="NoSpacing"/>
        <w:rPr>
          <w:rFonts w:ascii="Times New Roman" w:hAnsi="Times New Roman" w:cs="Times New Roman"/>
          <w:lang w:val="es-PR"/>
        </w:rPr>
      </w:pPr>
    </w:p>
    <w:p w14:paraId="115EF137" w14:textId="5EC637DF" w:rsidR="00275E27" w:rsidRDefault="00275E27" w:rsidP="00A720ED">
      <w:pPr>
        <w:pStyle w:val="NoSpacing"/>
        <w:rPr>
          <w:rFonts w:ascii="Times New Roman" w:hAnsi="Times New Roman" w:cs="Times New Roman"/>
          <w:lang w:val="es-PR"/>
        </w:rPr>
      </w:pPr>
      <w:r w:rsidRPr="00275E27">
        <w:rPr>
          <w:rFonts w:ascii="Times New Roman" w:hAnsi="Times New Roman" w:cs="Times New Roman"/>
          <w:lang w:val="es-PR"/>
        </w:rPr>
        <w:t xml:space="preserve">En </w:t>
      </w:r>
      <w:r>
        <w:rPr>
          <w:rFonts w:ascii="Times New Roman" w:hAnsi="Times New Roman" w:cs="Times New Roman"/>
          <w:lang w:val="es-PR"/>
        </w:rPr>
        <w:t>esta publicación</w:t>
      </w:r>
      <w:r w:rsidRPr="00275E27">
        <w:rPr>
          <w:rFonts w:ascii="Times New Roman" w:hAnsi="Times New Roman" w:cs="Times New Roman"/>
          <w:lang w:val="es-PR"/>
        </w:rPr>
        <w:t xml:space="preserve">, demostramos que la infección por fagos estafilocócicos provoca que </w:t>
      </w:r>
      <w:r>
        <w:rPr>
          <w:rFonts w:ascii="Times New Roman" w:hAnsi="Times New Roman" w:cs="Times New Roman"/>
          <w:lang w:val="es-PR"/>
        </w:rPr>
        <w:t>diferentes</w:t>
      </w:r>
      <w:r w:rsidRPr="00275E27">
        <w:rPr>
          <w:rFonts w:ascii="Times New Roman" w:hAnsi="Times New Roman" w:cs="Times New Roman"/>
          <w:lang w:val="es-PR"/>
        </w:rPr>
        <w:t xml:space="preserve"> cepas de SARM desarrollen sensibilidad a diferentes antibióticos β-lactámicos y </w:t>
      </w:r>
      <w:r w:rsidRPr="00275E27">
        <w:rPr>
          <w:rFonts w:ascii="Times New Roman" w:hAnsi="Times New Roman" w:cs="Times New Roman"/>
          <w:lang w:val="es-PR"/>
        </w:rPr>
        <w:lastRenderedPageBreak/>
        <w:t xml:space="preserve">atenúen </w:t>
      </w:r>
      <w:r>
        <w:rPr>
          <w:rFonts w:ascii="Times New Roman" w:hAnsi="Times New Roman" w:cs="Times New Roman"/>
          <w:lang w:val="es-PR"/>
        </w:rPr>
        <w:t>múltiples</w:t>
      </w:r>
      <w:r w:rsidRPr="00275E27">
        <w:rPr>
          <w:rFonts w:ascii="Times New Roman" w:hAnsi="Times New Roman" w:cs="Times New Roman"/>
          <w:lang w:val="es-PR"/>
        </w:rPr>
        <w:t xml:space="preserve"> fenotipos de virulencia. Descubrimos que esta pérdida de resistencia y virulencia se asocia con perfiles mutacionales distintivos en cada cepa de SARM, y que las poblaciones de SARM evolucionadas tratadas con fagos presentan una remodelación significativa de</w:t>
      </w:r>
      <w:r>
        <w:rPr>
          <w:rFonts w:ascii="Times New Roman" w:hAnsi="Times New Roman" w:cs="Times New Roman"/>
          <w:lang w:val="es-PR"/>
        </w:rPr>
        <w:t xml:space="preserve"> sus</w:t>
      </w:r>
      <w:r w:rsidRPr="00275E27">
        <w:rPr>
          <w:rFonts w:ascii="Times New Roman" w:hAnsi="Times New Roman" w:cs="Times New Roman"/>
          <w:lang w:val="es-PR"/>
        </w:rPr>
        <w:t xml:space="preserve"> transcriptoma</w:t>
      </w:r>
      <w:r>
        <w:rPr>
          <w:rFonts w:ascii="Times New Roman" w:hAnsi="Times New Roman" w:cs="Times New Roman"/>
          <w:lang w:val="es-PR"/>
        </w:rPr>
        <w:t>s</w:t>
      </w:r>
      <w:r w:rsidRPr="00275E27">
        <w:rPr>
          <w:rFonts w:ascii="Times New Roman" w:hAnsi="Times New Roman" w:cs="Times New Roman"/>
          <w:lang w:val="es-PR"/>
        </w:rPr>
        <w:t>. Sorprendentemente, también descubrimos un fago mutante con mayor actividad y un espectro de hospedadores más amplio contra el SARM. Los hallazgos de nuestro trabajo pueden contribuir al desarrollo de terapias con fagos que reduzcan la farmacorresistencia y la virulencia en bacterias patógenas.</w:t>
      </w:r>
    </w:p>
    <w:p w14:paraId="128AB894" w14:textId="77777777" w:rsidR="006E5DBB" w:rsidRDefault="006E5DBB" w:rsidP="00A720ED">
      <w:pPr>
        <w:pStyle w:val="NoSpacing"/>
        <w:rPr>
          <w:rFonts w:ascii="Times New Roman" w:hAnsi="Times New Roman" w:cs="Times New Roman"/>
          <w:lang w:val="es-PR"/>
        </w:rPr>
      </w:pPr>
    </w:p>
    <w:p w14:paraId="656E8B3F" w14:textId="3CC06FE8" w:rsidR="006E5DBB" w:rsidRPr="00D44FBE" w:rsidRDefault="006E5DBB" w:rsidP="00A720ED">
      <w:pPr>
        <w:pStyle w:val="NoSpacing"/>
        <w:rPr>
          <w:rFonts w:ascii="Times New Roman" w:hAnsi="Times New Roman" w:cs="Times New Roman"/>
          <w:b/>
          <w:bCs/>
          <w:u w:val="single"/>
          <w:lang w:val="es-PR"/>
        </w:rPr>
      </w:pPr>
      <w:r w:rsidRPr="00D44FBE">
        <w:rPr>
          <w:rFonts w:ascii="Times New Roman" w:hAnsi="Times New Roman" w:cs="Times New Roman"/>
          <w:b/>
          <w:bCs/>
          <w:u w:val="single"/>
          <w:lang w:val="es-PR"/>
        </w:rPr>
        <w:t>Resultados</w:t>
      </w:r>
    </w:p>
    <w:p w14:paraId="0852212F" w14:textId="746CA35E" w:rsidR="00EB369B" w:rsidRPr="00D44FBE" w:rsidRDefault="00EB369B" w:rsidP="00EB369B">
      <w:pPr>
        <w:pStyle w:val="NoSpacing"/>
        <w:rPr>
          <w:rFonts w:ascii="Times New Roman" w:hAnsi="Times New Roman" w:cs="Times New Roman"/>
          <w:b/>
          <w:bCs/>
          <w:lang w:val="es-PR"/>
        </w:rPr>
      </w:pPr>
      <w:r w:rsidRPr="00D44FBE">
        <w:rPr>
          <w:rFonts w:ascii="Times New Roman" w:hAnsi="Times New Roman" w:cs="Times New Roman"/>
          <w:b/>
          <w:bCs/>
          <w:lang w:val="es-PR"/>
        </w:rPr>
        <w:t>Identificación de</w:t>
      </w:r>
      <w:r w:rsidR="00401F59" w:rsidRPr="00D44FBE">
        <w:rPr>
          <w:rFonts w:ascii="Times New Roman" w:hAnsi="Times New Roman" w:cs="Times New Roman"/>
          <w:b/>
          <w:bCs/>
          <w:lang w:val="es-PR"/>
        </w:rPr>
        <w:t>l fago</w:t>
      </w:r>
      <w:r w:rsidRPr="00D44FBE">
        <w:rPr>
          <w:rFonts w:ascii="Times New Roman" w:hAnsi="Times New Roman" w:cs="Times New Roman"/>
          <w:b/>
          <w:bCs/>
          <w:lang w:val="es-PR"/>
        </w:rPr>
        <w:t xml:space="preserve"> ΦStaph1N con actividad </w:t>
      </w:r>
      <w:r w:rsidR="00401F59" w:rsidRPr="00D44FBE">
        <w:rPr>
          <w:rFonts w:ascii="Times New Roman" w:hAnsi="Times New Roman" w:cs="Times New Roman"/>
          <w:b/>
          <w:bCs/>
          <w:lang w:val="es-PR"/>
        </w:rPr>
        <w:t xml:space="preserve">lítica </w:t>
      </w:r>
      <w:r w:rsidRPr="00D44FBE">
        <w:rPr>
          <w:rFonts w:ascii="Times New Roman" w:hAnsi="Times New Roman" w:cs="Times New Roman"/>
          <w:b/>
          <w:bCs/>
          <w:lang w:val="es-PR"/>
        </w:rPr>
        <w:t>contra múltiples cepas de SARM</w:t>
      </w:r>
    </w:p>
    <w:p w14:paraId="33DD1BC7" w14:textId="00C6978B" w:rsidR="00526B4D" w:rsidRDefault="00EB369B" w:rsidP="00EB369B">
      <w:pPr>
        <w:pStyle w:val="NoSpacing"/>
        <w:rPr>
          <w:rFonts w:ascii="Times New Roman" w:hAnsi="Times New Roman" w:cs="Times New Roman"/>
          <w:lang w:val="es-PR"/>
        </w:rPr>
      </w:pPr>
      <w:r w:rsidRPr="00EB369B">
        <w:rPr>
          <w:rFonts w:ascii="Times New Roman" w:hAnsi="Times New Roman" w:cs="Times New Roman"/>
          <w:lang w:val="es-PR"/>
        </w:rPr>
        <w:t>Para nuestros estudios, nos centramos en tres cepas de SARM: MRSA252 (USA200), MW2 (USA400) y LAC (USA300).</w:t>
      </w:r>
      <w:r w:rsidR="00CB19E5">
        <w:rPr>
          <w:rFonts w:ascii="Times New Roman" w:hAnsi="Times New Roman" w:cs="Times New Roman"/>
          <w:lang w:val="es-PR"/>
        </w:rPr>
        <w:t xml:space="preserve"> Estas</w:t>
      </w:r>
      <w:r w:rsidRPr="00EB369B">
        <w:rPr>
          <w:rFonts w:ascii="Times New Roman" w:hAnsi="Times New Roman" w:cs="Times New Roman"/>
          <w:lang w:val="es-PR"/>
        </w:rPr>
        <w:t xml:space="preserve"> tres cepas de SARM son aislados </w:t>
      </w:r>
      <w:r w:rsidR="00CB19E5">
        <w:rPr>
          <w:rFonts w:ascii="Times New Roman" w:hAnsi="Times New Roman" w:cs="Times New Roman"/>
          <w:lang w:val="es-PR"/>
        </w:rPr>
        <w:t>clínicos</w:t>
      </w:r>
      <w:r w:rsidRPr="00EB369B">
        <w:rPr>
          <w:rFonts w:ascii="Times New Roman" w:hAnsi="Times New Roman" w:cs="Times New Roman"/>
          <w:lang w:val="es-PR"/>
        </w:rPr>
        <w:t xml:space="preserve"> implicados en enfermedades humanas y se utilizan como ejemplos representativos para estudio</w:t>
      </w:r>
      <w:r w:rsidR="00CB19E5">
        <w:rPr>
          <w:rFonts w:ascii="Times New Roman" w:hAnsi="Times New Roman" w:cs="Times New Roman"/>
          <w:lang w:val="es-PR"/>
        </w:rPr>
        <w:t>s</w:t>
      </w:r>
      <w:r w:rsidRPr="00EB369B">
        <w:rPr>
          <w:rFonts w:ascii="Times New Roman" w:hAnsi="Times New Roman" w:cs="Times New Roman"/>
          <w:lang w:val="es-PR"/>
        </w:rPr>
        <w:t xml:space="preserve"> de SARM.</w:t>
      </w:r>
      <w:r w:rsidRPr="00CB19E5">
        <w:rPr>
          <w:rFonts w:ascii="Times New Roman" w:hAnsi="Times New Roman" w:cs="Times New Roman"/>
          <w:vertAlign w:val="superscript"/>
          <w:lang w:val="es-PR"/>
        </w:rPr>
        <w:t>22–24</w:t>
      </w:r>
      <w:r w:rsidRPr="00EB369B">
        <w:rPr>
          <w:rFonts w:ascii="Times New Roman" w:hAnsi="Times New Roman" w:cs="Times New Roman"/>
          <w:lang w:val="es-PR"/>
        </w:rPr>
        <w:t xml:space="preserve"> Para evaluar la susceptibilidad a los fagos, realizamos ensayos de placa con un panel de fagos estafilocócicos (</w:t>
      </w:r>
      <w:r w:rsidR="00AD4185">
        <w:rPr>
          <w:rFonts w:ascii="Times New Roman" w:hAnsi="Times New Roman" w:cs="Times New Roman"/>
          <w:lang w:val="es-PR"/>
        </w:rPr>
        <w:t>Figura 1, Figura 1- Figura suplementaria 1</w:t>
      </w:r>
      <w:r w:rsidRPr="00EB369B">
        <w:rPr>
          <w:rFonts w:ascii="Times New Roman" w:hAnsi="Times New Roman" w:cs="Times New Roman"/>
          <w:lang w:val="es-PR"/>
        </w:rPr>
        <w:t xml:space="preserve">). De los fagos analizados, </w:t>
      </w:r>
      <w:r w:rsidR="00CB19E5">
        <w:rPr>
          <w:rFonts w:ascii="Times New Roman" w:hAnsi="Times New Roman" w:cs="Times New Roman"/>
          <w:lang w:val="es-PR"/>
        </w:rPr>
        <w:t>el fago</w:t>
      </w:r>
      <w:r w:rsidRPr="00EB369B">
        <w:rPr>
          <w:rFonts w:ascii="Times New Roman" w:hAnsi="Times New Roman" w:cs="Times New Roman"/>
          <w:lang w:val="es-PR"/>
        </w:rPr>
        <w:t xml:space="preserve"> ΦStaph1N, perteneciente al género Kayvirus, formó placas en las tres cepas de SARM (Figura 1B).</w:t>
      </w:r>
      <w:r w:rsidRPr="00CB19E5">
        <w:rPr>
          <w:rFonts w:ascii="Times New Roman" w:hAnsi="Times New Roman" w:cs="Times New Roman"/>
          <w:vertAlign w:val="superscript"/>
          <w:lang w:val="es-PR"/>
        </w:rPr>
        <w:t>21,25</w:t>
      </w:r>
      <w:r w:rsidR="00CB19E5">
        <w:rPr>
          <w:rFonts w:ascii="Times New Roman" w:hAnsi="Times New Roman" w:cs="Times New Roman"/>
          <w:lang w:val="es-PR"/>
        </w:rPr>
        <w:t xml:space="preserve"> </w:t>
      </w:r>
      <w:r w:rsidRPr="00EB369B">
        <w:rPr>
          <w:rFonts w:ascii="Times New Roman" w:hAnsi="Times New Roman" w:cs="Times New Roman"/>
          <w:lang w:val="es-PR"/>
        </w:rPr>
        <w:t>Sin embargo, a pesar de su capacidad para infectar las tres cepas, la infección por ΦStaph1N no logró erradicar</w:t>
      </w:r>
      <w:r w:rsidR="00CB19E5">
        <w:rPr>
          <w:rFonts w:ascii="Times New Roman" w:hAnsi="Times New Roman" w:cs="Times New Roman"/>
          <w:lang w:val="es-PR"/>
        </w:rPr>
        <w:t xml:space="preserve"> completamente</w:t>
      </w:r>
      <w:r w:rsidRPr="00EB369B">
        <w:rPr>
          <w:rFonts w:ascii="Times New Roman" w:hAnsi="Times New Roman" w:cs="Times New Roman"/>
          <w:lang w:val="es-PR"/>
        </w:rPr>
        <w:t xml:space="preserve"> los cultivos de SARM. Tanto MW2 como LAC mostraron una lisis incompleta en cultivo líquido con multiplicidad de infección (MOI) de 0</w:t>
      </w:r>
      <w:r w:rsidR="005C3C51">
        <w:rPr>
          <w:rFonts w:ascii="Times New Roman" w:hAnsi="Times New Roman" w:cs="Times New Roman"/>
          <w:lang w:val="es-PR"/>
        </w:rPr>
        <w:t>.</w:t>
      </w:r>
      <w:r w:rsidRPr="00EB369B">
        <w:rPr>
          <w:rFonts w:ascii="Times New Roman" w:hAnsi="Times New Roman" w:cs="Times New Roman"/>
          <w:lang w:val="es-PR"/>
        </w:rPr>
        <w:t>1 o inferiores (Fig</w:t>
      </w:r>
      <w:r w:rsidR="00AD4185">
        <w:rPr>
          <w:rFonts w:ascii="Times New Roman" w:hAnsi="Times New Roman" w:cs="Times New Roman"/>
          <w:lang w:val="es-PR"/>
        </w:rPr>
        <w:t>ura 1- Figura suplementaria 2</w:t>
      </w:r>
      <w:r w:rsidRPr="00EB369B">
        <w:rPr>
          <w:rFonts w:ascii="Times New Roman" w:hAnsi="Times New Roman" w:cs="Times New Roman"/>
          <w:lang w:val="es-PR"/>
        </w:rPr>
        <w:t>). Además, los cultivos infectados de las tres cepas de SARM pudieron recuperar una alta densidad celular tras el pasaje de</w:t>
      </w:r>
      <w:r w:rsidR="00CB19E5">
        <w:rPr>
          <w:rFonts w:ascii="Times New Roman" w:hAnsi="Times New Roman" w:cs="Times New Roman"/>
          <w:lang w:val="es-PR"/>
        </w:rPr>
        <w:t>l</w:t>
      </w:r>
      <w:r w:rsidRPr="00EB369B">
        <w:rPr>
          <w:rFonts w:ascii="Times New Roman" w:hAnsi="Times New Roman" w:cs="Times New Roman"/>
          <w:lang w:val="es-PR"/>
        </w:rPr>
        <w:t xml:space="preserve"> 1% del cultivo a medio </w:t>
      </w:r>
      <w:r w:rsidR="00CB19E5">
        <w:rPr>
          <w:rFonts w:ascii="Times New Roman" w:hAnsi="Times New Roman" w:cs="Times New Roman"/>
          <w:lang w:val="es-PR"/>
        </w:rPr>
        <w:t xml:space="preserve">de cultivo </w:t>
      </w:r>
      <w:r w:rsidRPr="00EB369B">
        <w:rPr>
          <w:rFonts w:ascii="Times New Roman" w:hAnsi="Times New Roman" w:cs="Times New Roman"/>
          <w:lang w:val="es-PR"/>
        </w:rPr>
        <w:t xml:space="preserve">fresco tras 24 horas de la infección inicial. Estos resultados sugieren que la infección por ΦStaph1N selecciona </w:t>
      </w:r>
      <w:r w:rsidR="00CB19E5">
        <w:rPr>
          <w:rFonts w:ascii="Times New Roman" w:hAnsi="Times New Roman" w:cs="Times New Roman"/>
          <w:lang w:val="es-PR"/>
        </w:rPr>
        <w:t xml:space="preserve">a </w:t>
      </w:r>
      <w:r w:rsidRPr="00EB369B">
        <w:rPr>
          <w:rFonts w:ascii="Times New Roman" w:hAnsi="Times New Roman" w:cs="Times New Roman"/>
          <w:lang w:val="es-PR"/>
        </w:rPr>
        <w:t xml:space="preserve">mutantes resistentes </w:t>
      </w:r>
      <w:r w:rsidR="001104C5">
        <w:rPr>
          <w:rFonts w:ascii="Times New Roman" w:hAnsi="Times New Roman" w:cs="Times New Roman"/>
          <w:lang w:val="es-PR"/>
        </w:rPr>
        <w:t>causando un barrido selectivo</w:t>
      </w:r>
      <w:r w:rsidRPr="00EB369B">
        <w:rPr>
          <w:rFonts w:ascii="Times New Roman" w:hAnsi="Times New Roman" w:cs="Times New Roman"/>
          <w:lang w:val="es-PR"/>
        </w:rPr>
        <w:t>. De hecho, ΦStaph1N no pudo formar placas en cultivos de SARM recuperados que sobrevivieron a la infección inicial con ΦStaph1N (Figura 1B).</w:t>
      </w:r>
    </w:p>
    <w:p w14:paraId="29B32FEF" w14:textId="77777777" w:rsidR="001104C5" w:rsidRDefault="001104C5" w:rsidP="00EB369B">
      <w:pPr>
        <w:pStyle w:val="NoSpacing"/>
        <w:rPr>
          <w:rFonts w:ascii="Times New Roman" w:hAnsi="Times New Roman" w:cs="Times New Roman"/>
          <w:lang w:val="es-PR"/>
        </w:rPr>
      </w:pPr>
    </w:p>
    <w:p w14:paraId="5E276A43" w14:textId="48B9CE2E" w:rsidR="001104C5" w:rsidRPr="00D44FBE" w:rsidRDefault="001104C5" w:rsidP="001104C5">
      <w:pPr>
        <w:pStyle w:val="NoSpacing"/>
        <w:rPr>
          <w:rFonts w:ascii="Times New Roman" w:hAnsi="Times New Roman" w:cs="Times New Roman"/>
          <w:b/>
          <w:bCs/>
          <w:lang w:val="es-PR"/>
        </w:rPr>
      </w:pPr>
      <w:r w:rsidRPr="00D44FBE">
        <w:rPr>
          <w:rFonts w:ascii="Times New Roman" w:hAnsi="Times New Roman" w:cs="Times New Roman"/>
          <w:b/>
          <w:bCs/>
          <w:lang w:val="es-PR"/>
        </w:rPr>
        <w:t>Resistencia a infección de ΦStaph1N sensibiliza al SARM contra los β-lactámicos.</w:t>
      </w:r>
    </w:p>
    <w:p w14:paraId="4CE61AC4" w14:textId="5DD56A9B" w:rsidR="001104C5" w:rsidRDefault="001104C5" w:rsidP="001104C5">
      <w:pPr>
        <w:pStyle w:val="NoSpacing"/>
        <w:rPr>
          <w:rFonts w:ascii="Times New Roman" w:hAnsi="Times New Roman" w:cs="Times New Roman"/>
          <w:lang w:val="es-PR"/>
        </w:rPr>
      </w:pPr>
      <w:r w:rsidRPr="001104C5">
        <w:rPr>
          <w:rFonts w:ascii="Times New Roman" w:hAnsi="Times New Roman" w:cs="Times New Roman"/>
          <w:lang w:val="es-PR"/>
        </w:rPr>
        <w:t>Dado que tanto los fagos como las β-lactámic</w:t>
      </w:r>
      <w:r>
        <w:rPr>
          <w:rFonts w:ascii="Times New Roman" w:hAnsi="Times New Roman" w:cs="Times New Roman"/>
          <w:lang w:val="es-PR"/>
        </w:rPr>
        <w:t>o</w:t>
      </w:r>
      <w:r w:rsidRPr="001104C5">
        <w:rPr>
          <w:rFonts w:ascii="Times New Roman" w:hAnsi="Times New Roman" w:cs="Times New Roman"/>
          <w:lang w:val="es-PR"/>
        </w:rPr>
        <w:t xml:space="preserve">s interactúan con la pared celular bacteriana, planteamos la hipótesis de que resistencia a infección </w:t>
      </w:r>
      <w:r w:rsidR="002E38CD">
        <w:rPr>
          <w:rFonts w:ascii="Times New Roman" w:hAnsi="Times New Roman" w:cs="Times New Roman"/>
          <w:lang w:val="es-PR"/>
        </w:rPr>
        <w:t>de</w:t>
      </w:r>
      <w:r w:rsidRPr="001104C5">
        <w:rPr>
          <w:rFonts w:ascii="Times New Roman" w:hAnsi="Times New Roman" w:cs="Times New Roman"/>
          <w:lang w:val="es-PR"/>
        </w:rPr>
        <w:t xml:space="preserve"> ΦStaph1N podría causar un</w:t>
      </w:r>
      <w:r w:rsidR="002E38CD">
        <w:rPr>
          <w:rFonts w:ascii="Times New Roman" w:hAnsi="Times New Roman" w:cs="Times New Roman"/>
          <w:lang w:val="es-PR"/>
        </w:rPr>
        <w:t xml:space="preserve"> cambio</w:t>
      </w:r>
      <w:r w:rsidRPr="001104C5">
        <w:rPr>
          <w:rFonts w:ascii="Times New Roman" w:hAnsi="Times New Roman" w:cs="Times New Roman"/>
          <w:lang w:val="es-PR"/>
        </w:rPr>
        <w:t xml:space="preserve"> en la resistencia a l</w:t>
      </w:r>
      <w:r w:rsidR="002E38CD">
        <w:rPr>
          <w:rFonts w:ascii="Times New Roman" w:hAnsi="Times New Roman" w:cs="Times New Roman"/>
          <w:lang w:val="es-PR"/>
        </w:rPr>
        <w:t>o</w:t>
      </w:r>
      <w:r w:rsidRPr="001104C5">
        <w:rPr>
          <w:rFonts w:ascii="Times New Roman" w:hAnsi="Times New Roman" w:cs="Times New Roman"/>
          <w:lang w:val="es-PR"/>
        </w:rPr>
        <w:t>s β-lactámic</w:t>
      </w:r>
      <w:r w:rsidR="002E38CD">
        <w:rPr>
          <w:rFonts w:ascii="Times New Roman" w:hAnsi="Times New Roman" w:cs="Times New Roman"/>
          <w:lang w:val="es-PR"/>
        </w:rPr>
        <w:t>o</w:t>
      </w:r>
      <w:r w:rsidRPr="001104C5">
        <w:rPr>
          <w:rFonts w:ascii="Times New Roman" w:hAnsi="Times New Roman" w:cs="Times New Roman"/>
          <w:lang w:val="es-PR"/>
        </w:rPr>
        <w:t>s en el SARM, incluso en presencia de PBP2a y BlaZ. Primero, evaluamos la sensibilidad a l</w:t>
      </w:r>
      <w:r w:rsidR="002E38CD">
        <w:rPr>
          <w:rFonts w:ascii="Times New Roman" w:hAnsi="Times New Roman" w:cs="Times New Roman"/>
          <w:lang w:val="es-PR"/>
        </w:rPr>
        <w:t>o</w:t>
      </w:r>
      <w:r w:rsidRPr="001104C5">
        <w:rPr>
          <w:rFonts w:ascii="Times New Roman" w:hAnsi="Times New Roman" w:cs="Times New Roman"/>
          <w:lang w:val="es-PR"/>
        </w:rPr>
        <w:t>s β-lactámic</w:t>
      </w:r>
      <w:r w:rsidR="002E38CD">
        <w:rPr>
          <w:rFonts w:ascii="Times New Roman" w:hAnsi="Times New Roman" w:cs="Times New Roman"/>
          <w:lang w:val="es-PR"/>
        </w:rPr>
        <w:t>o</w:t>
      </w:r>
      <w:r w:rsidRPr="001104C5">
        <w:rPr>
          <w:rFonts w:ascii="Times New Roman" w:hAnsi="Times New Roman" w:cs="Times New Roman"/>
          <w:lang w:val="es-PR"/>
        </w:rPr>
        <w:t>s de las cepas parentales MRSA252, MW2 y LAC. Como era de esperar, las tres cepas mostraron altas concentraciones inhibitorias mínimas (CMI) de ≥48 µg/mL contra l</w:t>
      </w:r>
      <w:r w:rsidR="002E38CD">
        <w:rPr>
          <w:rFonts w:ascii="Times New Roman" w:hAnsi="Times New Roman" w:cs="Times New Roman"/>
          <w:lang w:val="es-PR"/>
        </w:rPr>
        <w:t>o</w:t>
      </w:r>
      <w:r w:rsidRPr="001104C5">
        <w:rPr>
          <w:rFonts w:ascii="Times New Roman" w:hAnsi="Times New Roman" w:cs="Times New Roman"/>
          <w:lang w:val="es-PR"/>
        </w:rPr>
        <w:t>s β-lactámic</w:t>
      </w:r>
      <w:r w:rsidR="002E38CD">
        <w:rPr>
          <w:rFonts w:ascii="Times New Roman" w:hAnsi="Times New Roman" w:cs="Times New Roman"/>
          <w:lang w:val="es-PR"/>
        </w:rPr>
        <w:t>o</w:t>
      </w:r>
      <w:r w:rsidRPr="001104C5">
        <w:rPr>
          <w:rFonts w:ascii="Times New Roman" w:hAnsi="Times New Roman" w:cs="Times New Roman"/>
          <w:lang w:val="es-PR"/>
        </w:rPr>
        <w:t xml:space="preserve">s oxacilina (OXA), cefazolina (CEF), amoxicilina (AMX) y amoxicilina </w:t>
      </w:r>
      <w:r w:rsidR="002E38CD">
        <w:rPr>
          <w:rFonts w:ascii="Times New Roman" w:hAnsi="Times New Roman" w:cs="Times New Roman"/>
          <w:lang w:val="es-PR"/>
        </w:rPr>
        <w:t xml:space="preserve">con </w:t>
      </w:r>
      <w:r w:rsidRPr="001104C5">
        <w:rPr>
          <w:rFonts w:ascii="Times New Roman" w:hAnsi="Times New Roman" w:cs="Times New Roman"/>
          <w:lang w:val="es-PR"/>
        </w:rPr>
        <w:t xml:space="preserve">ácido clavulánico (AMX+CA), lo que se refleja visualmente en su capacidad </w:t>
      </w:r>
      <w:r w:rsidR="005C3C51">
        <w:rPr>
          <w:rFonts w:ascii="Times New Roman" w:hAnsi="Times New Roman" w:cs="Times New Roman"/>
          <w:lang w:val="es-PR"/>
        </w:rPr>
        <w:t>de formar crecimiento confluente</w:t>
      </w:r>
      <w:r w:rsidRPr="001104C5">
        <w:rPr>
          <w:rFonts w:ascii="Times New Roman" w:hAnsi="Times New Roman" w:cs="Times New Roman"/>
          <w:lang w:val="es-PR"/>
        </w:rPr>
        <w:t xml:space="preserve"> alrededor de tiras de antibióticos (Figura 1C). Las cepas fueron sensibles a la vancomicina (VANC; CMI = 1,5 µg/mL), que inhibe la síntesis de la pared celular mediante un mecanismo diferente al de l</w:t>
      </w:r>
      <w:r w:rsidR="005C3C51">
        <w:rPr>
          <w:rFonts w:ascii="Times New Roman" w:hAnsi="Times New Roman" w:cs="Times New Roman"/>
          <w:lang w:val="es-PR"/>
        </w:rPr>
        <w:t>o</w:t>
      </w:r>
      <w:r w:rsidRPr="001104C5">
        <w:rPr>
          <w:rFonts w:ascii="Times New Roman" w:hAnsi="Times New Roman" w:cs="Times New Roman"/>
          <w:lang w:val="es-PR"/>
        </w:rPr>
        <w:t>s β-lactámic</w:t>
      </w:r>
      <w:r w:rsidR="005C3C51">
        <w:rPr>
          <w:rFonts w:ascii="Times New Roman" w:hAnsi="Times New Roman" w:cs="Times New Roman"/>
          <w:lang w:val="es-PR"/>
        </w:rPr>
        <w:t>o</w:t>
      </w:r>
      <w:r w:rsidRPr="001104C5">
        <w:rPr>
          <w:rFonts w:ascii="Times New Roman" w:hAnsi="Times New Roman" w:cs="Times New Roman"/>
          <w:lang w:val="es-PR"/>
        </w:rPr>
        <w:t xml:space="preserve">s. Sorprendentemente, el SARM resistente a fagos que sobrevivió a la infección por ΦStaph1N mostró una fuerte reducción de la resistencia a OXA, CEF y AMX+CA, con reducciones de la CMI de entre 10 y 1000 veces (Figura 1D); no se observaron cambios en la CMI </w:t>
      </w:r>
      <w:r w:rsidR="005C3C51">
        <w:rPr>
          <w:rFonts w:ascii="Times New Roman" w:hAnsi="Times New Roman" w:cs="Times New Roman"/>
          <w:lang w:val="es-PR"/>
        </w:rPr>
        <w:t>de</w:t>
      </w:r>
      <w:r w:rsidRPr="001104C5">
        <w:rPr>
          <w:rFonts w:ascii="Times New Roman" w:hAnsi="Times New Roman" w:cs="Times New Roman"/>
          <w:lang w:val="es-PR"/>
        </w:rPr>
        <w:t xml:space="preserve"> VANC ni AMX. Estos resultados muestran, a nivel fenotípico, que el SARM resistente a ΦStaph1N pierde resistencia a l</w:t>
      </w:r>
      <w:r w:rsidR="005C3C51">
        <w:rPr>
          <w:rFonts w:ascii="Times New Roman" w:hAnsi="Times New Roman" w:cs="Times New Roman"/>
          <w:lang w:val="es-PR"/>
        </w:rPr>
        <w:t>o</w:t>
      </w:r>
      <w:r w:rsidRPr="001104C5">
        <w:rPr>
          <w:rFonts w:ascii="Times New Roman" w:hAnsi="Times New Roman" w:cs="Times New Roman"/>
          <w:lang w:val="es-PR"/>
        </w:rPr>
        <w:t>s β-lactámic</w:t>
      </w:r>
      <w:r w:rsidR="005C3C51">
        <w:rPr>
          <w:rFonts w:ascii="Times New Roman" w:hAnsi="Times New Roman" w:cs="Times New Roman"/>
          <w:lang w:val="es-PR"/>
        </w:rPr>
        <w:t>o</w:t>
      </w:r>
      <w:r w:rsidRPr="001104C5">
        <w:rPr>
          <w:rFonts w:ascii="Times New Roman" w:hAnsi="Times New Roman" w:cs="Times New Roman"/>
          <w:lang w:val="es-PR"/>
        </w:rPr>
        <w:t>s.</w:t>
      </w:r>
    </w:p>
    <w:p w14:paraId="0863C82A" w14:textId="77777777" w:rsidR="005C3C51" w:rsidRDefault="005C3C51" w:rsidP="001104C5">
      <w:pPr>
        <w:pStyle w:val="NoSpacing"/>
        <w:rPr>
          <w:rFonts w:ascii="Times New Roman" w:hAnsi="Times New Roman" w:cs="Times New Roman"/>
          <w:lang w:val="es-PR"/>
        </w:rPr>
      </w:pPr>
    </w:p>
    <w:p w14:paraId="0456A05F" w14:textId="01984370" w:rsidR="005C3C51" w:rsidRDefault="005C3C51" w:rsidP="001104C5">
      <w:pPr>
        <w:pStyle w:val="NoSpacing"/>
        <w:rPr>
          <w:rFonts w:ascii="Times New Roman" w:hAnsi="Times New Roman" w:cs="Times New Roman"/>
          <w:lang w:val="es-PR"/>
        </w:rPr>
      </w:pPr>
      <w:r>
        <w:rPr>
          <w:rFonts w:ascii="Times New Roman" w:hAnsi="Times New Roman" w:cs="Times New Roman"/>
          <w:lang w:val="es-PR"/>
        </w:rPr>
        <w:t xml:space="preserve">Luego </w:t>
      </w:r>
      <w:r w:rsidRPr="005C3C51">
        <w:rPr>
          <w:rFonts w:ascii="Times New Roman" w:hAnsi="Times New Roman" w:cs="Times New Roman"/>
          <w:lang w:val="es-PR"/>
        </w:rPr>
        <w:t xml:space="preserve">nos preguntamos si esta pérdida de resistencia a β-lactámicos dependía del MOI de ΦStaph1N. Infectamos las tres cepas de SARM con ΦStaph1N con </w:t>
      </w:r>
      <w:r>
        <w:rPr>
          <w:rFonts w:ascii="Times New Roman" w:hAnsi="Times New Roman" w:cs="Times New Roman"/>
          <w:lang w:val="es-PR"/>
        </w:rPr>
        <w:t xml:space="preserve">una </w:t>
      </w:r>
      <w:r w:rsidRPr="005C3C51">
        <w:rPr>
          <w:rFonts w:ascii="Times New Roman" w:hAnsi="Times New Roman" w:cs="Times New Roman"/>
          <w:lang w:val="es-PR"/>
        </w:rPr>
        <w:t>MOI entre 10</w:t>
      </w:r>
      <w:r w:rsidRPr="005C3C51">
        <w:rPr>
          <w:rFonts w:ascii="Times New Roman" w:hAnsi="Times New Roman" w:cs="Times New Roman"/>
          <w:vertAlign w:val="superscript"/>
          <w:lang w:val="es-PR"/>
        </w:rPr>
        <w:t>-2</w:t>
      </w:r>
      <w:r w:rsidRPr="005C3C51">
        <w:rPr>
          <w:rFonts w:ascii="Times New Roman" w:hAnsi="Times New Roman" w:cs="Times New Roman"/>
          <w:lang w:val="es-PR"/>
        </w:rPr>
        <w:t xml:space="preserve"> y 10</w:t>
      </w:r>
      <w:r w:rsidRPr="005C3C51">
        <w:rPr>
          <w:rFonts w:ascii="Times New Roman" w:hAnsi="Times New Roman" w:cs="Times New Roman"/>
          <w:vertAlign w:val="superscript"/>
          <w:lang w:val="es-PR"/>
        </w:rPr>
        <w:t>-5</w:t>
      </w:r>
      <w:r w:rsidRPr="005C3C51">
        <w:rPr>
          <w:rFonts w:ascii="Times New Roman" w:hAnsi="Times New Roman" w:cs="Times New Roman"/>
          <w:lang w:val="es-PR"/>
        </w:rPr>
        <w:t>, aislamos las células de SARM s</w:t>
      </w:r>
      <w:r>
        <w:rPr>
          <w:rFonts w:ascii="Times New Roman" w:hAnsi="Times New Roman" w:cs="Times New Roman"/>
          <w:lang w:val="es-PR"/>
        </w:rPr>
        <w:t>obre</w:t>
      </w:r>
      <w:r w:rsidRPr="005C3C51">
        <w:rPr>
          <w:rFonts w:ascii="Times New Roman" w:hAnsi="Times New Roman" w:cs="Times New Roman"/>
          <w:lang w:val="es-PR"/>
        </w:rPr>
        <w:t xml:space="preserve">vivientes y analizamos </w:t>
      </w:r>
      <w:r>
        <w:rPr>
          <w:rFonts w:ascii="Times New Roman" w:hAnsi="Times New Roman" w:cs="Times New Roman"/>
          <w:lang w:val="es-PR"/>
        </w:rPr>
        <w:t xml:space="preserve">la </w:t>
      </w:r>
      <w:r w:rsidRPr="005C3C51">
        <w:rPr>
          <w:rFonts w:ascii="Times New Roman" w:hAnsi="Times New Roman" w:cs="Times New Roman"/>
          <w:lang w:val="es-PR"/>
        </w:rPr>
        <w:t xml:space="preserve">CMI </w:t>
      </w:r>
      <w:r>
        <w:rPr>
          <w:rFonts w:ascii="Times New Roman" w:hAnsi="Times New Roman" w:cs="Times New Roman"/>
          <w:lang w:val="es-PR"/>
        </w:rPr>
        <w:t xml:space="preserve">de </w:t>
      </w:r>
      <w:r w:rsidRPr="005C3C51">
        <w:rPr>
          <w:rFonts w:ascii="Times New Roman" w:hAnsi="Times New Roman" w:cs="Times New Roman"/>
          <w:lang w:val="es-PR"/>
        </w:rPr>
        <w:t xml:space="preserve">oxacilina (Tabla </w:t>
      </w:r>
      <w:r w:rsidR="00AD4185">
        <w:rPr>
          <w:rFonts w:ascii="Times New Roman" w:hAnsi="Times New Roman" w:cs="Times New Roman"/>
          <w:lang w:val="es-PR"/>
        </w:rPr>
        <w:t>1</w:t>
      </w:r>
      <w:r w:rsidRPr="005C3C51">
        <w:rPr>
          <w:rFonts w:ascii="Times New Roman" w:hAnsi="Times New Roman" w:cs="Times New Roman"/>
          <w:lang w:val="es-PR"/>
        </w:rPr>
        <w:t xml:space="preserve">). En el caso de MRSA252, observamos una reducción de la CMI de aproximadamente tres órdenes de </w:t>
      </w:r>
      <w:r w:rsidRPr="005C3C51">
        <w:rPr>
          <w:rFonts w:ascii="Times New Roman" w:hAnsi="Times New Roman" w:cs="Times New Roman"/>
          <w:lang w:val="es-PR"/>
        </w:rPr>
        <w:lastRenderedPageBreak/>
        <w:t>magnitud con un MOI de 10</w:t>
      </w:r>
      <w:r w:rsidRPr="005C3C51">
        <w:rPr>
          <w:rFonts w:ascii="Times New Roman" w:hAnsi="Times New Roman" w:cs="Times New Roman"/>
          <w:vertAlign w:val="superscript"/>
          <w:lang w:val="es-PR"/>
        </w:rPr>
        <w:t>-5</w:t>
      </w:r>
      <w:r w:rsidRPr="005C3C51">
        <w:rPr>
          <w:rFonts w:ascii="Times New Roman" w:hAnsi="Times New Roman" w:cs="Times New Roman"/>
          <w:lang w:val="es-PR"/>
        </w:rPr>
        <w:t>. Con MW2, la reducción de la CMI disminuyó notablemente con niveles más bajos de fagos, sin mostrar una pérdida significativa con MOI de 10</w:t>
      </w:r>
      <w:r w:rsidRPr="005C3C51">
        <w:rPr>
          <w:rFonts w:ascii="Times New Roman" w:hAnsi="Times New Roman" w:cs="Times New Roman"/>
          <w:vertAlign w:val="superscript"/>
          <w:lang w:val="es-PR"/>
        </w:rPr>
        <w:t>-3</w:t>
      </w:r>
      <w:r w:rsidRPr="005C3C51">
        <w:rPr>
          <w:rFonts w:ascii="Times New Roman" w:hAnsi="Times New Roman" w:cs="Times New Roman"/>
          <w:lang w:val="es-PR"/>
        </w:rPr>
        <w:t xml:space="preserve"> o inferiores. En el caso de LAC, dos réplicas mostraron una reducción de la CMI de un orden de magnitud con un MOI de 10</w:t>
      </w:r>
      <w:r w:rsidRPr="005C3C51">
        <w:rPr>
          <w:rFonts w:ascii="Times New Roman" w:hAnsi="Times New Roman" w:cs="Times New Roman"/>
          <w:vertAlign w:val="superscript"/>
          <w:lang w:val="es-PR"/>
        </w:rPr>
        <w:t>-4</w:t>
      </w:r>
      <w:r w:rsidRPr="005C3C51">
        <w:rPr>
          <w:rFonts w:ascii="Times New Roman" w:hAnsi="Times New Roman" w:cs="Times New Roman"/>
          <w:lang w:val="es-PR"/>
        </w:rPr>
        <w:t>, mientras que la tercera réplica no mostró ningún cambio. Estos resultados muestran que, para MRSA252, los MOI de ΦStaph1N tan bajos como 10</w:t>
      </w:r>
      <w:r w:rsidRPr="005C3C51">
        <w:rPr>
          <w:rFonts w:ascii="Times New Roman" w:hAnsi="Times New Roman" w:cs="Times New Roman"/>
          <w:vertAlign w:val="superscript"/>
          <w:lang w:val="es-PR"/>
        </w:rPr>
        <w:t>-5</w:t>
      </w:r>
      <w:r w:rsidRPr="005C3C51">
        <w:rPr>
          <w:rFonts w:ascii="Times New Roman" w:hAnsi="Times New Roman" w:cs="Times New Roman"/>
          <w:lang w:val="es-PR"/>
        </w:rPr>
        <w:t xml:space="preserve"> aún pueden provocar la pérdida de resistencia, mientras que, para MW2 y LAC, se necesitan MOI de fago más altos para garantizar el mismo resultado de reducción de la resistencia a l</w:t>
      </w:r>
      <w:r>
        <w:rPr>
          <w:rFonts w:ascii="Times New Roman" w:hAnsi="Times New Roman" w:cs="Times New Roman"/>
          <w:lang w:val="es-PR"/>
        </w:rPr>
        <w:t>o</w:t>
      </w:r>
      <w:r w:rsidRPr="005C3C51">
        <w:rPr>
          <w:rFonts w:ascii="Times New Roman" w:hAnsi="Times New Roman" w:cs="Times New Roman"/>
          <w:lang w:val="es-PR"/>
        </w:rPr>
        <w:t>s β-lact</w:t>
      </w:r>
      <w:r w:rsidR="0091777F">
        <w:rPr>
          <w:rFonts w:ascii="Times New Roman" w:hAnsi="Times New Roman" w:cs="Times New Roman"/>
          <w:lang w:val="es-PR"/>
        </w:rPr>
        <w:t>á</w:t>
      </w:r>
      <w:r w:rsidRPr="005C3C51">
        <w:rPr>
          <w:rFonts w:ascii="Times New Roman" w:hAnsi="Times New Roman" w:cs="Times New Roman"/>
          <w:lang w:val="es-PR"/>
        </w:rPr>
        <w:t>m</w:t>
      </w:r>
      <w:r>
        <w:rPr>
          <w:rFonts w:ascii="Times New Roman" w:hAnsi="Times New Roman" w:cs="Times New Roman"/>
          <w:lang w:val="es-PR"/>
        </w:rPr>
        <w:t>ico</w:t>
      </w:r>
      <w:r w:rsidRPr="005C3C51">
        <w:rPr>
          <w:rFonts w:ascii="Times New Roman" w:hAnsi="Times New Roman" w:cs="Times New Roman"/>
          <w:lang w:val="es-PR"/>
        </w:rPr>
        <w:t>s.</w:t>
      </w:r>
    </w:p>
    <w:p w14:paraId="00774013" w14:textId="77777777" w:rsidR="00AD4185" w:rsidRDefault="00AD4185" w:rsidP="001104C5">
      <w:pPr>
        <w:pStyle w:val="NoSpacing"/>
        <w:rPr>
          <w:rFonts w:ascii="Times New Roman" w:hAnsi="Times New Roman" w:cs="Times New Roman"/>
          <w:lang w:val="es-PR"/>
        </w:rPr>
      </w:pPr>
    </w:p>
    <w:p w14:paraId="3737BB06" w14:textId="0BADB848" w:rsidR="00AD4185" w:rsidRPr="00AD4185" w:rsidRDefault="00AD4185" w:rsidP="001104C5">
      <w:pPr>
        <w:pStyle w:val="NoSpacing"/>
        <w:rPr>
          <w:rFonts w:ascii="Times New Roman" w:hAnsi="Times New Roman" w:cs="Times New Roman"/>
          <w:b/>
          <w:bCs/>
          <w:lang w:val="es-PR"/>
        </w:rPr>
      </w:pPr>
      <w:r w:rsidRPr="00AD4185">
        <w:rPr>
          <w:rFonts w:ascii="Times New Roman" w:hAnsi="Times New Roman" w:cs="Times New Roman"/>
          <w:b/>
          <w:bCs/>
          <w:lang w:val="es-PR"/>
        </w:rPr>
        <w:t>Tabla 1. Concentracion mínima inhibitoria (µg/mL) de oxacilina contra SARM tratados con diferentes MOI de fagos</w:t>
      </w:r>
    </w:p>
    <w:p w14:paraId="544454CD" w14:textId="2283539C" w:rsidR="00AD4185" w:rsidRPr="00D44FBE" w:rsidRDefault="00AD4185" w:rsidP="00AD4185">
      <w:pPr>
        <w:tabs>
          <w:tab w:val="left" w:pos="720"/>
        </w:tabs>
        <w:snapToGrid w:val="0"/>
        <w:jc w:val="both"/>
        <w:rPr>
          <w:rFonts w:ascii="Arial" w:hAnsi="Arial" w:cs="Arial"/>
          <w:b/>
          <w:bCs/>
          <w:lang w:val="es-PR"/>
        </w:rPr>
      </w:pPr>
    </w:p>
    <w:tbl>
      <w:tblPr>
        <w:tblStyle w:val="TableGrid"/>
        <w:tblW w:w="0" w:type="auto"/>
        <w:tblLook w:val="04A0" w:firstRow="1" w:lastRow="0" w:firstColumn="1" w:lastColumn="0" w:noHBand="0" w:noVBand="1"/>
      </w:tblPr>
      <w:tblGrid>
        <w:gridCol w:w="1335"/>
        <w:gridCol w:w="1335"/>
        <w:gridCol w:w="1336"/>
        <w:gridCol w:w="1336"/>
        <w:gridCol w:w="1336"/>
        <w:gridCol w:w="1336"/>
        <w:gridCol w:w="1336"/>
      </w:tblGrid>
      <w:tr w:rsidR="00AD4185" w14:paraId="66367EC0" w14:textId="77777777" w:rsidTr="00EC06DE">
        <w:tc>
          <w:tcPr>
            <w:tcW w:w="1335" w:type="dxa"/>
            <w:vAlign w:val="center"/>
          </w:tcPr>
          <w:p w14:paraId="5C761DCE" w14:textId="77777777" w:rsidR="00AD4185" w:rsidRPr="00D44FBE" w:rsidRDefault="00AD4185" w:rsidP="00EC06DE">
            <w:pPr>
              <w:tabs>
                <w:tab w:val="left" w:pos="720"/>
              </w:tabs>
              <w:snapToGrid w:val="0"/>
              <w:jc w:val="center"/>
              <w:rPr>
                <w:rFonts w:ascii="Arial" w:hAnsi="Arial" w:cs="Arial"/>
                <w:noProof/>
                <w:lang w:val="es-PR"/>
                <w14:ligatures w14:val="standardContextual"/>
              </w:rPr>
            </w:pPr>
          </w:p>
        </w:tc>
        <w:tc>
          <w:tcPr>
            <w:tcW w:w="8015" w:type="dxa"/>
            <w:gridSpan w:val="6"/>
            <w:vAlign w:val="center"/>
          </w:tcPr>
          <w:p w14:paraId="3A623FCD"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b/>
                <w:bCs/>
                <w:color w:val="000000"/>
                <w:sz w:val="20"/>
                <w:szCs w:val="20"/>
                <w14:ligatures w14:val="standardContextual"/>
              </w:rPr>
              <w:t>MRSA252</w:t>
            </w:r>
          </w:p>
        </w:tc>
      </w:tr>
      <w:tr w:rsidR="00AD4185" w14:paraId="11274582" w14:textId="77777777" w:rsidTr="00EC06DE">
        <w:tc>
          <w:tcPr>
            <w:tcW w:w="1335" w:type="dxa"/>
            <w:vAlign w:val="center"/>
          </w:tcPr>
          <w:p w14:paraId="53A97F70" w14:textId="77777777" w:rsidR="00AD4185" w:rsidRDefault="00AD4185" w:rsidP="00EC06DE">
            <w:pPr>
              <w:tabs>
                <w:tab w:val="left" w:pos="720"/>
              </w:tabs>
              <w:snapToGrid w:val="0"/>
              <w:jc w:val="center"/>
              <w:rPr>
                <w:rFonts w:ascii="Arial" w:hAnsi="Arial" w:cs="Arial"/>
                <w:noProof/>
                <w14:ligatures w14:val="standardContextual"/>
              </w:rPr>
            </w:pPr>
          </w:p>
        </w:tc>
        <w:tc>
          <w:tcPr>
            <w:tcW w:w="4007" w:type="dxa"/>
            <w:gridSpan w:val="3"/>
            <w:vAlign w:val="center"/>
          </w:tcPr>
          <w:p w14:paraId="288AD6E9" w14:textId="77777777" w:rsidR="00AD4185" w:rsidRPr="0014484D" w:rsidRDefault="00AD4185" w:rsidP="00EC06DE">
            <w:pPr>
              <w:tabs>
                <w:tab w:val="left" w:pos="720"/>
              </w:tabs>
              <w:snapToGrid w:val="0"/>
              <w:jc w:val="center"/>
              <w:rPr>
                <w:rFonts w:ascii="Arial" w:hAnsi="Arial" w:cs="Arial"/>
                <w:noProof/>
                <w:sz w:val="20"/>
                <w:szCs w:val="20"/>
                <w14:ligatures w14:val="standardContextual"/>
              </w:rPr>
            </w:pPr>
            <w:r w:rsidRPr="0014484D">
              <w:rPr>
                <w:rFonts w:ascii="Arial" w:hAnsi="Arial" w:cs="Arial"/>
                <w:b/>
                <w:bCs/>
                <w:sz w:val="20"/>
                <w:szCs w:val="20"/>
              </w:rPr>
              <w:t>ΦStaph1N</w:t>
            </w:r>
          </w:p>
        </w:tc>
        <w:tc>
          <w:tcPr>
            <w:tcW w:w="4008" w:type="dxa"/>
            <w:gridSpan w:val="3"/>
            <w:vAlign w:val="center"/>
          </w:tcPr>
          <w:p w14:paraId="71637FB5"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b/>
                <w:bCs/>
                <w:color w:val="000000"/>
                <w:sz w:val="20"/>
                <w:szCs w:val="20"/>
                <w14:ligatures w14:val="standardContextual"/>
              </w:rPr>
              <w:t>Evo2</w:t>
            </w:r>
          </w:p>
        </w:tc>
      </w:tr>
      <w:tr w:rsidR="00AD4185" w14:paraId="51CDCA8E" w14:textId="77777777" w:rsidTr="00EC06DE">
        <w:tc>
          <w:tcPr>
            <w:tcW w:w="1335" w:type="dxa"/>
            <w:vAlign w:val="center"/>
          </w:tcPr>
          <w:p w14:paraId="2AA23E5B"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b/>
                <w:bCs/>
                <w:color w:val="000000"/>
                <w:sz w:val="20"/>
                <w:szCs w:val="20"/>
                <w14:ligatures w14:val="standardContextual"/>
              </w:rPr>
              <w:t>MOI</w:t>
            </w:r>
          </w:p>
        </w:tc>
        <w:tc>
          <w:tcPr>
            <w:tcW w:w="1335" w:type="dxa"/>
            <w:vAlign w:val="center"/>
          </w:tcPr>
          <w:p w14:paraId="2D3EF064"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b/>
                <w:bCs/>
                <w:color w:val="000000"/>
                <w:sz w:val="20"/>
                <w:szCs w:val="20"/>
                <w14:ligatures w14:val="standardContextual"/>
              </w:rPr>
              <w:t>Rep 1</w:t>
            </w:r>
          </w:p>
        </w:tc>
        <w:tc>
          <w:tcPr>
            <w:tcW w:w="1336" w:type="dxa"/>
            <w:vAlign w:val="center"/>
          </w:tcPr>
          <w:p w14:paraId="6299032B"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b/>
                <w:bCs/>
                <w:color w:val="000000"/>
                <w:sz w:val="20"/>
                <w:szCs w:val="20"/>
                <w14:ligatures w14:val="standardContextual"/>
              </w:rPr>
              <w:t>Rep 2</w:t>
            </w:r>
          </w:p>
        </w:tc>
        <w:tc>
          <w:tcPr>
            <w:tcW w:w="1336" w:type="dxa"/>
            <w:vAlign w:val="center"/>
          </w:tcPr>
          <w:p w14:paraId="231B7678"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b/>
                <w:bCs/>
                <w:color w:val="000000"/>
                <w:sz w:val="20"/>
                <w:szCs w:val="20"/>
                <w14:ligatures w14:val="standardContextual"/>
              </w:rPr>
              <w:t>Rep 3</w:t>
            </w:r>
          </w:p>
        </w:tc>
        <w:tc>
          <w:tcPr>
            <w:tcW w:w="1336" w:type="dxa"/>
            <w:vAlign w:val="center"/>
          </w:tcPr>
          <w:p w14:paraId="6F9C9802"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b/>
                <w:bCs/>
                <w:color w:val="000000"/>
                <w:sz w:val="20"/>
                <w:szCs w:val="20"/>
                <w14:ligatures w14:val="standardContextual"/>
              </w:rPr>
              <w:t>Rep 1</w:t>
            </w:r>
          </w:p>
        </w:tc>
        <w:tc>
          <w:tcPr>
            <w:tcW w:w="1336" w:type="dxa"/>
            <w:vAlign w:val="center"/>
          </w:tcPr>
          <w:p w14:paraId="65806A54"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b/>
                <w:bCs/>
                <w:color w:val="000000"/>
                <w:sz w:val="20"/>
                <w:szCs w:val="20"/>
                <w14:ligatures w14:val="standardContextual"/>
              </w:rPr>
              <w:t>Rep 2</w:t>
            </w:r>
          </w:p>
        </w:tc>
        <w:tc>
          <w:tcPr>
            <w:tcW w:w="1336" w:type="dxa"/>
            <w:vAlign w:val="center"/>
          </w:tcPr>
          <w:p w14:paraId="0A7BFE0C"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b/>
                <w:bCs/>
                <w:color w:val="000000"/>
                <w:sz w:val="20"/>
                <w:szCs w:val="20"/>
                <w14:ligatures w14:val="standardContextual"/>
              </w:rPr>
              <w:t>Rep 3</w:t>
            </w:r>
          </w:p>
        </w:tc>
      </w:tr>
      <w:tr w:rsidR="00AD4185" w14:paraId="2FA34D5A" w14:textId="77777777" w:rsidTr="00EC06DE">
        <w:tc>
          <w:tcPr>
            <w:tcW w:w="1335" w:type="dxa"/>
            <w:vAlign w:val="center"/>
          </w:tcPr>
          <w:p w14:paraId="5EE08C44"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10</w:t>
            </w:r>
            <w:r w:rsidRPr="004C3F8F">
              <w:rPr>
                <w:rFonts w:ascii="Arial" w:eastAsiaTheme="minorHAnsi" w:hAnsi="Arial" w:cs="Arial"/>
                <w:color w:val="000000"/>
                <w:sz w:val="20"/>
                <w:szCs w:val="20"/>
                <w:vertAlign w:val="superscript"/>
                <w14:ligatures w14:val="standardContextual"/>
              </w:rPr>
              <w:t>-2</w:t>
            </w:r>
          </w:p>
        </w:tc>
        <w:tc>
          <w:tcPr>
            <w:tcW w:w="1335" w:type="dxa"/>
            <w:vAlign w:val="center"/>
          </w:tcPr>
          <w:p w14:paraId="6771EF02"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0.25</w:t>
            </w:r>
          </w:p>
        </w:tc>
        <w:tc>
          <w:tcPr>
            <w:tcW w:w="1336" w:type="dxa"/>
            <w:vAlign w:val="center"/>
          </w:tcPr>
          <w:p w14:paraId="18EB058F"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0.125</w:t>
            </w:r>
          </w:p>
        </w:tc>
        <w:tc>
          <w:tcPr>
            <w:tcW w:w="1336" w:type="dxa"/>
            <w:vAlign w:val="center"/>
          </w:tcPr>
          <w:p w14:paraId="0B40ECA9"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0.38</w:t>
            </w:r>
          </w:p>
        </w:tc>
        <w:tc>
          <w:tcPr>
            <w:tcW w:w="1336" w:type="dxa"/>
            <w:vAlign w:val="center"/>
          </w:tcPr>
          <w:p w14:paraId="54C3BB3A"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NG</w:t>
            </w:r>
          </w:p>
        </w:tc>
        <w:tc>
          <w:tcPr>
            <w:tcW w:w="1336" w:type="dxa"/>
            <w:vAlign w:val="center"/>
          </w:tcPr>
          <w:p w14:paraId="73F283DF"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2</w:t>
            </w:r>
          </w:p>
        </w:tc>
        <w:tc>
          <w:tcPr>
            <w:tcW w:w="1336" w:type="dxa"/>
            <w:vAlign w:val="center"/>
          </w:tcPr>
          <w:p w14:paraId="39BA001E"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0.5</w:t>
            </w:r>
          </w:p>
        </w:tc>
      </w:tr>
      <w:tr w:rsidR="00AD4185" w14:paraId="6DC4541C" w14:textId="77777777" w:rsidTr="00EC06DE">
        <w:tc>
          <w:tcPr>
            <w:tcW w:w="1335" w:type="dxa"/>
            <w:vAlign w:val="center"/>
          </w:tcPr>
          <w:p w14:paraId="26DB2FFE"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10</w:t>
            </w:r>
            <w:r w:rsidRPr="004C3F8F">
              <w:rPr>
                <w:rFonts w:ascii="Arial" w:eastAsiaTheme="minorHAnsi" w:hAnsi="Arial" w:cs="Arial"/>
                <w:color w:val="000000"/>
                <w:sz w:val="20"/>
                <w:szCs w:val="20"/>
                <w:vertAlign w:val="superscript"/>
                <w14:ligatures w14:val="standardContextual"/>
              </w:rPr>
              <w:t>-</w:t>
            </w:r>
            <w:r>
              <w:rPr>
                <w:rFonts w:ascii="Arial" w:eastAsiaTheme="minorHAnsi" w:hAnsi="Arial" w:cs="Arial"/>
                <w:color w:val="000000"/>
                <w:sz w:val="20"/>
                <w:szCs w:val="20"/>
                <w:vertAlign w:val="superscript"/>
                <w14:ligatures w14:val="standardContextual"/>
              </w:rPr>
              <w:t>3</w:t>
            </w:r>
          </w:p>
        </w:tc>
        <w:tc>
          <w:tcPr>
            <w:tcW w:w="1335" w:type="dxa"/>
            <w:vAlign w:val="center"/>
          </w:tcPr>
          <w:p w14:paraId="41CCE2E3"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NG</w:t>
            </w:r>
          </w:p>
        </w:tc>
        <w:tc>
          <w:tcPr>
            <w:tcW w:w="1336" w:type="dxa"/>
            <w:vAlign w:val="center"/>
          </w:tcPr>
          <w:p w14:paraId="6C290078"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0.94</w:t>
            </w:r>
          </w:p>
        </w:tc>
        <w:tc>
          <w:tcPr>
            <w:tcW w:w="1336" w:type="dxa"/>
            <w:vAlign w:val="center"/>
          </w:tcPr>
          <w:p w14:paraId="7C03EBE8"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0.19</w:t>
            </w:r>
          </w:p>
        </w:tc>
        <w:tc>
          <w:tcPr>
            <w:tcW w:w="1336" w:type="dxa"/>
            <w:vAlign w:val="center"/>
          </w:tcPr>
          <w:p w14:paraId="3D7E2E46"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1</w:t>
            </w:r>
          </w:p>
        </w:tc>
        <w:tc>
          <w:tcPr>
            <w:tcW w:w="1336" w:type="dxa"/>
            <w:vAlign w:val="center"/>
          </w:tcPr>
          <w:p w14:paraId="2CC20B2C"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0.75</w:t>
            </w:r>
          </w:p>
        </w:tc>
        <w:tc>
          <w:tcPr>
            <w:tcW w:w="1336" w:type="dxa"/>
            <w:vAlign w:val="center"/>
          </w:tcPr>
          <w:p w14:paraId="2B33655C"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1</w:t>
            </w:r>
          </w:p>
        </w:tc>
      </w:tr>
      <w:tr w:rsidR="00AD4185" w14:paraId="5879CF2B" w14:textId="77777777" w:rsidTr="00EC06DE">
        <w:tc>
          <w:tcPr>
            <w:tcW w:w="1335" w:type="dxa"/>
            <w:vAlign w:val="center"/>
          </w:tcPr>
          <w:p w14:paraId="1FDBA046"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10</w:t>
            </w:r>
            <w:r w:rsidRPr="004C3F8F">
              <w:rPr>
                <w:rFonts w:ascii="Arial" w:eastAsiaTheme="minorHAnsi" w:hAnsi="Arial" w:cs="Arial"/>
                <w:color w:val="000000"/>
                <w:sz w:val="20"/>
                <w:szCs w:val="20"/>
                <w:vertAlign w:val="superscript"/>
                <w14:ligatures w14:val="standardContextual"/>
              </w:rPr>
              <w:t>-</w:t>
            </w:r>
            <w:r>
              <w:rPr>
                <w:rFonts w:ascii="Arial" w:eastAsiaTheme="minorHAnsi" w:hAnsi="Arial" w:cs="Arial"/>
                <w:color w:val="000000"/>
                <w:sz w:val="20"/>
                <w:szCs w:val="20"/>
                <w:vertAlign w:val="superscript"/>
                <w14:ligatures w14:val="standardContextual"/>
              </w:rPr>
              <w:t>4</w:t>
            </w:r>
          </w:p>
        </w:tc>
        <w:tc>
          <w:tcPr>
            <w:tcW w:w="1335" w:type="dxa"/>
            <w:vAlign w:val="center"/>
          </w:tcPr>
          <w:p w14:paraId="47A058B3"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0.5</w:t>
            </w:r>
          </w:p>
        </w:tc>
        <w:tc>
          <w:tcPr>
            <w:tcW w:w="1336" w:type="dxa"/>
            <w:vAlign w:val="center"/>
          </w:tcPr>
          <w:p w14:paraId="6D779880"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0.25</w:t>
            </w:r>
          </w:p>
        </w:tc>
        <w:tc>
          <w:tcPr>
            <w:tcW w:w="1336" w:type="dxa"/>
            <w:vAlign w:val="center"/>
          </w:tcPr>
          <w:p w14:paraId="20225FA9"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0.19</w:t>
            </w:r>
          </w:p>
        </w:tc>
        <w:tc>
          <w:tcPr>
            <w:tcW w:w="1336" w:type="dxa"/>
            <w:vAlign w:val="center"/>
          </w:tcPr>
          <w:p w14:paraId="61BCA54B"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0.75</w:t>
            </w:r>
          </w:p>
        </w:tc>
        <w:tc>
          <w:tcPr>
            <w:tcW w:w="1336" w:type="dxa"/>
            <w:vAlign w:val="center"/>
          </w:tcPr>
          <w:p w14:paraId="1D1E125A"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1</w:t>
            </w:r>
          </w:p>
        </w:tc>
        <w:tc>
          <w:tcPr>
            <w:tcW w:w="1336" w:type="dxa"/>
            <w:vAlign w:val="center"/>
          </w:tcPr>
          <w:p w14:paraId="25B2D3F3"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0.5</w:t>
            </w:r>
          </w:p>
        </w:tc>
      </w:tr>
      <w:tr w:rsidR="00AD4185" w14:paraId="512C1FB3" w14:textId="77777777" w:rsidTr="00EC06DE">
        <w:tc>
          <w:tcPr>
            <w:tcW w:w="1335" w:type="dxa"/>
            <w:vAlign w:val="center"/>
          </w:tcPr>
          <w:p w14:paraId="540D7FCF"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10</w:t>
            </w:r>
            <w:r w:rsidRPr="004C3F8F">
              <w:rPr>
                <w:rFonts w:ascii="Arial" w:eastAsiaTheme="minorHAnsi" w:hAnsi="Arial" w:cs="Arial"/>
                <w:color w:val="000000"/>
                <w:sz w:val="20"/>
                <w:szCs w:val="20"/>
                <w:vertAlign w:val="superscript"/>
                <w14:ligatures w14:val="standardContextual"/>
              </w:rPr>
              <w:t>-</w:t>
            </w:r>
            <w:r>
              <w:rPr>
                <w:rFonts w:ascii="Arial" w:eastAsiaTheme="minorHAnsi" w:hAnsi="Arial" w:cs="Arial"/>
                <w:color w:val="000000"/>
                <w:sz w:val="20"/>
                <w:szCs w:val="20"/>
                <w:vertAlign w:val="superscript"/>
                <w14:ligatures w14:val="standardContextual"/>
              </w:rPr>
              <w:t>5</w:t>
            </w:r>
          </w:p>
        </w:tc>
        <w:tc>
          <w:tcPr>
            <w:tcW w:w="1335" w:type="dxa"/>
            <w:vAlign w:val="center"/>
          </w:tcPr>
          <w:p w14:paraId="24ED0437"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0.25</w:t>
            </w:r>
          </w:p>
        </w:tc>
        <w:tc>
          <w:tcPr>
            <w:tcW w:w="1336" w:type="dxa"/>
            <w:vAlign w:val="center"/>
          </w:tcPr>
          <w:p w14:paraId="33C7678E"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0.38</w:t>
            </w:r>
          </w:p>
        </w:tc>
        <w:tc>
          <w:tcPr>
            <w:tcW w:w="1336" w:type="dxa"/>
            <w:vAlign w:val="center"/>
          </w:tcPr>
          <w:p w14:paraId="03DC878F"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NG</w:t>
            </w:r>
          </w:p>
        </w:tc>
        <w:tc>
          <w:tcPr>
            <w:tcW w:w="1336" w:type="dxa"/>
            <w:vAlign w:val="center"/>
          </w:tcPr>
          <w:p w14:paraId="3E492BAD"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0.38</w:t>
            </w:r>
          </w:p>
        </w:tc>
        <w:tc>
          <w:tcPr>
            <w:tcW w:w="1336" w:type="dxa"/>
            <w:vAlign w:val="center"/>
          </w:tcPr>
          <w:p w14:paraId="181D6491"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NG</w:t>
            </w:r>
          </w:p>
        </w:tc>
        <w:tc>
          <w:tcPr>
            <w:tcW w:w="1336" w:type="dxa"/>
            <w:vAlign w:val="center"/>
          </w:tcPr>
          <w:p w14:paraId="3AA7C48D"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NG</w:t>
            </w:r>
          </w:p>
        </w:tc>
      </w:tr>
      <w:tr w:rsidR="00AD4185" w14:paraId="0CB5D8EF" w14:textId="77777777" w:rsidTr="00EC06DE">
        <w:tc>
          <w:tcPr>
            <w:tcW w:w="1335" w:type="dxa"/>
            <w:vAlign w:val="center"/>
          </w:tcPr>
          <w:p w14:paraId="24C90500" w14:textId="2799517F"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 xml:space="preserve">Sin </w:t>
            </w:r>
            <w:proofErr w:type="spellStart"/>
            <w:r>
              <w:rPr>
                <w:rFonts w:ascii="Arial" w:eastAsiaTheme="minorHAnsi" w:hAnsi="Arial" w:cs="Arial"/>
                <w:color w:val="000000"/>
                <w:sz w:val="20"/>
                <w:szCs w:val="20"/>
                <w14:ligatures w14:val="standardContextual"/>
              </w:rPr>
              <w:t>fago</w:t>
            </w:r>
            <w:proofErr w:type="spellEnd"/>
          </w:p>
        </w:tc>
        <w:tc>
          <w:tcPr>
            <w:tcW w:w="1335" w:type="dxa"/>
            <w:vAlign w:val="center"/>
          </w:tcPr>
          <w:p w14:paraId="4ED184DA"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&gt;256</w:t>
            </w:r>
          </w:p>
        </w:tc>
        <w:tc>
          <w:tcPr>
            <w:tcW w:w="1336" w:type="dxa"/>
            <w:vAlign w:val="center"/>
          </w:tcPr>
          <w:p w14:paraId="56E26D58"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&gt;256</w:t>
            </w:r>
          </w:p>
        </w:tc>
        <w:tc>
          <w:tcPr>
            <w:tcW w:w="1336" w:type="dxa"/>
            <w:vAlign w:val="center"/>
          </w:tcPr>
          <w:p w14:paraId="4789B41E"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&gt;256</w:t>
            </w:r>
          </w:p>
        </w:tc>
        <w:tc>
          <w:tcPr>
            <w:tcW w:w="1336" w:type="dxa"/>
            <w:vAlign w:val="center"/>
          </w:tcPr>
          <w:p w14:paraId="08CFB300"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&gt;256</w:t>
            </w:r>
          </w:p>
        </w:tc>
        <w:tc>
          <w:tcPr>
            <w:tcW w:w="1336" w:type="dxa"/>
            <w:vAlign w:val="center"/>
          </w:tcPr>
          <w:p w14:paraId="2312C125"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&gt;256</w:t>
            </w:r>
          </w:p>
        </w:tc>
        <w:tc>
          <w:tcPr>
            <w:tcW w:w="1336" w:type="dxa"/>
            <w:vAlign w:val="center"/>
          </w:tcPr>
          <w:p w14:paraId="2188807C"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&gt;256</w:t>
            </w:r>
          </w:p>
        </w:tc>
      </w:tr>
      <w:tr w:rsidR="00AD4185" w14:paraId="7B1D729F" w14:textId="77777777" w:rsidTr="00EC06DE">
        <w:tc>
          <w:tcPr>
            <w:tcW w:w="1335" w:type="dxa"/>
            <w:vAlign w:val="center"/>
          </w:tcPr>
          <w:p w14:paraId="37501208" w14:textId="77777777" w:rsidR="00AD4185" w:rsidRDefault="00AD4185" w:rsidP="00EC06DE">
            <w:pPr>
              <w:tabs>
                <w:tab w:val="left" w:pos="720"/>
              </w:tabs>
              <w:snapToGrid w:val="0"/>
              <w:jc w:val="center"/>
              <w:rPr>
                <w:rFonts w:ascii="Arial" w:hAnsi="Arial" w:cs="Arial"/>
                <w:noProof/>
                <w14:ligatures w14:val="standardContextual"/>
              </w:rPr>
            </w:pPr>
          </w:p>
        </w:tc>
        <w:tc>
          <w:tcPr>
            <w:tcW w:w="8015" w:type="dxa"/>
            <w:gridSpan w:val="6"/>
            <w:vAlign w:val="center"/>
          </w:tcPr>
          <w:p w14:paraId="15D08225"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b/>
                <w:bCs/>
                <w:color w:val="000000"/>
                <w:sz w:val="20"/>
                <w:szCs w:val="20"/>
                <w14:ligatures w14:val="standardContextual"/>
              </w:rPr>
              <w:t>MW2</w:t>
            </w:r>
          </w:p>
        </w:tc>
      </w:tr>
      <w:tr w:rsidR="00AD4185" w14:paraId="49B0BC57" w14:textId="77777777" w:rsidTr="00EC06DE">
        <w:tc>
          <w:tcPr>
            <w:tcW w:w="1335" w:type="dxa"/>
            <w:vAlign w:val="center"/>
          </w:tcPr>
          <w:p w14:paraId="33C32BE8" w14:textId="77777777" w:rsidR="00AD4185" w:rsidRDefault="00AD4185" w:rsidP="00EC06DE">
            <w:pPr>
              <w:tabs>
                <w:tab w:val="left" w:pos="720"/>
              </w:tabs>
              <w:snapToGrid w:val="0"/>
              <w:jc w:val="center"/>
              <w:rPr>
                <w:rFonts w:ascii="Arial" w:hAnsi="Arial" w:cs="Arial"/>
                <w:noProof/>
                <w14:ligatures w14:val="standardContextual"/>
              </w:rPr>
            </w:pPr>
          </w:p>
        </w:tc>
        <w:tc>
          <w:tcPr>
            <w:tcW w:w="4007" w:type="dxa"/>
            <w:gridSpan w:val="3"/>
            <w:vAlign w:val="center"/>
          </w:tcPr>
          <w:p w14:paraId="61783DB8" w14:textId="77777777" w:rsidR="00AD4185" w:rsidRDefault="00AD4185" w:rsidP="00EC06DE">
            <w:pPr>
              <w:tabs>
                <w:tab w:val="left" w:pos="720"/>
              </w:tabs>
              <w:snapToGrid w:val="0"/>
              <w:jc w:val="center"/>
              <w:rPr>
                <w:rFonts w:ascii="Arial" w:hAnsi="Arial" w:cs="Arial"/>
                <w:noProof/>
                <w14:ligatures w14:val="standardContextual"/>
              </w:rPr>
            </w:pPr>
            <w:r w:rsidRPr="0014484D">
              <w:rPr>
                <w:rFonts w:ascii="Arial" w:hAnsi="Arial" w:cs="Arial"/>
                <w:b/>
                <w:bCs/>
                <w:sz w:val="20"/>
                <w:szCs w:val="20"/>
              </w:rPr>
              <w:t>ΦStaph1N</w:t>
            </w:r>
          </w:p>
        </w:tc>
        <w:tc>
          <w:tcPr>
            <w:tcW w:w="4008" w:type="dxa"/>
            <w:gridSpan w:val="3"/>
            <w:vAlign w:val="center"/>
          </w:tcPr>
          <w:p w14:paraId="5CE49EE6"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b/>
                <w:bCs/>
                <w:color w:val="000000"/>
                <w:sz w:val="20"/>
                <w:szCs w:val="20"/>
                <w14:ligatures w14:val="standardContextual"/>
              </w:rPr>
              <w:t>Evo2</w:t>
            </w:r>
          </w:p>
        </w:tc>
      </w:tr>
      <w:tr w:rsidR="00AD4185" w14:paraId="25FB91C1" w14:textId="77777777" w:rsidTr="00EC06DE">
        <w:tc>
          <w:tcPr>
            <w:tcW w:w="1335" w:type="dxa"/>
            <w:vAlign w:val="center"/>
          </w:tcPr>
          <w:p w14:paraId="1C3626D5"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b/>
                <w:bCs/>
                <w:color w:val="000000"/>
                <w:sz w:val="20"/>
                <w:szCs w:val="20"/>
                <w14:ligatures w14:val="standardContextual"/>
              </w:rPr>
              <w:t>MOI</w:t>
            </w:r>
          </w:p>
        </w:tc>
        <w:tc>
          <w:tcPr>
            <w:tcW w:w="1335" w:type="dxa"/>
            <w:vAlign w:val="center"/>
          </w:tcPr>
          <w:p w14:paraId="647C68F5"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b/>
                <w:bCs/>
                <w:color w:val="000000"/>
                <w:sz w:val="20"/>
                <w:szCs w:val="20"/>
                <w14:ligatures w14:val="standardContextual"/>
              </w:rPr>
              <w:t>Rep 1</w:t>
            </w:r>
          </w:p>
        </w:tc>
        <w:tc>
          <w:tcPr>
            <w:tcW w:w="1336" w:type="dxa"/>
            <w:vAlign w:val="center"/>
          </w:tcPr>
          <w:p w14:paraId="13D365F5"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b/>
                <w:bCs/>
                <w:color w:val="000000"/>
                <w:sz w:val="20"/>
                <w:szCs w:val="20"/>
                <w14:ligatures w14:val="standardContextual"/>
              </w:rPr>
              <w:t>Rep 2</w:t>
            </w:r>
          </w:p>
        </w:tc>
        <w:tc>
          <w:tcPr>
            <w:tcW w:w="1336" w:type="dxa"/>
            <w:vAlign w:val="center"/>
          </w:tcPr>
          <w:p w14:paraId="2FFB3183"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b/>
                <w:bCs/>
                <w:color w:val="000000"/>
                <w:sz w:val="20"/>
                <w:szCs w:val="20"/>
                <w14:ligatures w14:val="standardContextual"/>
              </w:rPr>
              <w:t>Rep 3</w:t>
            </w:r>
          </w:p>
        </w:tc>
        <w:tc>
          <w:tcPr>
            <w:tcW w:w="1336" w:type="dxa"/>
            <w:vAlign w:val="center"/>
          </w:tcPr>
          <w:p w14:paraId="52A72955"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b/>
                <w:bCs/>
                <w:color w:val="000000"/>
                <w:sz w:val="20"/>
                <w:szCs w:val="20"/>
                <w14:ligatures w14:val="standardContextual"/>
              </w:rPr>
              <w:t>Rep 1</w:t>
            </w:r>
          </w:p>
        </w:tc>
        <w:tc>
          <w:tcPr>
            <w:tcW w:w="1336" w:type="dxa"/>
            <w:vAlign w:val="center"/>
          </w:tcPr>
          <w:p w14:paraId="71E98B4D"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b/>
                <w:bCs/>
                <w:color w:val="000000"/>
                <w:sz w:val="20"/>
                <w:szCs w:val="20"/>
                <w14:ligatures w14:val="standardContextual"/>
              </w:rPr>
              <w:t>Rep 2</w:t>
            </w:r>
          </w:p>
        </w:tc>
        <w:tc>
          <w:tcPr>
            <w:tcW w:w="1336" w:type="dxa"/>
            <w:vAlign w:val="center"/>
          </w:tcPr>
          <w:p w14:paraId="2791F89E"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b/>
                <w:bCs/>
                <w:color w:val="000000"/>
                <w:sz w:val="20"/>
                <w:szCs w:val="20"/>
                <w14:ligatures w14:val="standardContextual"/>
              </w:rPr>
              <w:t>Rep 3</w:t>
            </w:r>
          </w:p>
        </w:tc>
      </w:tr>
      <w:tr w:rsidR="00AD4185" w14:paraId="2F1B8846" w14:textId="77777777" w:rsidTr="00EC06DE">
        <w:tc>
          <w:tcPr>
            <w:tcW w:w="1335" w:type="dxa"/>
            <w:vAlign w:val="center"/>
          </w:tcPr>
          <w:p w14:paraId="3F13501C"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10</w:t>
            </w:r>
            <w:r w:rsidRPr="004C3F8F">
              <w:rPr>
                <w:rFonts w:ascii="Arial" w:eastAsiaTheme="minorHAnsi" w:hAnsi="Arial" w:cs="Arial"/>
                <w:color w:val="000000"/>
                <w:sz w:val="20"/>
                <w:szCs w:val="20"/>
                <w:vertAlign w:val="superscript"/>
                <w14:ligatures w14:val="standardContextual"/>
              </w:rPr>
              <w:t>-2</w:t>
            </w:r>
          </w:p>
        </w:tc>
        <w:tc>
          <w:tcPr>
            <w:tcW w:w="1335" w:type="dxa"/>
            <w:vAlign w:val="center"/>
          </w:tcPr>
          <w:p w14:paraId="62F52872"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3</w:t>
            </w:r>
          </w:p>
        </w:tc>
        <w:tc>
          <w:tcPr>
            <w:tcW w:w="1336" w:type="dxa"/>
            <w:vAlign w:val="center"/>
          </w:tcPr>
          <w:p w14:paraId="721D9B4A"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24</w:t>
            </w:r>
          </w:p>
        </w:tc>
        <w:tc>
          <w:tcPr>
            <w:tcW w:w="1336" w:type="dxa"/>
            <w:vAlign w:val="center"/>
          </w:tcPr>
          <w:p w14:paraId="74DB6C14"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24</w:t>
            </w:r>
          </w:p>
        </w:tc>
        <w:tc>
          <w:tcPr>
            <w:tcW w:w="1336" w:type="dxa"/>
            <w:vAlign w:val="center"/>
          </w:tcPr>
          <w:p w14:paraId="20CE2165"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4</w:t>
            </w:r>
          </w:p>
        </w:tc>
        <w:tc>
          <w:tcPr>
            <w:tcW w:w="1336" w:type="dxa"/>
            <w:vAlign w:val="center"/>
          </w:tcPr>
          <w:p w14:paraId="1EE3E959"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NG</w:t>
            </w:r>
          </w:p>
        </w:tc>
        <w:tc>
          <w:tcPr>
            <w:tcW w:w="1336" w:type="dxa"/>
            <w:vAlign w:val="center"/>
          </w:tcPr>
          <w:p w14:paraId="287BC404"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NG</w:t>
            </w:r>
          </w:p>
        </w:tc>
      </w:tr>
      <w:tr w:rsidR="00AD4185" w14:paraId="3EB9F27F" w14:textId="77777777" w:rsidTr="00EC06DE">
        <w:tc>
          <w:tcPr>
            <w:tcW w:w="1335" w:type="dxa"/>
            <w:vAlign w:val="center"/>
          </w:tcPr>
          <w:p w14:paraId="4E47AF75"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10</w:t>
            </w:r>
            <w:r w:rsidRPr="004C3F8F">
              <w:rPr>
                <w:rFonts w:ascii="Arial" w:eastAsiaTheme="minorHAnsi" w:hAnsi="Arial" w:cs="Arial"/>
                <w:color w:val="000000"/>
                <w:sz w:val="20"/>
                <w:szCs w:val="20"/>
                <w:vertAlign w:val="superscript"/>
                <w14:ligatures w14:val="standardContextual"/>
              </w:rPr>
              <w:t>-</w:t>
            </w:r>
            <w:r>
              <w:rPr>
                <w:rFonts w:ascii="Arial" w:eastAsiaTheme="minorHAnsi" w:hAnsi="Arial" w:cs="Arial"/>
                <w:color w:val="000000"/>
                <w:sz w:val="20"/>
                <w:szCs w:val="20"/>
                <w:vertAlign w:val="superscript"/>
                <w14:ligatures w14:val="standardContextual"/>
              </w:rPr>
              <w:t>3</w:t>
            </w:r>
          </w:p>
        </w:tc>
        <w:tc>
          <w:tcPr>
            <w:tcW w:w="1335" w:type="dxa"/>
            <w:vAlign w:val="center"/>
          </w:tcPr>
          <w:p w14:paraId="2F230707"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32</w:t>
            </w:r>
          </w:p>
        </w:tc>
        <w:tc>
          <w:tcPr>
            <w:tcW w:w="1336" w:type="dxa"/>
            <w:vAlign w:val="center"/>
          </w:tcPr>
          <w:p w14:paraId="6DD1641E"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24</w:t>
            </w:r>
          </w:p>
        </w:tc>
        <w:tc>
          <w:tcPr>
            <w:tcW w:w="1336" w:type="dxa"/>
            <w:vAlign w:val="center"/>
          </w:tcPr>
          <w:p w14:paraId="14FAC52B"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48</w:t>
            </w:r>
          </w:p>
        </w:tc>
        <w:tc>
          <w:tcPr>
            <w:tcW w:w="1336" w:type="dxa"/>
            <w:vAlign w:val="center"/>
          </w:tcPr>
          <w:p w14:paraId="736AB63E"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4</w:t>
            </w:r>
          </w:p>
        </w:tc>
        <w:tc>
          <w:tcPr>
            <w:tcW w:w="1336" w:type="dxa"/>
            <w:vAlign w:val="center"/>
          </w:tcPr>
          <w:p w14:paraId="5FDE6E7E"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NG</w:t>
            </w:r>
          </w:p>
        </w:tc>
        <w:tc>
          <w:tcPr>
            <w:tcW w:w="1336" w:type="dxa"/>
            <w:vAlign w:val="center"/>
          </w:tcPr>
          <w:p w14:paraId="7341CF48"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NG</w:t>
            </w:r>
          </w:p>
        </w:tc>
      </w:tr>
      <w:tr w:rsidR="00AD4185" w14:paraId="68B0D267" w14:textId="77777777" w:rsidTr="00EC06DE">
        <w:tc>
          <w:tcPr>
            <w:tcW w:w="1335" w:type="dxa"/>
            <w:vAlign w:val="center"/>
          </w:tcPr>
          <w:p w14:paraId="7E98B6FE"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10</w:t>
            </w:r>
            <w:r w:rsidRPr="004C3F8F">
              <w:rPr>
                <w:rFonts w:ascii="Arial" w:eastAsiaTheme="minorHAnsi" w:hAnsi="Arial" w:cs="Arial"/>
                <w:color w:val="000000"/>
                <w:sz w:val="20"/>
                <w:szCs w:val="20"/>
                <w:vertAlign w:val="superscript"/>
                <w14:ligatures w14:val="standardContextual"/>
              </w:rPr>
              <w:t>-</w:t>
            </w:r>
            <w:r>
              <w:rPr>
                <w:rFonts w:ascii="Arial" w:eastAsiaTheme="minorHAnsi" w:hAnsi="Arial" w:cs="Arial"/>
                <w:color w:val="000000"/>
                <w:sz w:val="20"/>
                <w:szCs w:val="20"/>
                <w:vertAlign w:val="superscript"/>
                <w14:ligatures w14:val="standardContextual"/>
              </w:rPr>
              <w:t>4</w:t>
            </w:r>
          </w:p>
        </w:tc>
        <w:tc>
          <w:tcPr>
            <w:tcW w:w="1335" w:type="dxa"/>
            <w:vAlign w:val="center"/>
          </w:tcPr>
          <w:p w14:paraId="43B12BB4"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48</w:t>
            </w:r>
          </w:p>
        </w:tc>
        <w:tc>
          <w:tcPr>
            <w:tcW w:w="1336" w:type="dxa"/>
            <w:vAlign w:val="center"/>
          </w:tcPr>
          <w:p w14:paraId="7EE674EC"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96</w:t>
            </w:r>
          </w:p>
        </w:tc>
        <w:tc>
          <w:tcPr>
            <w:tcW w:w="1336" w:type="dxa"/>
            <w:vAlign w:val="center"/>
          </w:tcPr>
          <w:p w14:paraId="6A208E73"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32</w:t>
            </w:r>
          </w:p>
        </w:tc>
        <w:tc>
          <w:tcPr>
            <w:tcW w:w="1336" w:type="dxa"/>
            <w:vAlign w:val="center"/>
          </w:tcPr>
          <w:p w14:paraId="7E05B069"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3</w:t>
            </w:r>
          </w:p>
        </w:tc>
        <w:tc>
          <w:tcPr>
            <w:tcW w:w="1336" w:type="dxa"/>
            <w:vAlign w:val="center"/>
          </w:tcPr>
          <w:p w14:paraId="3B4D95CB"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NG</w:t>
            </w:r>
          </w:p>
        </w:tc>
        <w:tc>
          <w:tcPr>
            <w:tcW w:w="1336" w:type="dxa"/>
            <w:vAlign w:val="center"/>
          </w:tcPr>
          <w:p w14:paraId="2A786B15"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NG</w:t>
            </w:r>
          </w:p>
        </w:tc>
      </w:tr>
      <w:tr w:rsidR="00AD4185" w14:paraId="14E008DA" w14:textId="77777777" w:rsidTr="00EC06DE">
        <w:tc>
          <w:tcPr>
            <w:tcW w:w="1335" w:type="dxa"/>
            <w:vAlign w:val="center"/>
          </w:tcPr>
          <w:p w14:paraId="6284A816"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10</w:t>
            </w:r>
            <w:r w:rsidRPr="004C3F8F">
              <w:rPr>
                <w:rFonts w:ascii="Arial" w:eastAsiaTheme="minorHAnsi" w:hAnsi="Arial" w:cs="Arial"/>
                <w:color w:val="000000"/>
                <w:sz w:val="20"/>
                <w:szCs w:val="20"/>
                <w:vertAlign w:val="superscript"/>
                <w14:ligatures w14:val="standardContextual"/>
              </w:rPr>
              <w:t>-</w:t>
            </w:r>
            <w:r>
              <w:rPr>
                <w:rFonts w:ascii="Arial" w:eastAsiaTheme="minorHAnsi" w:hAnsi="Arial" w:cs="Arial"/>
                <w:color w:val="000000"/>
                <w:sz w:val="20"/>
                <w:szCs w:val="20"/>
                <w:vertAlign w:val="superscript"/>
                <w14:ligatures w14:val="standardContextual"/>
              </w:rPr>
              <w:t>5</w:t>
            </w:r>
          </w:p>
        </w:tc>
        <w:tc>
          <w:tcPr>
            <w:tcW w:w="1335" w:type="dxa"/>
            <w:vAlign w:val="center"/>
          </w:tcPr>
          <w:p w14:paraId="163138B3"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96</w:t>
            </w:r>
          </w:p>
        </w:tc>
        <w:tc>
          <w:tcPr>
            <w:tcW w:w="1336" w:type="dxa"/>
            <w:vAlign w:val="center"/>
          </w:tcPr>
          <w:p w14:paraId="7958E34C"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64</w:t>
            </w:r>
          </w:p>
        </w:tc>
        <w:tc>
          <w:tcPr>
            <w:tcW w:w="1336" w:type="dxa"/>
            <w:vAlign w:val="center"/>
          </w:tcPr>
          <w:p w14:paraId="6214C442"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24</w:t>
            </w:r>
          </w:p>
        </w:tc>
        <w:tc>
          <w:tcPr>
            <w:tcW w:w="1336" w:type="dxa"/>
            <w:vAlign w:val="center"/>
          </w:tcPr>
          <w:p w14:paraId="51B9F64F"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2</w:t>
            </w:r>
          </w:p>
        </w:tc>
        <w:tc>
          <w:tcPr>
            <w:tcW w:w="1336" w:type="dxa"/>
            <w:vAlign w:val="center"/>
          </w:tcPr>
          <w:p w14:paraId="662B28D6"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NG</w:t>
            </w:r>
          </w:p>
        </w:tc>
        <w:tc>
          <w:tcPr>
            <w:tcW w:w="1336" w:type="dxa"/>
            <w:vAlign w:val="center"/>
          </w:tcPr>
          <w:p w14:paraId="20CA886A"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NG</w:t>
            </w:r>
          </w:p>
        </w:tc>
      </w:tr>
      <w:tr w:rsidR="00AD4185" w14:paraId="41DDA5C7" w14:textId="77777777" w:rsidTr="00EC06DE">
        <w:tc>
          <w:tcPr>
            <w:tcW w:w="1335" w:type="dxa"/>
            <w:vAlign w:val="center"/>
          </w:tcPr>
          <w:p w14:paraId="71C04B77" w14:textId="75134A35"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 xml:space="preserve">Sin </w:t>
            </w:r>
            <w:proofErr w:type="spellStart"/>
            <w:r>
              <w:rPr>
                <w:rFonts w:ascii="Arial" w:eastAsiaTheme="minorHAnsi" w:hAnsi="Arial" w:cs="Arial"/>
                <w:color w:val="000000"/>
                <w:sz w:val="20"/>
                <w:szCs w:val="20"/>
                <w14:ligatures w14:val="standardContextual"/>
              </w:rPr>
              <w:t>fago</w:t>
            </w:r>
            <w:proofErr w:type="spellEnd"/>
          </w:p>
        </w:tc>
        <w:tc>
          <w:tcPr>
            <w:tcW w:w="1335" w:type="dxa"/>
            <w:vAlign w:val="center"/>
          </w:tcPr>
          <w:p w14:paraId="791BFDE0"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96</w:t>
            </w:r>
          </w:p>
        </w:tc>
        <w:tc>
          <w:tcPr>
            <w:tcW w:w="1336" w:type="dxa"/>
            <w:vAlign w:val="center"/>
          </w:tcPr>
          <w:p w14:paraId="41E77F13"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48</w:t>
            </w:r>
          </w:p>
        </w:tc>
        <w:tc>
          <w:tcPr>
            <w:tcW w:w="1336" w:type="dxa"/>
            <w:vAlign w:val="center"/>
          </w:tcPr>
          <w:p w14:paraId="6902C9C0"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32</w:t>
            </w:r>
          </w:p>
        </w:tc>
        <w:tc>
          <w:tcPr>
            <w:tcW w:w="1336" w:type="dxa"/>
            <w:vAlign w:val="center"/>
          </w:tcPr>
          <w:p w14:paraId="2B02C064"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96</w:t>
            </w:r>
          </w:p>
        </w:tc>
        <w:tc>
          <w:tcPr>
            <w:tcW w:w="1336" w:type="dxa"/>
            <w:vAlign w:val="center"/>
          </w:tcPr>
          <w:p w14:paraId="239B768D"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48</w:t>
            </w:r>
          </w:p>
        </w:tc>
        <w:tc>
          <w:tcPr>
            <w:tcW w:w="1336" w:type="dxa"/>
            <w:vAlign w:val="center"/>
          </w:tcPr>
          <w:p w14:paraId="1E1FB7DF"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32</w:t>
            </w:r>
          </w:p>
        </w:tc>
      </w:tr>
      <w:tr w:rsidR="00AD4185" w14:paraId="3A55445F" w14:textId="77777777" w:rsidTr="00EC06DE">
        <w:tc>
          <w:tcPr>
            <w:tcW w:w="1335" w:type="dxa"/>
            <w:vAlign w:val="center"/>
          </w:tcPr>
          <w:p w14:paraId="6F2D8CDF" w14:textId="77777777" w:rsidR="00AD4185" w:rsidRDefault="00AD4185" w:rsidP="00EC06DE">
            <w:pPr>
              <w:tabs>
                <w:tab w:val="left" w:pos="720"/>
              </w:tabs>
              <w:snapToGrid w:val="0"/>
              <w:jc w:val="center"/>
              <w:rPr>
                <w:rFonts w:ascii="Arial" w:hAnsi="Arial" w:cs="Arial"/>
                <w:noProof/>
                <w14:ligatures w14:val="standardContextual"/>
              </w:rPr>
            </w:pPr>
          </w:p>
        </w:tc>
        <w:tc>
          <w:tcPr>
            <w:tcW w:w="8015" w:type="dxa"/>
            <w:gridSpan w:val="6"/>
            <w:vAlign w:val="center"/>
          </w:tcPr>
          <w:p w14:paraId="41822F16"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b/>
                <w:bCs/>
                <w:color w:val="000000"/>
                <w:sz w:val="20"/>
                <w:szCs w:val="20"/>
                <w14:ligatures w14:val="standardContextual"/>
              </w:rPr>
              <w:t>LAC</w:t>
            </w:r>
          </w:p>
        </w:tc>
      </w:tr>
      <w:tr w:rsidR="00AD4185" w14:paraId="03A9D65E" w14:textId="77777777" w:rsidTr="00EC06DE">
        <w:tc>
          <w:tcPr>
            <w:tcW w:w="1335" w:type="dxa"/>
            <w:vAlign w:val="center"/>
          </w:tcPr>
          <w:p w14:paraId="742CC122" w14:textId="77777777" w:rsidR="00AD4185" w:rsidRDefault="00AD4185" w:rsidP="00EC06DE">
            <w:pPr>
              <w:tabs>
                <w:tab w:val="left" w:pos="720"/>
              </w:tabs>
              <w:snapToGrid w:val="0"/>
              <w:jc w:val="center"/>
              <w:rPr>
                <w:rFonts w:ascii="Arial" w:hAnsi="Arial" w:cs="Arial"/>
                <w:noProof/>
                <w14:ligatures w14:val="standardContextual"/>
              </w:rPr>
            </w:pPr>
          </w:p>
        </w:tc>
        <w:tc>
          <w:tcPr>
            <w:tcW w:w="4007" w:type="dxa"/>
            <w:gridSpan w:val="3"/>
            <w:vAlign w:val="center"/>
          </w:tcPr>
          <w:p w14:paraId="73FA2045" w14:textId="77777777" w:rsidR="00AD4185" w:rsidRDefault="00AD4185" w:rsidP="00EC06DE">
            <w:pPr>
              <w:tabs>
                <w:tab w:val="left" w:pos="720"/>
              </w:tabs>
              <w:snapToGrid w:val="0"/>
              <w:jc w:val="center"/>
              <w:rPr>
                <w:rFonts w:ascii="Arial" w:hAnsi="Arial" w:cs="Arial"/>
                <w:noProof/>
                <w14:ligatures w14:val="standardContextual"/>
              </w:rPr>
            </w:pPr>
            <w:r w:rsidRPr="0014484D">
              <w:rPr>
                <w:rFonts w:ascii="Arial" w:hAnsi="Arial" w:cs="Arial"/>
                <w:b/>
                <w:bCs/>
                <w:sz w:val="20"/>
                <w:szCs w:val="20"/>
              </w:rPr>
              <w:t>ΦStaph1N</w:t>
            </w:r>
          </w:p>
        </w:tc>
        <w:tc>
          <w:tcPr>
            <w:tcW w:w="4008" w:type="dxa"/>
            <w:gridSpan w:val="3"/>
            <w:vAlign w:val="center"/>
          </w:tcPr>
          <w:p w14:paraId="5DB4FF0F"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b/>
                <w:bCs/>
                <w:color w:val="000000"/>
                <w:sz w:val="20"/>
                <w:szCs w:val="20"/>
                <w14:ligatures w14:val="standardContextual"/>
              </w:rPr>
              <w:t>Evo2</w:t>
            </w:r>
          </w:p>
        </w:tc>
      </w:tr>
      <w:tr w:rsidR="00AD4185" w14:paraId="7CAB009B" w14:textId="77777777" w:rsidTr="00EC06DE">
        <w:tc>
          <w:tcPr>
            <w:tcW w:w="1335" w:type="dxa"/>
            <w:vAlign w:val="center"/>
          </w:tcPr>
          <w:p w14:paraId="2591878D"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b/>
                <w:bCs/>
                <w:color w:val="000000"/>
                <w:sz w:val="20"/>
                <w:szCs w:val="20"/>
                <w14:ligatures w14:val="standardContextual"/>
              </w:rPr>
              <w:t>MOI</w:t>
            </w:r>
          </w:p>
        </w:tc>
        <w:tc>
          <w:tcPr>
            <w:tcW w:w="1335" w:type="dxa"/>
            <w:vAlign w:val="center"/>
          </w:tcPr>
          <w:p w14:paraId="5B09F6ED" w14:textId="77777777" w:rsidR="00AD4185" w:rsidRDefault="00AD4185" w:rsidP="00EC06DE">
            <w:pPr>
              <w:tabs>
                <w:tab w:val="left" w:pos="720"/>
              </w:tabs>
              <w:snapToGrid w:val="0"/>
              <w:jc w:val="center"/>
              <w:rPr>
                <w:rFonts w:ascii="Arial" w:eastAsiaTheme="minorHAnsi" w:hAnsi="Arial" w:cs="Arial"/>
                <w:b/>
                <w:bCs/>
                <w:color w:val="000000"/>
                <w:sz w:val="20"/>
                <w:szCs w:val="20"/>
                <w14:ligatures w14:val="standardContextual"/>
              </w:rPr>
            </w:pPr>
            <w:r>
              <w:rPr>
                <w:rFonts w:ascii="Arial" w:eastAsiaTheme="minorHAnsi" w:hAnsi="Arial" w:cs="Arial"/>
                <w:b/>
                <w:bCs/>
                <w:color w:val="000000"/>
                <w:sz w:val="20"/>
                <w:szCs w:val="20"/>
                <w14:ligatures w14:val="standardContextual"/>
              </w:rPr>
              <w:t>Rep 1</w:t>
            </w:r>
          </w:p>
        </w:tc>
        <w:tc>
          <w:tcPr>
            <w:tcW w:w="1336" w:type="dxa"/>
            <w:vAlign w:val="center"/>
          </w:tcPr>
          <w:p w14:paraId="2852BF9C"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b/>
                <w:bCs/>
                <w:color w:val="000000"/>
                <w:sz w:val="20"/>
                <w:szCs w:val="20"/>
                <w14:ligatures w14:val="standardContextual"/>
              </w:rPr>
              <w:t>Rep 2</w:t>
            </w:r>
          </w:p>
        </w:tc>
        <w:tc>
          <w:tcPr>
            <w:tcW w:w="1336" w:type="dxa"/>
            <w:vAlign w:val="center"/>
          </w:tcPr>
          <w:p w14:paraId="098D9187"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b/>
                <w:bCs/>
                <w:color w:val="000000"/>
                <w:sz w:val="20"/>
                <w:szCs w:val="20"/>
                <w14:ligatures w14:val="standardContextual"/>
              </w:rPr>
              <w:t>Rep 3</w:t>
            </w:r>
          </w:p>
        </w:tc>
        <w:tc>
          <w:tcPr>
            <w:tcW w:w="1336" w:type="dxa"/>
            <w:vAlign w:val="center"/>
          </w:tcPr>
          <w:p w14:paraId="171490F5" w14:textId="77777777" w:rsidR="00AD4185" w:rsidRDefault="00AD4185" w:rsidP="00EC06DE">
            <w:pPr>
              <w:tabs>
                <w:tab w:val="left" w:pos="720"/>
              </w:tabs>
              <w:snapToGrid w:val="0"/>
              <w:jc w:val="center"/>
              <w:rPr>
                <w:rFonts w:ascii="Arial" w:eastAsiaTheme="minorHAnsi" w:hAnsi="Arial" w:cs="Arial"/>
                <w:b/>
                <w:bCs/>
                <w:color w:val="000000"/>
                <w:sz w:val="20"/>
                <w:szCs w:val="20"/>
                <w14:ligatures w14:val="standardContextual"/>
              </w:rPr>
            </w:pPr>
            <w:r>
              <w:rPr>
                <w:rFonts w:ascii="Arial" w:eastAsiaTheme="minorHAnsi" w:hAnsi="Arial" w:cs="Arial"/>
                <w:b/>
                <w:bCs/>
                <w:color w:val="000000"/>
                <w:sz w:val="20"/>
                <w:szCs w:val="20"/>
                <w14:ligatures w14:val="standardContextual"/>
              </w:rPr>
              <w:t>Rep 1</w:t>
            </w:r>
          </w:p>
        </w:tc>
        <w:tc>
          <w:tcPr>
            <w:tcW w:w="1336" w:type="dxa"/>
            <w:vAlign w:val="center"/>
          </w:tcPr>
          <w:p w14:paraId="0B09C13A"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b/>
                <w:bCs/>
                <w:color w:val="000000"/>
                <w:sz w:val="20"/>
                <w:szCs w:val="20"/>
                <w14:ligatures w14:val="standardContextual"/>
              </w:rPr>
              <w:t>Rep 2</w:t>
            </w:r>
          </w:p>
        </w:tc>
        <w:tc>
          <w:tcPr>
            <w:tcW w:w="1336" w:type="dxa"/>
            <w:vAlign w:val="center"/>
          </w:tcPr>
          <w:p w14:paraId="104686B8"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b/>
                <w:bCs/>
                <w:color w:val="000000"/>
                <w:sz w:val="20"/>
                <w:szCs w:val="20"/>
                <w14:ligatures w14:val="standardContextual"/>
              </w:rPr>
              <w:t>Rep 3</w:t>
            </w:r>
          </w:p>
        </w:tc>
      </w:tr>
      <w:tr w:rsidR="00AD4185" w14:paraId="112401E3" w14:textId="77777777" w:rsidTr="00EC06DE">
        <w:tc>
          <w:tcPr>
            <w:tcW w:w="1335" w:type="dxa"/>
            <w:vAlign w:val="center"/>
          </w:tcPr>
          <w:p w14:paraId="47432A40"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10</w:t>
            </w:r>
            <w:r w:rsidRPr="004C3F8F">
              <w:rPr>
                <w:rFonts w:ascii="Arial" w:eastAsiaTheme="minorHAnsi" w:hAnsi="Arial" w:cs="Arial"/>
                <w:color w:val="000000"/>
                <w:sz w:val="20"/>
                <w:szCs w:val="20"/>
                <w:vertAlign w:val="superscript"/>
                <w14:ligatures w14:val="standardContextual"/>
              </w:rPr>
              <w:t>-2</w:t>
            </w:r>
          </w:p>
        </w:tc>
        <w:tc>
          <w:tcPr>
            <w:tcW w:w="1335" w:type="dxa"/>
            <w:vAlign w:val="center"/>
          </w:tcPr>
          <w:p w14:paraId="76B8C179" w14:textId="77777777" w:rsidR="00AD4185" w:rsidRDefault="00AD4185" w:rsidP="00EC06DE">
            <w:pPr>
              <w:tabs>
                <w:tab w:val="left" w:pos="720"/>
              </w:tabs>
              <w:snapToGrid w:val="0"/>
              <w:jc w:val="center"/>
              <w:rPr>
                <w:rFonts w:ascii="Arial" w:eastAsiaTheme="minorHAnsi" w:hAnsi="Arial" w:cs="Arial"/>
                <w:b/>
                <w:bCs/>
                <w:color w:val="000000"/>
                <w:sz w:val="20"/>
                <w:szCs w:val="20"/>
                <w14:ligatures w14:val="standardContextual"/>
              </w:rPr>
            </w:pPr>
            <w:r>
              <w:rPr>
                <w:rFonts w:ascii="Arial" w:eastAsiaTheme="minorHAnsi" w:hAnsi="Arial" w:cs="Arial"/>
                <w:color w:val="000000"/>
                <w:sz w:val="20"/>
                <w:szCs w:val="20"/>
                <w14:ligatures w14:val="standardContextual"/>
              </w:rPr>
              <w:t>NG</w:t>
            </w:r>
          </w:p>
        </w:tc>
        <w:tc>
          <w:tcPr>
            <w:tcW w:w="1336" w:type="dxa"/>
            <w:vAlign w:val="center"/>
          </w:tcPr>
          <w:p w14:paraId="28E33233"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NG</w:t>
            </w:r>
          </w:p>
        </w:tc>
        <w:tc>
          <w:tcPr>
            <w:tcW w:w="1336" w:type="dxa"/>
            <w:vAlign w:val="center"/>
          </w:tcPr>
          <w:p w14:paraId="2F099017"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2</w:t>
            </w:r>
          </w:p>
        </w:tc>
        <w:tc>
          <w:tcPr>
            <w:tcW w:w="1336" w:type="dxa"/>
            <w:vAlign w:val="center"/>
          </w:tcPr>
          <w:p w14:paraId="1CE999B9" w14:textId="77777777" w:rsidR="00AD4185" w:rsidRDefault="00AD4185" w:rsidP="00EC06DE">
            <w:pPr>
              <w:tabs>
                <w:tab w:val="left" w:pos="720"/>
              </w:tabs>
              <w:snapToGrid w:val="0"/>
              <w:jc w:val="center"/>
              <w:rPr>
                <w:rFonts w:ascii="Arial" w:eastAsiaTheme="minorHAnsi" w:hAnsi="Arial" w:cs="Arial"/>
                <w:b/>
                <w:bCs/>
                <w:color w:val="000000"/>
                <w:sz w:val="20"/>
                <w:szCs w:val="20"/>
                <w14:ligatures w14:val="standardContextual"/>
              </w:rPr>
            </w:pPr>
            <w:r>
              <w:rPr>
                <w:rFonts w:ascii="Arial" w:eastAsiaTheme="minorHAnsi" w:hAnsi="Arial" w:cs="Arial"/>
                <w:color w:val="000000"/>
                <w:sz w:val="20"/>
                <w:szCs w:val="20"/>
                <w14:ligatures w14:val="standardContextual"/>
              </w:rPr>
              <w:t>0.064</w:t>
            </w:r>
          </w:p>
        </w:tc>
        <w:tc>
          <w:tcPr>
            <w:tcW w:w="1336" w:type="dxa"/>
            <w:vAlign w:val="center"/>
          </w:tcPr>
          <w:p w14:paraId="48BB201A"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NG</w:t>
            </w:r>
          </w:p>
        </w:tc>
        <w:tc>
          <w:tcPr>
            <w:tcW w:w="1336" w:type="dxa"/>
            <w:vAlign w:val="center"/>
          </w:tcPr>
          <w:p w14:paraId="4DCB73BD"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NG</w:t>
            </w:r>
          </w:p>
        </w:tc>
      </w:tr>
      <w:tr w:rsidR="00AD4185" w14:paraId="7B99510C" w14:textId="77777777" w:rsidTr="00EC06DE">
        <w:tc>
          <w:tcPr>
            <w:tcW w:w="1335" w:type="dxa"/>
            <w:vAlign w:val="center"/>
          </w:tcPr>
          <w:p w14:paraId="2D692E58"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10</w:t>
            </w:r>
            <w:r w:rsidRPr="004C3F8F">
              <w:rPr>
                <w:rFonts w:ascii="Arial" w:eastAsiaTheme="minorHAnsi" w:hAnsi="Arial" w:cs="Arial"/>
                <w:color w:val="000000"/>
                <w:sz w:val="20"/>
                <w:szCs w:val="20"/>
                <w:vertAlign w:val="superscript"/>
                <w14:ligatures w14:val="standardContextual"/>
              </w:rPr>
              <w:t>-</w:t>
            </w:r>
            <w:r>
              <w:rPr>
                <w:rFonts w:ascii="Arial" w:eastAsiaTheme="minorHAnsi" w:hAnsi="Arial" w:cs="Arial"/>
                <w:color w:val="000000"/>
                <w:sz w:val="20"/>
                <w:szCs w:val="20"/>
                <w:vertAlign w:val="superscript"/>
                <w14:ligatures w14:val="standardContextual"/>
              </w:rPr>
              <w:t>3</w:t>
            </w:r>
          </w:p>
        </w:tc>
        <w:tc>
          <w:tcPr>
            <w:tcW w:w="1335" w:type="dxa"/>
            <w:vAlign w:val="center"/>
          </w:tcPr>
          <w:p w14:paraId="3723A762" w14:textId="77777777" w:rsidR="00AD4185" w:rsidRDefault="00AD4185" w:rsidP="00EC06DE">
            <w:pPr>
              <w:tabs>
                <w:tab w:val="left" w:pos="720"/>
              </w:tabs>
              <w:snapToGrid w:val="0"/>
              <w:jc w:val="center"/>
              <w:rPr>
                <w:rFonts w:ascii="Arial" w:eastAsiaTheme="minorHAnsi" w:hAnsi="Arial" w:cs="Arial"/>
                <w:b/>
                <w:bCs/>
                <w:color w:val="000000"/>
                <w:sz w:val="20"/>
                <w:szCs w:val="20"/>
                <w14:ligatures w14:val="standardContextual"/>
              </w:rPr>
            </w:pPr>
            <w:r>
              <w:rPr>
                <w:rFonts w:ascii="Arial" w:eastAsiaTheme="minorHAnsi" w:hAnsi="Arial" w:cs="Arial"/>
                <w:color w:val="000000"/>
                <w:sz w:val="20"/>
                <w:szCs w:val="20"/>
                <w14:ligatures w14:val="standardContextual"/>
              </w:rPr>
              <w:t>NG</w:t>
            </w:r>
          </w:p>
        </w:tc>
        <w:tc>
          <w:tcPr>
            <w:tcW w:w="1336" w:type="dxa"/>
            <w:vAlign w:val="center"/>
          </w:tcPr>
          <w:p w14:paraId="6DD92407"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3</w:t>
            </w:r>
          </w:p>
        </w:tc>
        <w:tc>
          <w:tcPr>
            <w:tcW w:w="1336" w:type="dxa"/>
            <w:vAlign w:val="center"/>
          </w:tcPr>
          <w:p w14:paraId="3E48210C"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1.5</w:t>
            </w:r>
          </w:p>
        </w:tc>
        <w:tc>
          <w:tcPr>
            <w:tcW w:w="1336" w:type="dxa"/>
            <w:vAlign w:val="center"/>
          </w:tcPr>
          <w:p w14:paraId="7028909D" w14:textId="77777777" w:rsidR="00AD4185" w:rsidRDefault="00AD4185" w:rsidP="00EC06DE">
            <w:pPr>
              <w:tabs>
                <w:tab w:val="left" w:pos="720"/>
              </w:tabs>
              <w:snapToGrid w:val="0"/>
              <w:jc w:val="center"/>
              <w:rPr>
                <w:rFonts w:ascii="Arial" w:eastAsiaTheme="minorHAnsi" w:hAnsi="Arial" w:cs="Arial"/>
                <w:b/>
                <w:bCs/>
                <w:color w:val="000000"/>
                <w:sz w:val="20"/>
                <w:szCs w:val="20"/>
                <w14:ligatures w14:val="standardContextual"/>
              </w:rPr>
            </w:pPr>
            <w:r>
              <w:rPr>
                <w:rFonts w:ascii="Arial" w:eastAsiaTheme="minorHAnsi" w:hAnsi="Arial" w:cs="Arial"/>
                <w:color w:val="000000"/>
                <w:sz w:val="20"/>
                <w:szCs w:val="20"/>
                <w14:ligatures w14:val="standardContextual"/>
              </w:rPr>
              <w:t>0.032</w:t>
            </w:r>
          </w:p>
        </w:tc>
        <w:tc>
          <w:tcPr>
            <w:tcW w:w="1336" w:type="dxa"/>
            <w:vAlign w:val="center"/>
          </w:tcPr>
          <w:p w14:paraId="5F40CD45"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NG</w:t>
            </w:r>
          </w:p>
        </w:tc>
        <w:tc>
          <w:tcPr>
            <w:tcW w:w="1336" w:type="dxa"/>
            <w:vAlign w:val="center"/>
          </w:tcPr>
          <w:p w14:paraId="540FC22E"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NG</w:t>
            </w:r>
          </w:p>
        </w:tc>
      </w:tr>
      <w:tr w:rsidR="00AD4185" w14:paraId="46E19525" w14:textId="77777777" w:rsidTr="00EC06DE">
        <w:tc>
          <w:tcPr>
            <w:tcW w:w="1335" w:type="dxa"/>
            <w:vAlign w:val="center"/>
          </w:tcPr>
          <w:p w14:paraId="43C7409B"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10</w:t>
            </w:r>
            <w:r w:rsidRPr="004C3F8F">
              <w:rPr>
                <w:rFonts w:ascii="Arial" w:eastAsiaTheme="minorHAnsi" w:hAnsi="Arial" w:cs="Arial"/>
                <w:color w:val="000000"/>
                <w:sz w:val="20"/>
                <w:szCs w:val="20"/>
                <w:vertAlign w:val="superscript"/>
                <w14:ligatures w14:val="standardContextual"/>
              </w:rPr>
              <w:t>-</w:t>
            </w:r>
            <w:r>
              <w:rPr>
                <w:rFonts w:ascii="Arial" w:eastAsiaTheme="minorHAnsi" w:hAnsi="Arial" w:cs="Arial"/>
                <w:color w:val="000000"/>
                <w:sz w:val="20"/>
                <w:szCs w:val="20"/>
                <w:vertAlign w:val="superscript"/>
                <w14:ligatures w14:val="standardContextual"/>
              </w:rPr>
              <w:t>4</w:t>
            </w:r>
          </w:p>
        </w:tc>
        <w:tc>
          <w:tcPr>
            <w:tcW w:w="1335" w:type="dxa"/>
            <w:vAlign w:val="center"/>
          </w:tcPr>
          <w:p w14:paraId="4E064EE7" w14:textId="77777777" w:rsidR="00AD4185" w:rsidRDefault="00AD4185" w:rsidP="00EC06DE">
            <w:pPr>
              <w:tabs>
                <w:tab w:val="left" w:pos="720"/>
              </w:tabs>
              <w:snapToGrid w:val="0"/>
              <w:jc w:val="center"/>
              <w:rPr>
                <w:rFonts w:ascii="Arial" w:eastAsiaTheme="minorHAnsi" w:hAnsi="Arial" w:cs="Arial"/>
                <w:b/>
                <w:bCs/>
                <w:color w:val="000000"/>
                <w:sz w:val="20"/>
                <w:szCs w:val="20"/>
                <w14:ligatures w14:val="standardContextual"/>
              </w:rPr>
            </w:pPr>
            <w:r>
              <w:rPr>
                <w:rFonts w:ascii="Arial" w:eastAsiaTheme="minorHAnsi" w:hAnsi="Arial" w:cs="Arial"/>
                <w:color w:val="000000"/>
                <w:sz w:val="20"/>
                <w:szCs w:val="20"/>
                <w14:ligatures w14:val="standardContextual"/>
              </w:rPr>
              <w:t>32</w:t>
            </w:r>
          </w:p>
        </w:tc>
        <w:tc>
          <w:tcPr>
            <w:tcW w:w="1336" w:type="dxa"/>
            <w:vAlign w:val="center"/>
          </w:tcPr>
          <w:p w14:paraId="630DD087"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1.5</w:t>
            </w:r>
          </w:p>
        </w:tc>
        <w:tc>
          <w:tcPr>
            <w:tcW w:w="1336" w:type="dxa"/>
            <w:vAlign w:val="center"/>
          </w:tcPr>
          <w:p w14:paraId="2405B85E"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1</w:t>
            </w:r>
          </w:p>
        </w:tc>
        <w:tc>
          <w:tcPr>
            <w:tcW w:w="1336" w:type="dxa"/>
            <w:vAlign w:val="center"/>
          </w:tcPr>
          <w:p w14:paraId="0A7EA227" w14:textId="77777777" w:rsidR="00AD4185" w:rsidRDefault="00AD4185" w:rsidP="00EC06DE">
            <w:pPr>
              <w:tabs>
                <w:tab w:val="left" w:pos="720"/>
              </w:tabs>
              <w:snapToGrid w:val="0"/>
              <w:jc w:val="center"/>
              <w:rPr>
                <w:rFonts w:ascii="Arial" w:eastAsiaTheme="minorHAnsi" w:hAnsi="Arial" w:cs="Arial"/>
                <w:b/>
                <w:bCs/>
                <w:color w:val="000000"/>
                <w:sz w:val="20"/>
                <w:szCs w:val="20"/>
                <w14:ligatures w14:val="standardContextual"/>
              </w:rPr>
            </w:pPr>
            <w:r>
              <w:rPr>
                <w:rFonts w:ascii="Arial" w:eastAsiaTheme="minorHAnsi" w:hAnsi="Arial" w:cs="Arial"/>
                <w:color w:val="000000"/>
                <w:sz w:val="20"/>
                <w:szCs w:val="20"/>
                <w14:ligatures w14:val="standardContextual"/>
              </w:rPr>
              <w:t>NG</w:t>
            </w:r>
          </w:p>
        </w:tc>
        <w:tc>
          <w:tcPr>
            <w:tcW w:w="1336" w:type="dxa"/>
            <w:vAlign w:val="center"/>
          </w:tcPr>
          <w:p w14:paraId="371F67E4"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NG</w:t>
            </w:r>
          </w:p>
        </w:tc>
        <w:tc>
          <w:tcPr>
            <w:tcW w:w="1336" w:type="dxa"/>
            <w:vAlign w:val="center"/>
          </w:tcPr>
          <w:p w14:paraId="4AE178BC"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NG</w:t>
            </w:r>
          </w:p>
        </w:tc>
      </w:tr>
      <w:tr w:rsidR="00AD4185" w14:paraId="2E4858E7" w14:textId="77777777" w:rsidTr="00EC06DE">
        <w:tc>
          <w:tcPr>
            <w:tcW w:w="1335" w:type="dxa"/>
            <w:vAlign w:val="center"/>
          </w:tcPr>
          <w:p w14:paraId="572385E8"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10</w:t>
            </w:r>
            <w:r w:rsidRPr="004C3F8F">
              <w:rPr>
                <w:rFonts w:ascii="Arial" w:eastAsiaTheme="minorHAnsi" w:hAnsi="Arial" w:cs="Arial"/>
                <w:color w:val="000000"/>
                <w:sz w:val="20"/>
                <w:szCs w:val="20"/>
                <w:vertAlign w:val="superscript"/>
                <w14:ligatures w14:val="standardContextual"/>
              </w:rPr>
              <w:t>-</w:t>
            </w:r>
            <w:r>
              <w:rPr>
                <w:rFonts w:ascii="Arial" w:eastAsiaTheme="minorHAnsi" w:hAnsi="Arial" w:cs="Arial"/>
                <w:color w:val="000000"/>
                <w:sz w:val="20"/>
                <w:szCs w:val="20"/>
                <w:vertAlign w:val="superscript"/>
                <w14:ligatures w14:val="standardContextual"/>
              </w:rPr>
              <w:t>5</w:t>
            </w:r>
          </w:p>
        </w:tc>
        <w:tc>
          <w:tcPr>
            <w:tcW w:w="1335" w:type="dxa"/>
            <w:vAlign w:val="center"/>
          </w:tcPr>
          <w:p w14:paraId="08D4EA7A" w14:textId="77777777" w:rsidR="00AD4185" w:rsidRDefault="00AD4185" w:rsidP="00EC06DE">
            <w:pPr>
              <w:tabs>
                <w:tab w:val="left" w:pos="720"/>
              </w:tabs>
              <w:snapToGrid w:val="0"/>
              <w:jc w:val="center"/>
              <w:rPr>
                <w:rFonts w:ascii="Arial" w:eastAsiaTheme="minorHAnsi" w:hAnsi="Arial" w:cs="Arial"/>
                <w:b/>
                <w:bCs/>
                <w:color w:val="000000"/>
                <w:sz w:val="20"/>
                <w:szCs w:val="20"/>
                <w14:ligatures w14:val="standardContextual"/>
              </w:rPr>
            </w:pPr>
            <w:r>
              <w:rPr>
                <w:rFonts w:ascii="Arial" w:eastAsiaTheme="minorHAnsi" w:hAnsi="Arial" w:cs="Arial"/>
                <w:color w:val="000000"/>
                <w:sz w:val="20"/>
                <w:szCs w:val="20"/>
                <w14:ligatures w14:val="standardContextual"/>
              </w:rPr>
              <w:t>32</w:t>
            </w:r>
          </w:p>
        </w:tc>
        <w:tc>
          <w:tcPr>
            <w:tcW w:w="1336" w:type="dxa"/>
            <w:vAlign w:val="center"/>
          </w:tcPr>
          <w:p w14:paraId="6B3411F3"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16</w:t>
            </w:r>
          </w:p>
        </w:tc>
        <w:tc>
          <w:tcPr>
            <w:tcW w:w="1336" w:type="dxa"/>
            <w:vAlign w:val="center"/>
          </w:tcPr>
          <w:p w14:paraId="47A189FE"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0.38</w:t>
            </w:r>
          </w:p>
        </w:tc>
        <w:tc>
          <w:tcPr>
            <w:tcW w:w="1336" w:type="dxa"/>
            <w:vAlign w:val="center"/>
          </w:tcPr>
          <w:p w14:paraId="1B37B2B6" w14:textId="77777777" w:rsidR="00AD4185" w:rsidRDefault="00AD4185" w:rsidP="00EC06DE">
            <w:pPr>
              <w:tabs>
                <w:tab w:val="left" w:pos="720"/>
              </w:tabs>
              <w:snapToGrid w:val="0"/>
              <w:jc w:val="center"/>
              <w:rPr>
                <w:rFonts w:ascii="Arial" w:eastAsiaTheme="minorHAnsi" w:hAnsi="Arial" w:cs="Arial"/>
                <w:b/>
                <w:bCs/>
                <w:color w:val="000000"/>
                <w:sz w:val="20"/>
                <w:szCs w:val="20"/>
                <w14:ligatures w14:val="standardContextual"/>
              </w:rPr>
            </w:pPr>
            <w:r>
              <w:rPr>
                <w:rFonts w:ascii="Arial" w:eastAsiaTheme="minorHAnsi" w:hAnsi="Arial" w:cs="Arial"/>
                <w:color w:val="000000"/>
                <w:sz w:val="20"/>
                <w:szCs w:val="20"/>
                <w14:ligatures w14:val="standardContextual"/>
              </w:rPr>
              <w:t>NG</w:t>
            </w:r>
          </w:p>
        </w:tc>
        <w:tc>
          <w:tcPr>
            <w:tcW w:w="1336" w:type="dxa"/>
            <w:vAlign w:val="center"/>
          </w:tcPr>
          <w:p w14:paraId="42CFB700"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NG</w:t>
            </w:r>
          </w:p>
        </w:tc>
        <w:tc>
          <w:tcPr>
            <w:tcW w:w="1336" w:type="dxa"/>
            <w:vAlign w:val="center"/>
          </w:tcPr>
          <w:p w14:paraId="35AC4E65"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NG</w:t>
            </w:r>
          </w:p>
        </w:tc>
      </w:tr>
      <w:tr w:rsidR="00AD4185" w14:paraId="4F4F7883" w14:textId="77777777" w:rsidTr="00EC06DE">
        <w:tc>
          <w:tcPr>
            <w:tcW w:w="1335" w:type="dxa"/>
            <w:vAlign w:val="center"/>
          </w:tcPr>
          <w:p w14:paraId="28875216" w14:textId="075E69B5" w:rsidR="00AD4185" w:rsidRPr="00AD4185" w:rsidRDefault="00AD4185" w:rsidP="00EC06DE">
            <w:pPr>
              <w:tabs>
                <w:tab w:val="left" w:pos="720"/>
              </w:tabs>
              <w:snapToGrid w:val="0"/>
              <w:jc w:val="center"/>
              <w:rPr>
                <w:rFonts w:ascii="Arial" w:hAnsi="Arial" w:cs="Arial"/>
                <w:noProof/>
                <w:sz w:val="20"/>
                <w:szCs w:val="20"/>
                <w14:ligatures w14:val="standardContextual"/>
              </w:rPr>
            </w:pPr>
            <w:r>
              <w:rPr>
                <w:rFonts w:ascii="Arial" w:hAnsi="Arial" w:cs="Arial"/>
                <w:noProof/>
                <w:sz w:val="20"/>
                <w:szCs w:val="20"/>
                <w14:ligatures w14:val="standardContextual"/>
              </w:rPr>
              <w:t>Sin fago</w:t>
            </w:r>
          </w:p>
        </w:tc>
        <w:tc>
          <w:tcPr>
            <w:tcW w:w="1335" w:type="dxa"/>
            <w:vAlign w:val="center"/>
          </w:tcPr>
          <w:p w14:paraId="6A64EA5C" w14:textId="77777777" w:rsidR="00AD4185" w:rsidRDefault="00AD4185" w:rsidP="00EC06DE">
            <w:pPr>
              <w:tabs>
                <w:tab w:val="left" w:pos="720"/>
              </w:tabs>
              <w:snapToGrid w:val="0"/>
              <w:jc w:val="center"/>
              <w:rPr>
                <w:rFonts w:ascii="Arial" w:eastAsiaTheme="minorHAnsi" w:hAnsi="Arial" w:cs="Arial"/>
                <w:b/>
                <w:bCs/>
                <w:color w:val="000000"/>
                <w:sz w:val="20"/>
                <w:szCs w:val="20"/>
                <w14:ligatures w14:val="standardContextual"/>
              </w:rPr>
            </w:pPr>
            <w:r>
              <w:rPr>
                <w:rFonts w:ascii="Arial" w:eastAsiaTheme="minorHAnsi" w:hAnsi="Arial" w:cs="Arial"/>
                <w:color w:val="000000"/>
                <w:sz w:val="20"/>
                <w:szCs w:val="20"/>
                <w14:ligatures w14:val="standardContextual"/>
              </w:rPr>
              <w:t>32</w:t>
            </w:r>
          </w:p>
        </w:tc>
        <w:tc>
          <w:tcPr>
            <w:tcW w:w="1336" w:type="dxa"/>
            <w:vAlign w:val="center"/>
          </w:tcPr>
          <w:p w14:paraId="3C7FB97E"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48</w:t>
            </w:r>
          </w:p>
        </w:tc>
        <w:tc>
          <w:tcPr>
            <w:tcW w:w="1336" w:type="dxa"/>
            <w:vAlign w:val="center"/>
          </w:tcPr>
          <w:p w14:paraId="0AFBEA19"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48</w:t>
            </w:r>
          </w:p>
        </w:tc>
        <w:tc>
          <w:tcPr>
            <w:tcW w:w="1336" w:type="dxa"/>
            <w:vAlign w:val="center"/>
          </w:tcPr>
          <w:p w14:paraId="7D5073F4" w14:textId="77777777" w:rsidR="00AD4185" w:rsidRDefault="00AD4185" w:rsidP="00EC06DE">
            <w:pPr>
              <w:tabs>
                <w:tab w:val="left" w:pos="720"/>
              </w:tabs>
              <w:snapToGrid w:val="0"/>
              <w:jc w:val="center"/>
              <w:rPr>
                <w:rFonts w:ascii="Arial" w:eastAsiaTheme="minorHAnsi" w:hAnsi="Arial" w:cs="Arial"/>
                <w:b/>
                <w:bCs/>
                <w:color w:val="000000"/>
                <w:sz w:val="20"/>
                <w:szCs w:val="20"/>
                <w14:ligatures w14:val="standardContextual"/>
              </w:rPr>
            </w:pPr>
            <w:r>
              <w:rPr>
                <w:rFonts w:ascii="Arial" w:eastAsiaTheme="minorHAnsi" w:hAnsi="Arial" w:cs="Arial"/>
                <w:color w:val="000000"/>
                <w:sz w:val="20"/>
                <w:szCs w:val="20"/>
                <w14:ligatures w14:val="standardContextual"/>
              </w:rPr>
              <w:t>32</w:t>
            </w:r>
          </w:p>
        </w:tc>
        <w:tc>
          <w:tcPr>
            <w:tcW w:w="1336" w:type="dxa"/>
            <w:vAlign w:val="center"/>
          </w:tcPr>
          <w:p w14:paraId="127D64A9"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48</w:t>
            </w:r>
          </w:p>
        </w:tc>
        <w:tc>
          <w:tcPr>
            <w:tcW w:w="1336" w:type="dxa"/>
            <w:vAlign w:val="center"/>
          </w:tcPr>
          <w:p w14:paraId="6F8B552C" w14:textId="77777777" w:rsidR="00AD4185" w:rsidRDefault="00AD4185" w:rsidP="00EC06DE">
            <w:pPr>
              <w:tabs>
                <w:tab w:val="left" w:pos="720"/>
              </w:tabs>
              <w:snapToGrid w:val="0"/>
              <w:jc w:val="center"/>
              <w:rPr>
                <w:rFonts w:ascii="Arial" w:hAnsi="Arial" w:cs="Arial"/>
                <w:noProof/>
                <w14:ligatures w14:val="standardContextual"/>
              </w:rPr>
            </w:pPr>
            <w:r>
              <w:rPr>
                <w:rFonts w:ascii="Arial" w:eastAsiaTheme="minorHAnsi" w:hAnsi="Arial" w:cs="Arial"/>
                <w:color w:val="000000"/>
                <w:sz w:val="20"/>
                <w:szCs w:val="20"/>
                <w14:ligatures w14:val="standardContextual"/>
              </w:rPr>
              <w:t>48</w:t>
            </w:r>
          </w:p>
        </w:tc>
      </w:tr>
    </w:tbl>
    <w:p w14:paraId="08146FD1" w14:textId="77777777" w:rsidR="00D44FBE" w:rsidRDefault="00AD4185" w:rsidP="001104C5">
      <w:pPr>
        <w:pStyle w:val="NoSpacing"/>
        <w:rPr>
          <w:rFonts w:ascii="Arial" w:hAnsi="Arial" w:cs="Arial"/>
          <w:b/>
          <w:bCs/>
          <w:u w:val="single"/>
          <w:lang w:val="es-PR"/>
        </w:rPr>
      </w:pPr>
      <w:r w:rsidRPr="00AD4185">
        <w:rPr>
          <w:rFonts w:ascii="Arial" w:hAnsi="Arial" w:cs="Arial"/>
          <w:lang w:val="es-PR"/>
        </w:rPr>
        <w:t xml:space="preserve">NG: no se detectó </w:t>
      </w:r>
      <w:r>
        <w:rPr>
          <w:rFonts w:ascii="Arial" w:hAnsi="Arial" w:cs="Arial"/>
          <w:lang w:val="es-PR"/>
        </w:rPr>
        <w:t>crecimiento</w:t>
      </w:r>
    </w:p>
    <w:p w14:paraId="42F2D7CA" w14:textId="77777777" w:rsidR="00D44FBE" w:rsidRDefault="00D44FBE" w:rsidP="001104C5">
      <w:pPr>
        <w:pStyle w:val="NoSpacing"/>
        <w:rPr>
          <w:rFonts w:ascii="Arial" w:hAnsi="Arial" w:cs="Arial"/>
          <w:b/>
          <w:bCs/>
          <w:u w:val="single"/>
          <w:lang w:val="es-PR"/>
        </w:rPr>
      </w:pPr>
    </w:p>
    <w:p w14:paraId="6329E8C1" w14:textId="13125FD3" w:rsidR="0091777F" w:rsidRPr="00D44FBE" w:rsidRDefault="0091777F" w:rsidP="001104C5">
      <w:pPr>
        <w:pStyle w:val="NoSpacing"/>
        <w:rPr>
          <w:rFonts w:ascii="Arial" w:hAnsi="Arial" w:cs="Arial"/>
          <w:b/>
          <w:bCs/>
          <w:lang w:val="es-PR"/>
        </w:rPr>
      </w:pPr>
      <w:r w:rsidRPr="00D44FBE">
        <w:rPr>
          <w:rFonts w:ascii="Times New Roman" w:hAnsi="Times New Roman" w:cs="Times New Roman"/>
          <w:b/>
          <w:bCs/>
          <w:lang w:val="es-PR"/>
        </w:rPr>
        <w:t>Descubrimiento de un ΦStaph1N mutante con mejor actividad lítica contra SAMR</w:t>
      </w:r>
    </w:p>
    <w:p w14:paraId="79ADEB09" w14:textId="52E3DDD9" w:rsidR="00147516" w:rsidRDefault="00147516" w:rsidP="001104C5">
      <w:pPr>
        <w:pStyle w:val="NoSpacing"/>
        <w:rPr>
          <w:rFonts w:ascii="Times New Roman" w:hAnsi="Times New Roman" w:cs="Times New Roman"/>
          <w:lang w:val="es-PR"/>
        </w:rPr>
      </w:pPr>
      <w:r w:rsidRPr="00147516">
        <w:rPr>
          <w:rFonts w:ascii="Times New Roman" w:hAnsi="Times New Roman" w:cs="Times New Roman"/>
          <w:lang w:val="es-PR"/>
        </w:rPr>
        <w:t>En el caso de ΦStaph1N, observamos que, si bien el fago p</w:t>
      </w:r>
      <w:r>
        <w:rPr>
          <w:rFonts w:ascii="Times New Roman" w:hAnsi="Times New Roman" w:cs="Times New Roman"/>
          <w:lang w:val="es-PR"/>
        </w:rPr>
        <w:t>uede</w:t>
      </w:r>
      <w:r w:rsidRPr="00147516">
        <w:rPr>
          <w:rFonts w:ascii="Times New Roman" w:hAnsi="Times New Roman" w:cs="Times New Roman"/>
          <w:lang w:val="es-PR"/>
        </w:rPr>
        <w:t xml:space="preserve"> </w:t>
      </w:r>
      <w:r>
        <w:rPr>
          <w:rFonts w:ascii="Times New Roman" w:hAnsi="Times New Roman" w:cs="Times New Roman"/>
          <w:lang w:val="es-PR"/>
        </w:rPr>
        <w:t>infectar</w:t>
      </w:r>
      <w:r w:rsidRPr="00147516">
        <w:rPr>
          <w:rFonts w:ascii="Times New Roman" w:hAnsi="Times New Roman" w:cs="Times New Roman"/>
          <w:lang w:val="es-PR"/>
        </w:rPr>
        <w:t xml:space="preserve"> las tres cepas de SARM, su eficiencia de formación de placas </w:t>
      </w:r>
      <w:r>
        <w:rPr>
          <w:rFonts w:ascii="Times New Roman" w:hAnsi="Times New Roman" w:cs="Times New Roman"/>
          <w:lang w:val="es-PR"/>
        </w:rPr>
        <w:t>es menor</w:t>
      </w:r>
      <w:r w:rsidRPr="00147516">
        <w:rPr>
          <w:rFonts w:ascii="Times New Roman" w:hAnsi="Times New Roman" w:cs="Times New Roman"/>
          <w:lang w:val="es-PR"/>
        </w:rPr>
        <w:t xml:space="preserve"> en las cepas MW2 y LAC (Figura 1B, Figura </w:t>
      </w:r>
      <w:r w:rsidR="00AD4185">
        <w:rPr>
          <w:rFonts w:ascii="Times New Roman" w:hAnsi="Times New Roman" w:cs="Times New Roman"/>
          <w:lang w:val="es-PR"/>
        </w:rPr>
        <w:t>1- Figura suplementaria 1</w:t>
      </w:r>
      <w:r w:rsidRPr="00147516">
        <w:rPr>
          <w:rFonts w:ascii="Times New Roman" w:hAnsi="Times New Roman" w:cs="Times New Roman"/>
          <w:lang w:val="es-PR"/>
        </w:rPr>
        <w:t xml:space="preserve">). Las placas de ΦStaph1N en los céspedes bacterianos </w:t>
      </w:r>
      <w:r>
        <w:rPr>
          <w:rFonts w:ascii="Times New Roman" w:hAnsi="Times New Roman" w:cs="Times New Roman"/>
          <w:lang w:val="es-PR"/>
        </w:rPr>
        <w:t xml:space="preserve">de </w:t>
      </w:r>
      <w:r w:rsidRPr="00147516">
        <w:rPr>
          <w:rFonts w:ascii="Times New Roman" w:hAnsi="Times New Roman" w:cs="Times New Roman"/>
          <w:lang w:val="es-PR"/>
        </w:rPr>
        <w:t xml:space="preserve">MW2 y LAC eran turbias, y la eficiencia de </w:t>
      </w:r>
      <w:r>
        <w:rPr>
          <w:rFonts w:ascii="Times New Roman" w:hAnsi="Times New Roman" w:cs="Times New Roman"/>
          <w:lang w:val="es-PR"/>
        </w:rPr>
        <w:t xml:space="preserve">formación de </w:t>
      </w:r>
      <w:r w:rsidRPr="00147516">
        <w:rPr>
          <w:rFonts w:ascii="Times New Roman" w:hAnsi="Times New Roman" w:cs="Times New Roman"/>
          <w:lang w:val="es-PR"/>
        </w:rPr>
        <w:t>pla</w:t>
      </w:r>
      <w:r>
        <w:rPr>
          <w:rFonts w:ascii="Times New Roman" w:hAnsi="Times New Roman" w:cs="Times New Roman"/>
          <w:lang w:val="es-PR"/>
        </w:rPr>
        <w:t>cas</w:t>
      </w:r>
      <w:r w:rsidRPr="00147516">
        <w:rPr>
          <w:rFonts w:ascii="Times New Roman" w:hAnsi="Times New Roman" w:cs="Times New Roman"/>
          <w:lang w:val="es-PR"/>
        </w:rPr>
        <w:t xml:space="preserve"> fue aproximadamente dos órdenes de magnitud menor que la de MRSA252. Sorprendentemente, observamos consistentemente placas más pequeñas y claras que surgían en las placas más grandes y turbias de LAC (Figura </w:t>
      </w:r>
      <w:r w:rsidR="00AD4185">
        <w:rPr>
          <w:rFonts w:ascii="Times New Roman" w:hAnsi="Times New Roman" w:cs="Times New Roman"/>
          <w:lang w:val="es-PR"/>
        </w:rPr>
        <w:t>2- Figura suplementaria 1</w:t>
      </w:r>
      <w:r w:rsidRPr="00147516">
        <w:rPr>
          <w:rFonts w:ascii="Times New Roman" w:hAnsi="Times New Roman" w:cs="Times New Roman"/>
          <w:lang w:val="es-PR"/>
        </w:rPr>
        <w:t>); esto no ocurrió en MW2. Planteamos la hipótesis de que estas placas claras eran causadas por una forma mutante de ΦStaph1N que desarrolló una mayor actividad lítica. Aislamos clones de fagos de estas placas individuales y evaluamos su actividad contra SARM. Este fago mutante, al que llamamos Evo2,</w:t>
      </w:r>
      <w:r>
        <w:rPr>
          <w:rFonts w:ascii="Times New Roman" w:hAnsi="Times New Roman" w:cs="Times New Roman"/>
          <w:lang w:val="es-PR"/>
        </w:rPr>
        <w:t xml:space="preserve"> forma placas </w:t>
      </w:r>
      <w:r w:rsidRPr="00147516">
        <w:rPr>
          <w:rFonts w:ascii="Times New Roman" w:hAnsi="Times New Roman" w:cs="Times New Roman"/>
          <w:lang w:val="es-PR"/>
        </w:rPr>
        <w:t xml:space="preserve">en las cepas LAC y MW2 con mayor eficiencia, mostrando una </w:t>
      </w:r>
      <w:r>
        <w:rPr>
          <w:rFonts w:ascii="Times New Roman" w:hAnsi="Times New Roman" w:cs="Times New Roman"/>
          <w:lang w:val="es-PR"/>
        </w:rPr>
        <w:t>eficiencia</w:t>
      </w:r>
      <w:r w:rsidRPr="00147516">
        <w:rPr>
          <w:rFonts w:ascii="Times New Roman" w:hAnsi="Times New Roman" w:cs="Times New Roman"/>
          <w:lang w:val="es-PR"/>
        </w:rPr>
        <w:t xml:space="preserve"> comparable a la de MRSA252 (Figura 2A). En </w:t>
      </w:r>
      <w:r w:rsidRPr="00147516">
        <w:rPr>
          <w:rFonts w:ascii="Times New Roman" w:hAnsi="Times New Roman" w:cs="Times New Roman"/>
          <w:lang w:val="es-PR"/>
        </w:rPr>
        <w:lastRenderedPageBreak/>
        <w:t xml:space="preserve">experimentos de </w:t>
      </w:r>
      <w:r>
        <w:rPr>
          <w:rFonts w:ascii="Times New Roman" w:hAnsi="Times New Roman" w:cs="Times New Roman"/>
          <w:lang w:val="es-PR"/>
        </w:rPr>
        <w:t xml:space="preserve">curvas de </w:t>
      </w:r>
      <w:r w:rsidRPr="00147516">
        <w:rPr>
          <w:rFonts w:ascii="Times New Roman" w:hAnsi="Times New Roman" w:cs="Times New Roman"/>
          <w:lang w:val="es-PR"/>
        </w:rPr>
        <w:t xml:space="preserve">crecimiento, observamos además que Evo2 lisa cultivos de SARM a MOI más bajos en comparación con ΦStaph1N (Figura </w:t>
      </w:r>
      <w:r w:rsidR="00AD4185">
        <w:rPr>
          <w:rFonts w:ascii="Times New Roman" w:hAnsi="Times New Roman" w:cs="Times New Roman"/>
          <w:lang w:val="es-PR"/>
        </w:rPr>
        <w:t>2- Figura suplementaria 2</w:t>
      </w:r>
      <w:r w:rsidRPr="00147516">
        <w:rPr>
          <w:rFonts w:ascii="Times New Roman" w:hAnsi="Times New Roman" w:cs="Times New Roman"/>
          <w:lang w:val="es-PR"/>
        </w:rPr>
        <w:t>). Evo2 exhibe actividad lítica contra MW2 y LAC incluso a un MOI de 10⁻</w:t>
      </w:r>
      <w:r>
        <w:rPr>
          <w:rFonts w:ascii="Times New Roman" w:hAnsi="Times New Roman" w:cs="Times New Roman"/>
          <w:vertAlign w:val="superscript"/>
          <w:lang w:val="es-PR"/>
        </w:rPr>
        <w:t>4</w:t>
      </w:r>
      <w:r w:rsidRPr="00147516">
        <w:rPr>
          <w:rFonts w:ascii="Times New Roman" w:hAnsi="Times New Roman" w:cs="Times New Roman"/>
          <w:lang w:val="es-PR"/>
        </w:rPr>
        <w:t>, una concentración a la que ΦStaph1N no muestra actividad detectable contra ambas cepas.</w:t>
      </w:r>
    </w:p>
    <w:p w14:paraId="48DC8732" w14:textId="77777777" w:rsidR="00147516" w:rsidRDefault="00147516" w:rsidP="001104C5">
      <w:pPr>
        <w:pStyle w:val="NoSpacing"/>
        <w:rPr>
          <w:rFonts w:ascii="Times New Roman" w:hAnsi="Times New Roman" w:cs="Times New Roman"/>
          <w:lang w:val="es-PR"/>
        </w:rPr>
      </w:pPr>
    </w:p>
    <w:p w14:paraId="33355BD7" w14:textId="54113663" w:rsidR="00147516" w:rsidRDefault="00147516" w:rsidP="001104C5">
      <w:pPr>
        <w:pStyle w:val="NoSpacing"/>
        <w:rPr>
          <w:rFonts w:ascii="Times New Roman" w:hAnsi="Times New Roman" w:cs="Times New Roman"/>
          <w:lang w:val="es-PR"/>
        </w:rPr>
      </w:pPr>
      <w:r w:rsidRPr="00147516">
        <w:rPr>
          <w:rFonts w:ascii="Times New Roman" w:hAnsi="Times New Roman" w:cs="Times New Roman"/>
          <w:lang w:val="es-PR"/>
        </w:rPr>
        <w:t xml:space="preserve">Secuenciamos el genoma de Evo2 para determinar el mecanismo genético que impulsa esta mayor actividad. Observamos una única mutación puntual en ORF141 que induce un codón de terminación prematuro (Figura </w:t>
      </w:r>
      <w:r w:rsidR="00AD4185">
        <w:rPr>
          <w:rFonts w:ascii="Times New Roman" w:hAnsi="Times New Roman" w:cs="Times New Roman"/>
          <w:lang w:val="es-PR"/>
        </w:rPr>
        <w:t>2- Figura suplementaria 1</w:t>
      </w:r>
      <w:r w:rsidRPr="00147516">
        <w:rPr>
          <w:rFonts w:ascii="Times New Roman" w:hAnsi="Times New Roman" w:cs="Times New Roman"/>
          <w:lang w:val="es-PR"/>
        </w:rPr>
        <w:t xml:space="preserve">). El análisis de secuencia con HHpred predice que ORF141 es una posible proteína </w:t>
      </w:r>
      <w:r>
        <w:rPr>
          <w:rFonts w:ascii="Times New Roman" w:hAnsi="Times New Roman" w:cs="Times New Roman"/>
          <w:lang w:val="es-PR"/>
        </w:rPr>
        <w:t>que enlaza</w:t>
      </w:r>
      <w:r w:rsidRPr="00147516">
        <w:rPr>
          <w:rFonts w:ascii="Times New Roman" w:hAnsi="Times New Roman" w:cs="Times New Roman"/>
          <w:lang w:val="es-PR"/>
        </w:rPr>
        <w:t xml:space="preserve"> ADN con un motivo</w:t>
      </w:r>
      <w:r>
        <w:rPr>
          <w:rFonts w:ascii="Times New Roman" w:hAnsi="Times New Roman" w:cs="Times New Roman"/>
          <w:lang w:val="es-PR"/>
        </w:rPr>
        <w:t xml:space="preserve"> proteico</w:t>
      </w:r>
      <w:r w:rsidRPr="00147516">
        <w:rPr>
          <w:rFonts w:ascii="Times New Roman" w:hAnsi="Times New Roman" w:cs="Times New Roman"/>
          <w:lang w:val="es-PR"/>
        </w:rPr>
        <w:t xml:space="preserve"> HTH (PDB: 2LVS, valor E: 2,5e-9). Especulamos que esta proteína es un regulador transcripcional que, al ser inactivada por una mutación sin sentido, aumenta la infectividad de ΦStaph1N. Estudios futuros se centrarán en determinar el mecanismo de esta mutación y por qué Evo2 solo evolucionó en LAC.</w:t>
      </w:r>
    </w:p>
    <w:p w14:paraId="29186C6A" w14:textId="77777777" w:rsidR="000D4BBA" w:rsidRDefault="000D4BBA" w:rsidP="001104C5">
      <w:pPr>
        <w:pStyle w:val="NoSpacing"/>
        <w:rPr>
          <w:rFonts w:ascii="Times New Roman" w:hAnsi="Times New Roman" w:cs="Times New Roman"/>
          <w:lang w:val="es-PR"/>
        </w:rPr>
      </w:pPr>
    </w:p>
    <w:p w14:paraId="164A57CD" w14:textId="125678F2" w:rsidR="000D4BBA" w:rsidRDefault="000D4BBA" w:rsidP="001104C5">
      <w:pPr>
        <w:pStyle w:val="NoSpacing"/>
        <w:rPr>
          <w:rFonts w:ascii="Times New Roman" w:hAnsi="Times New Roman" w:cs="Times New Roman"/>
          <w:lang w:val="es-PR"/>
        </w:rPr>
      </w:pPr>
      <w:r w:rsidRPr="000D4BBA">
        <w:rPr>
          <w:rFonts w:ascii="Times New Roman" w:hAnsi="Times New Roman" w:cs="Times New Roman"/>
          <w:lang w:val="es-PR"/>
        </w:rPr>
        <w:t xml:space="preserve">Dada la mayor actividad de Evo2 contra SARM, nos preguntamos </w:t>
      </w:r>
      <w:r w:rsidR="00B36A49">
        <w:rPr>
          <w:rFonts w:ascii="Times New Roman" w:hAnsi="Times New Roman" w:cs="Times New Roman"/>
          <w:lang w:val="es-PR"/>
        </w:rPr>
        <w:t>si</w:t>
      </w:r>
      <w:r w:rsidRPr="000D4BBA">
        <w:rPr>
          <w:rFonts w:ascii="Times New Roman" w:hAnsi="Times New Roman" w:cs="Times New Roman"/>
          <w:lang w:val="es-PR"/>
        </w:rPr>
        <w:t xml:space="preserve"> la depredación por Evo2 afecta la resistencia a los β-lactámicos. Infectamos MRSA252, MW2 y LAC con Evo2 a un MOI de 0</w:t>
      </w:r>
      <w:r>
        <w:rPr>
          <w:rFonts w:ascii="Times New Roman" w:hAnsi="Times New Roman" w:cs="Times New Roman"/>
          <w:lang w:val="es-PR"/>
        </w:rPr>
        <w:t>.</w:t>
      </w:r>
      <w:r w:rsidRPr="000D4BBA">
        <w:rPr>
          <w:rFonts w:ascii="Times New Roman" w:hAnsi="Times New Roman" w:cs="Times New Roman"/>
          <w:lang w:val="es-PR"/>
        </w:rPr>
        <w:t xml:space="preserve">1 y medimos las CMI contra los β-lactámicos tras 48 horas. Al igual que con ΦStaph1N, la infección por Evo2 redujo las CMI de las tres cepas de SARM contra OXA, CEF y AMX+CA, mientras que las CMI contra AMX solo y VAN no variaron significativamente (Figura 2B). Ampliando el análisis de las diferentes clases de antibióticos, evaluamos si la depredación por Evo2 podría afectar la susceptibilidad al inhibidor de transcripción rifampicina; a los inhibidores de traducción eritromicina y mupirocina; y a los disruptores de la envoltura celular teicoplanina, fosfomicina y daptomicina (Tabla </w:t>
      </w:r>
      <w:r w:rsidR="00AD4185">
        <w:rPr>
          <w:rFonts w:ascii="Times New Roman" w:hAnsi="Times New Roman" w:cs="Times New Roman"/>
          <w:lang w:val="es-PR"/>
        </w:rPr>
        <w:t>2</w:t>
      </w:r>
      <w:r w:rsidRPr="000D4BBA">
        <w:rPr>
          <w:rFonts w:ascii="Times New Roman" w:hAnsi="Times New Roman" w:cs="Times New Roman"/>
          <w:lang w:val="es-PR"/>
        </w:rPr>
        <w:t>). Observamos que las CMI de estos antibióticos no cambiaron significativamente, con algunas excepciones: en algunos casos, LAC resistente a Evo2 se sensibilizó a fosfomicina y daptomicina; además, una réplica de MRSA252 resistente a Evo2 desarrolló sensibilidad a la teicoplanina. Sin embargo, en general, la reducción de la CMI en estos casos no fue tan drástica como la observada frente a los β-lactámicos.</w:t>
      </w:r>
    </w:p>
    <w:p w14:paraId="7E93BF90" w14:textId="77777777" w:rsidR="00AD4185" w:rsidRDefault="00AD4185" w:rsidP="001104C5">
      <w:pPr>
        <w:pStyle w:val="NoSpacing"/>
        <w:rPr>
          <w:rFonts w:ascii="Times New Roman" w:hAnsi="Times New Roman" w:cs="Times New Roman"/>
          <w:lang w:val="es-PR"/>
        </w:rPr>
      </w:pPr>
    </w:p>
    <w:p w14:paraId="2139EFDE" w14:textId="77777777" w:rsidR="00D44FBE" w:rsidRDefault="00D44FBE" w:rsidP="001104C5">
      <w:pPr>
        <w:pStyle w:val="NoSpacing"/>
        <w:rPr>
          <w:rFonts w:ascii="Times New Roman" w:hAnsi="Times New Roman" w:cs="Times New Roman"/>
          <w:lang w:val="es-PR"/>
        </w:rPr>
      </w:pPr>
    </w:p>
    <w:p w14:paraId="7D1F3E4A" w14:textId="77777777" w:rsidR="00D44FBE" w:rsidRDefault="00D44FBE" w:rsidP="001104C5">
      <w:pPr>
        <w:pStyle w:val="NoSpacing"/>
        <w:rPr>
          <w:rFonts w:ascii="Times New Roman" w:hAnsi="Times New Roman" w:cs="Times New Roman"/>
          <w:lang w:val="es-PR"/>
        </w:rPr>
      </w:pPr>
    </w:p>
    <w:p w14:paraId="16E9E258" w14:textId="77777777" w:rsidR="00D44FBE" w:rsidRDefault="00D44FBE" w:rsidP="001104C5">
      <w:pPr>
        <w:pStyle w:val="NoSpacing"/>
        <w:rPr>
          <w:rFonts w:ascii="Times New Roman" w:hAnsi="Times New Roman" w:cs="Times New Roman"/>
          <w:lang w:val="es-PR"/>
        </w:rPr>
      </w:pPr>
    </w:p>
    <w:p w14:paraId="15AD8DD1" w14:textId="77777777" w:rsidR="00D44FBE" w:rsidRDefault="00D44FBE" w:rsidP="001104C5">
      <w:pPr>
        <w:pStyle w:val="NoSpacing"/>
        <w:rPr>
          <w:rFonts w:ascii="Times New Roman" w:hAnsi="Times New Roman" w:cs="Times New Roman"/>
          <w:lang w:val="es-PR"/>
        </w:rPr>
      </w:pPr>
    </w:p>
    <w:p w14:paraId="5F34448F" w14:textId="77777777" w:rsidR="00D44FBE" w:rsidRDefault="00D44FBE" w:rsidP="001104C5">
      <w:pPr>
        <w:pStyle w:val="NoSpacing"/>
        <w:rPr>
          <w:rFonts w:ascii="Times New Roman" w:hAnsi="Times New Roman" w:cs="Times New Roman"/>
          <w:lang w:val="es-PR"/>
        </w:rPr>
      </w:pPr>
    </w:p>
    <w:p w14:paraId="212991C1" w14:textId="77777777" w:rsidR="00D44FBE" w:rsidRDefault="00D44FBE" w:rsidP="001104C5">
      <w:pPr>
        <w:pStyle w:val="NoSpacing"/>
        <w:rPr>
          <w:rFonts w:ascii="Times New Roman" w:hAnsi="Times New Roman" w:cs="Times New Roman"/>
          <w:lang w:val="es-PR"/>
        </w:rPr>
      </w:pPr>
    </w:p>
    <w:p w14:paraId="10440641" w14:textId="77777777" w:rsidR="00D44FBE" w:rsidRDefault="00D44FBE" w:rsidP="001104C5">
      <w:pPr>
        <w:pStyle w:val="NoSpacing"/>
        <w:rPr>
          <w:rFonts w:ascii="Times New Roman" w:hAnsi="Times New Roman" w:cs="Times New Roman"/>
          <w:lang w:val="es-PR"/>
        </w:rPr>
      </w:pPr>
    </w:p>
    <w:p w14:paraId="3F7ABF87" w14:textId="77777777" w:rsidR="00D44FBE" w:rsidRDefault="00D44FBE" w:rsidP="001104C5">
      <w:pPr>
        <w:pStyle w:val="NoSpacing"/>
        <w:rPr>
          <w:rFonts w:ascii="Times New Roman" w:hAnsi="Times New Roman" w:cs="Times New Roman"/>
          <w:lang w:val="es-PR"/>
        </w:rPr>
      </w:pPr>
    </w:p>
    <w:p w14:paraId="55297ACF" w14:textId="77777777" w:rsidR="00D44FBE" w:rsidRDefault="00D44FBE" w:rsidP="001104C5">
      <w:pPr>
        <w:pStyle w:val="NoSpacing"/>
        <w:rPr>
          <w:rFonts w:ascii="Times New Roman" w:hAnsi="Times New Roman" w:cs="Times New Roman"/>
          <w:lang w:val="es-PR"/>
        </w:rPr>
      </w:pPr>
    </w:p>
    <w:p w14:paraId="018149E0" w14:textId="77777777" w:rsidR="00D44FBE" w:rsidRDefault="00D44FBE" w:rsidP="001104C5">
      <w:pPr>
        <w:pStyle w:val="NoSpacing"/>
        <w:rPr>
          <w:rFonts w:ascii="Times New Roman" w:hAnsi="Times New Roman" w:cs="Times New Roman"/>
          <w:lang w:val="es-PR"/>
        </w:rPr>
      </w:pPr>
    </w:p>
    <w:p w14:paraId="719280D5" w14:textId="77777777" w:rsidR="00D44FBE" w:rsidRDefault="00D44FBE" w:rsidP="001104C5">
      <w:pPr>
        <w:pStyle w:val="NoSpacing"/>
        <w:rPr>
          <w:rFonts w:ascii="Times New Roman" w:hAnsi="Times New Roman" w:cs="Times New Roman"/>
          <w:lang w:val="es-PR"/>
        </w:rPr>
      </w:pPr>
    </w:p>
    <w:p w14:paraId="7692CAD7" w14:textId="77777777" w:rsidR="00D44FBE" w:rsidRDefault="00D44FBE" w:rsidP="001104C5">
      <w:pPr>
        <w:pStyle w:val="NoSpacing"/>
        <w:rPr>
          <w:rFonts w:ascii="Times New Roman" w:hAnsi="Times New Roman" w:cs="Times New Roman"/>
          <w:lang w:val="es-PR"/>
        </w:rPr>
      </w:pPr>
    </w:p>
    <w:p w14:paraId="5E38C608" w14:textId="77777777" w:rsidR="00D44FBE" w:rsidRDefault="00D44FBE" w:rsidP="001104C5">
      <w:pPr>
        <w:pStyle w:val="NoSpacing"/>
        <w:rPr>
          <w:rFonts w:ascii="Times New Roman" w:hAnsi="Times New Roman" w:cs="Times New Roman"/>
          <w:lang w:val="es-PR"/>
        </w:rPr>
      </w:pPr>
    </w:p>
    <w:p w14:paraId="234EC8C0" w14:textId="77777777" w:rsidR="00D44FBE" w:rsidRDefault="00D44FBE" w:rsidP="001104C5">
      <w:pPr>
        <w:pStyle w:val="NoSpacing"/>
        <w:rPr>
          <w:rFonts w:ascii="Times New Roman" w:hAnsi="Times New Roman" w:cs="Times New Roman"/>
          <w:lang w:val="es-PR"/>
        </w:rPr>
      </w:pPr>
    </w:p>
    <w:p w14:paraId="3FBB9069" w14:textId="77777777" w:rsidR="00D44FBE" w:rsidRDefault="00D44FBE" w:rsidP="001104C5">
      <w:pPr>
        <w:pStyle w:val="NoSpacing"/>
        <w:rPr>
          <w:rFonts w:ascii="Times New Roman" w:hAnsi="Times New Roman" w:cs="Times New Roman"/>
          <w:lang w:val="es-PR"/>
        </w:rPr>
      </w:pPr>
    </w:p>
    <w:p w14:paraId="2463DBF3" w14:textId="77777777" w:rsidR="00D44FBE" w:rsidRDefault="00D44FBE" w:rsidP="001104C5">
      <w:pPr>
        <w:pStyle w:val="NoSpacing"/>
        <w:rPr>
          <w:rFonts w:ascii="Times New Roman" w:hAnsi="Times New Roman" w:cs="Times New Roman"/>
          <w:lang w:val="es-PR"/>
        </w:rPr>
      </w:pPr>
    </w:p>
    <w:p w14:paraId="7698F774" w14:textId="77777777" w:rsidR="00D44FBE" w:rsidRDefault="00D44FBE" w:rsidP="001104C5">
      <w:pPr>
        <w:pStyle w:val="NoSpacing"/>
        <w:rPr>
          <w:rFonts w:ascii="Times New Roman" w:hAnsi="Times New Roman" w:cs="Times New Roman"/>
          <w:lang w:val="es-PR"/>
        </w:rPr>
      </w:pPr>
    </w:p>
    <w:p w14:paraId="12C8CED3" w14:textId="7DA53BB4" w:rsidR="00AD4185" w:rsidRPr="00542AC2" w:rsidRDefault="00AD4185" w:rsidP="00AD4185">
      <w:pPr>
        <w:tabs>
          <w:tab w:val="left" w:pos="720"/>
        </w:tabs>
        <w:snapToGrid w:val="0"/>
        <w:jc w:val="both"/>
        <w:rPr>
          <w:rFonts w:ascii="Arial" w:hAnsi="Arial" w:cs="Arial"/>
          <w:b/>
          <w:bCs/>
          <w:lang w:val="es-PR"/>
        </w:rPr>
      </w:pPr>
      <w:r w:rsidRPr="00AD4185">
        <w:rPr>
          <w:rFonts w:ascii="Arial" w:hAnsi="Arial" w:cs="Arial"/>
          <w:b/>
          <w:bCs/>
          <w:lang w:val="es-PR"/>
        </w:rPr>
        <w:lastRenderedPageBreak/>
        <w:t xml:space="preserve">Tabla 2. </w:t>
      </w:r>
      <w:r w:rsidR="00542AC2" w:rsidRPr="00AD4185">
        <w:rPr>
          <w:rFonts w:ascii="Arial" w:hAnsi="Arial" w:cs="Arial"/>
          <w:b/>
          <w:bCs/>
          <w:lang w:val="es-PR"/>
        </w:rPr>
        <w:t>Concentración</w:t>
      </w:r>
      <w:r w:rsidRPr="00AD4185">
        <w:rPr>
          <w:rFonts w:ascii="Arial" w:hAnsi="Arial" w:cs="Arial"/>
          <w:b/>
          <w:bCs/>
          <w:lang w:val="es-PR"/>
        </w:rPr>
        <w:t xml:space="preserve"> </w:t>
      </w:r>
      <w:r w:rsidR="00542AC2" w:rsidRPr="00AD4185">
        <w:rPr>
          <w:rFonts w:ascii="Arial" w:hAnsi="Arial" w:cs="Arial"/>
          <w:b/>
          <w:bCs/>
          <w:lang w:val="es-PR"/>
        </w:rPr>
        <w:t>mínima</w:t>
      </w:r>
      <w:r w:rsidRPr="00AD4185">
        <w:rPr>
          <w:rFonts w:ascii="Arial" w:hAnsi="Arial" w:cs="Arial"/>
          <w:b/>
          <w:bCs/>
          <w:lang w:val="es-PR"/>
        </w:rPr>
        <w:t xml:space="preserve"> i</w:t>
      </w:r>
      <w:r>
        <w:rPr>
          <w:rFonts w:ascii="Arial" w:hAnsi="Arial" w:cs="Arial"/>
          <w:b/>
          <w:bCs/>
          <w:lang w:val="es-PR"/>
        </w:rPr>
        <w:t xml:space="preserve">nhibitoria </w:t>
      </w:r>
      <w:r w:rsidR="00542AC2" w:rsidRPr="00542AC2">
        <w:rPr>
          <w:rFonts w:ascii="Arial" w:hAnsi="Arial" w:cs="Arial"/>
          <w:b/>
          <w:bCs/>
          <w:lang w:val="es-PR"/>
        </w:rPr>
        <w:t>(µg/mL)</w:t>
      </w:r>
      <w:r w:rsidR="00542AC2">
        <w:rPr>
          <w:rFonts w:ascii="Arial" w:hAnsi="Arial" w:cs="Arial"/>
          <w:b/>
          <w:bCs/>
          <w:lang w:val="es-PR"/>
        </w:rPr>
        <w:t xml:space="preserve"> de diferentes antibióticos contra SARM tratado con Evo2 y sin tratamiento de fago</w:t>
      </w:r>
    </w:p>
    <w:p w14:paraId="7F6DBA0A" w14:textId="51849D37" w:rsidR="00AD4185" w:rsidRPr="00D44FBE" w:rsidRDefault="00AD4185" w:rsidP="00AD4185">
      <w:pPr>
        <w:tabs>
          <w:tab w:val="left" w:pos="720"/>
        </w:tabs>
        <w:snapToGrid w:val="0"/>
        <w:jc w:val="both"/>
        <w:rPr>
          <w:rFonts w:ascii="Arial" w:hAnsi="Arial" w:cs="Arial"/>
          <w:b/>
          <w:bCs/>
          <w:lang w:val="es-PR"/>
        </w:rPr>
      </w:pPr>
    </w:p>
    <w:tbl>
      <w:tblPr>
        <w:tblW w:w="10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1431"/>
        <w:gridCol w:w="1300"/>
        <w:gridCol w:w="1300"/>
        <w:gridCol w:w="1300"/>
        <w:gridCol w:w="1300"/>
        <w:gridCol w:w="1300"/>
        <w:gridCol w:w="1300"/>
      </w:tblGrid>
      <w:tr w:rsidR="00AD4185" w:rsidRPr="00B362EE" w14:paraId="38CB4C19" w14:textId="77777777" w:rsidTr="00E75CC3">
        <w:trPr>
          <w:trHeight w:val="320"/>
          <w:jc w:val="center"/>
        </w:trPr>
        <w:tc>
          <w:tcPr>
            <w:tcW w:w="1128" w:type="dxa"/>
            <w:shd w:val="clear" w:color="auto" w:fill="auto"/>
            <w:noWrap/>
            <w:vAlign w:val="center"/>
            <w:hideMark/>
          </w:tcPr>
          <w:p w14:paraId="2F870CAB" w14:textId="77777777" w:rsidR="00AD4185" w:rsidRPr="00D44FBE" w:rsidRDefault="00AD4185" w:rsidP="00EC06DE">
            <w:pPr>
              <w:jc w:val="center"/>
              <w:rPr>
                <w:sz w:val="20"/>
                <w:szCs w:val="20"/>
                <w:lang w:val="es-PR"/>
              </w:rPr>
            </w:pPr>
          </w:p>
        </w:tc>
        <w:tc>
          <w:tcPr>
            <w:tcW w:w="1431" w:type="dxa"/>
            <w:shd w:val="clear" w:color="auto" w:fill="auto"/>
            <w:noWrap/>
            <w:vAlign w:val="center"/>
            <w:hideMark/>
          </w:tcPr>
          <w:p w14:paraId="6AFDB97C" w14:textId="77777777" w:rsidR="00AD4185" w:rsidRPr="00D44FBE" w:rsidRDefault="00AD4185" w:rsidP="00EC06DE">
            <w:pPr>
              <w:jc w:val="center"/>
              <w:rPr>
                <w:sz w:val="20"/>
                <w:szCs w:val="20"/>
                <w:lang w:val="es-PR"/>
              </w:rPr>
            </w:pPr>
          </w:p>
        </w:tc>
        <w:tc>
          <w:tcPr>
            <w:tcW w:w="3900" w:type="dxa"/>
            <w:gridSpan w:val="3"/>
            <w:shd w:val="clear" w:color="auto" w:fill="auto"/>
            <w:noWrap/>
            <w:vAlign w:val="center"/>
            <w:hideMark/>
          </w:tcPr>
          <w:p w14:paraId="22C1C12F" w14:textId="7E293FA6" w:rsidR="00AD4185" w:rsidRPr="00B362EE" w:rsidRDefault="00542AC2" w:rsidP="00EC06DE">
            <w:pPr>
              <w:jc w:val="center"/>
              <w:rPr>
                <w:rFonts w:ascii="Arial" w:hAnsi="Arial" w:cs="Arial"/>
                <w:b/>
                <w:bCs/>
                <w:color w:val="000000"/>
                <w:sz w:val="20"/>
                <w:szCs w:val="20"/>
              </w:rPr>
            </w:pPr>
            <w:r>
              <w:rPr>
                <w:rFonts w:ascii="Arial" w:hAnsi="Arial" w:cs="Arial"/>
                <w:b/>
                <w:bCs/>
                <w:color w:val="000000"/>
                <w:sz w:val="20"/>
                <w:szCs w:val="20"/>
              </w:rPr>
              <w:t xml:space="preserve">Sin </w:t>
            </w:r>
            <w:proofErr w:type="spellStart"/>
            <w:r>
              <w:rPr>
                <w:rFonts w:ascii="Arial" w:hAnsi="Arial" w:cs="Arial"/>
                <w:b/>
                <w:bCs/>
                <w:color w:val="000000"/>
                <w:sz w:val="20"/>
                <w:szCs w:val="20"/>
              </w:rPr>
              <w:t>fago</w:t>
            </w:r>
            <w:proofErr w:type="spellEnd"/>
          </w:p>
        </w:tc>
        <w:tc>
          <w:tcPr>
            <w:tcW w:w="3900" w:type="dxa"/>
            <w:gridSpan w:val="3"/>
            <w:shd w:val="clear" w:color="auto" w:fill="auto"/>
            <w:noWrap/>
            <w:vAlign w:val="center"/>
            <w:hideMark/>
          </w:tcPr>
          <w:p w14:paraId="7E1CFAB7" w14:textId="77777777" w:rsidR="00AD4185" w:rsidRPr="00B362EE" w:rsidRDefault="00AD4185" w:rsidP="00EC06DE">
            <w:pPr>
              <w:jc w:val="center"/>
              <w:rPr>
                <w:rFonts w:ascii="Arial" w:hAnsi="Arial" w:cs="Arial"/>
                <w:b/>
                <w:bCs/>
                <w:color w:val="000000"/>
                <w:sz w:val="20"/>
                <w:szCs w:val="20"/>
              </w:rPr>
            </w:pPr>
            <w:r w:rsidRPr="00B362EE">
              <w:rPr>
                <w:rFonts w:ascii="Arial" w:hAnsi="Arial" w:cs="Arial"/>
                <w:b/>
                <w:bCs/>
                <w:color w:val="000000"/>
                <w:sz w:val="20"/>
                <w:szCs w:val="20"/>
              </w:rPr>
              <w:t>Evo2</w:t>
            </w:r>
          </w:p>
        </w:tc>
      </w:tr>
      <w:tr w:rsidR="00AD4185" w:rsidRPr="00B362EE" w14:paraId="44339941" w14:textId="77777777" w:rsidTr="00E75CC3">
        <w:trPr>
          <w:trHeight w:val="320"/>
          <w:jc w:val="center"/>
        </w:trPr>
        <w:tc>
          <w:tcPr>
            <w:tcW w:w="1128" w:type="dxa"/>
            <w:shd w:val="clear" w:color="auto" w:fill="auto"/>
            <w:noWrap/>
            <w:vAlign w:val="center"/>
            <w:hideMark/>
          </w:tcPr>
          <w:p w14:paraId="6A331A3F" w14:textId="557E074D" w:rsidR="00AD4185" w:rsidRPr="00B362EE" w:rsidRDefault="00542AC2" w:rsidP="00EC06DE">
            <w:pPr>
              <w:jc w:val="center"/>
              <w:rPr>
                <w:rFonts w:ascii="Arial" w:hAnsi="Arial" w:cs="Arial"/>
                <w:b/>
                <w:bCs/>
                <w:color w:val="000000"/>
                <w:sz w:val="20"/>
                <w:szCs w:val="20"/>
              </w:rPr>
            </w:pPr>
            <w:r>
              <w:rPr>
                <w:rFonts w:ascii="Arial" w:hAnsi="Arial" w:cs="Arial"/>
                <w:b/>
                <w:bCs/>
                <w:color w:val="000000"/>
                <w:sz w:val="20"/>
                <w:szCs w:val="20"/>
              </w:rPr>
              <w:t>Cepa</w:t>
            </w:r>
          </w:p>
        </w:tc>
        <w:tc>
          <w:tcPr>
            <w:tcW w:w="1431" w:type="dxa"/>
            <w:shd w:val="clear" w:color="auto" w:fill="auto"/>
            <w:noWrap/>
            <w:vAlign w:val="center"/>
            <w:hideMark/>
          </w:tcPr>
          <w:p w14:paraId="4582C172" w14:textId="0CE703A1" w:rsidR="00AD4185" w:rsidRPr="00B362EE" w:rsidRDefault="00AD4185" w:rsidP="00EC06DE">
            <w:pPr>
              <w:jc w:val="center"/>
              <w:rPr>
                <w:rFonts w:ascii="Arial" w:hAnsi="Arial" w:cs="Arial"/>
                <w:b/>
                <w:bCs/>
                <w:color w:val="000000"/>
                <w:sz w:val="20"/>
                <w:szCs w:val="20"/>
              </w:rPr>
            </w:pPr>
            <w:proofErr w:type="spellStart"/>
            <w:r w:rsidRPr="00B362EE">
              <w:rPr>
                <w:rFonts w:ascii="Arial" w:hAnsi="Arial" w:cs="Arial"/>
                <w:b/>
                <w:bCs/>
                <w:color w:val="000000"/>
                <w:sz w:val="20"/>
                <w:szCs w:val="20"/>
              </w:rPr>
              <w:t>Antibi</w:t>
            </w:r>
            <w:r w:rsidR="00542AC2">
              <w:rPr>
                <w:rFonts w:ascii="Arial" w:hAnsi="Arial" w:cs="Arial"/>
                <w:b/>
                <w:bCs/>
                <w:color w:val="000000"/>
                <w:sz w:val="20"/>
                <w:szCs w:val="20"/>
              </w:rPr>
              <w:t>ó</w:t>
            </w:r>
            <w:r w:rsidRPr="00B362EE">
              <w:rPr>
                <w:rFonts w:ascii="Arial" w:hAnsi="Arial" w:cs="Arial"/>
                <w:b/>
                <w:bCs/>
                <w:color w:val="000000"/>
                <w:sz w:val="20"/>
                <w:szCs w:val="20"/>
              </w:rPr>
              <w:t>tic</w:t>
            </w:r>
            <w:r w:rsidR="00542AC2">
              <w:rPr>
                <w:rFonts w:ascii="Arial" w:hAnsi="Arial" w:cs="Arial"/>
                <w:b/>
                <w:bCs/>
                <w:color w:val="000000"/>
                <w:sz w:val="20"/>
                <w:szCs w:val="20"/>
              </w:rPr>
              <w:t>o</w:t>
            </w:r>
            <w:proofErr w:type="spellEnd"/>
          </w:p>
        </w:tc>
        <w:tc>
          <w:tcPr>
            <w:tcW w:w="1300" w:type="dxa"/>
            <w:shd w:val="clear" w:color="auto" w:fill="auto"/>
            <w:vAlign w:val="center"/>
            <w:hideMark/>
          </w:tcPr>
          <w:p w14:paraId="44441518" w14:textId="77777777" w:rsidR="00AD4185" w:rsidRPr="00B362EE" w:rsidRDefault="00AD4185" w:rsidP="00EC06DE">
            <w:pPr>
              <w:jc w:val="center"/>
              <w:rPr>
                <w:rFonts w:ascii="Arial" w:hAnsi="Arial" w:cs="Arial"/>
                <w:b/>
                <w:bCs/>
                <w:color w:val="000000"/>
                <w:sz w:val="20"/>
                <w:szCs w:val="20"/>
              </w:rPr>
            </w:pPr>
            <w:r w:rsidRPr="00B362EE">
              <w:rPr>
                <w:rFonts w:ascii="Arial" w:hAnsi="Arial" w:cs="Arial"/>
                <w:b/>
                <w:bCs/>
                <w:color w:val="000000"/>
                <w:sz w:val="20"/>
                <w:szCs w:val="20"/>
              </w:rPr>
              <w:t>Rep 1</w:t>
            </w:r>
          </w:p>
        </w:tc>
        <w:tc>
          <w:tcPr>
            <w:tcW w:w="1300" w:type="dxa"/>
            <w:shd w:val="clear" w:color="auto" w:fill="auto"/>
            <w:vAlign w:val="center"/>
            <w:hideMark/>
          </w:tcPr>
          <w:p w14:paraId="02EA1C07" w14:textId="77777777" w:rsidR="00AD4185" w:rsidRPr="00B362EE" w:rsidRDefault="00AD4185" w:rsidP="00EC06DE">
            <w:pPr>
              <w:jc w:val="center"/>
              <w:rPr>
                <w:rFonts w:ascii="Arial" w:hAnsi="Arial" w:cs="Arial"/>
                <w:b/>
                <w:bCs/>
                <w:color w:val="000000"/>
                <w:sz w:val="20"/>
                <w:szCs w:val="20"/>
              </w:rPr>
            </w:pPr>
            <w:r w:rsidRPr="00B362EE">
              <w:rPr>
                <w:rFonts w:ascii="Arial" w:hAnsi="Arial" w:cs="Arial"/>
                <w:b/>
                <w:bCs/>
                <w:color w:val="000000"/>
                <w:sz w:val="20"/>
                <w:szCs w:val="20"/>
              </w:rPr>
              <w:t>Rep 2</w:t>
            </w:r>
          </w:p>
        </w:tc>
        <w:tc>
          <w:tcPr>
            <w:tcW w:w="1300" w:type="dxa"/>
            <w:shd w:val="clear" w:color="auto" w:fill="auto"/>
            <w:vAlign w:val="center"/>
            <w:hideMark/>
          </w:tcPr>
          <w:p w14:paraId="6A41F801" w14:textId="77777777" w:rsidR="00AD4185" w:rsidRPr="00B362EE" w:rsidRDefault="00AD4185" w:rsidP="00EC06DE">
            <w:pPr>
              <w:jc w:val="center"/>
              <w:rPr>
                <w:rFonts w:ascii="Arial" w:hAnsi="Arial" w:cs="Arial"/>
                <w:b/>
                <w:bCs/>
                <w:color w:val="000000"/>
                <w:sz w:val="20"/>
                <w:szCs w:val="20"/>
              </w:rPr>
            </w:pPr>
            <w:r w:rsidRPr="00B362EE">
              <w:rPr>
                <w:rFonts w:ascii="Arial" w:hAnsi="Arial" w:cs="Arial"/>
                <w:b/>
                <w:bCs/>
                <w:color w:val="000000"/>
                <w:sz w:val="20"/>
                <w:szCs w:val="20"/>
              </w:rPr>
              <w:t>Rep 3</w:t>
            </w:r>
          </w:p>
        </w:tc>
        <w:tc>
          <w:tcPr>
            <w:tcW w:w="1300" w:type="dxa"/>
            <w:shd w:val="clear" w:color="auto" w:fill="auto"/>
            <w:vAlign w:val="center"/>
            <w:hideMark/>
          </w:tcPr>
          <w:p w14:paraId="7FD438CB" w14:textId="77777777" w:rsidR="00AD4185" w:rsidRPr="00B362EE" w:rsidRDefault="00AD4185" w:rsidP="00EC06DE">
            <w:pPr>
              <w:jc w:val="center"/>
              <w:rPr>
                <w:rFonts w:ascii="Arial" w:hAnsi="Arial" w:cs="Arial"/>
                <w:b/>
                <w:bCs/>
                <w:color w:val="000000"/>
                <w:sz w:val="20"/>
                <w:szCs w:val="20"/>
              </w:rPr>
            </w:pPr>
            <w:r w:rsidRPr="00B362EE">
              <w:rPr>
                <w:rFonts w:ascii="Arial" w:hAnsi="Arial" w:cs="Arial"/>
                <w:b/>
                <w:bCs/>
                <w:color w:val="000000"/>
                <w:sz w:val="20"/>
                <w:szCs w:val="20"/>
              </w:rPr>
              <w:t>Rep 1</w:t>
            </w:r>
          </w:p>
        </w:tc>
        <w:tc>
          <w:tcPr>
            <w:tcW w:w="1300" w:type="dxa"/>
            <w:shd w:val="clear" w:color="auto" w:fill="auto"/>
            <w:vAlign w:val="center"/>
            <w:hideMark/>
          </w:tcPr>
          <w:p w14:paraId="0B93D350" w14:textId="77777777" w:rsidR="00AD4185" w:rsidRPr="00B362EE" w:rsidRDefault="00AD4185" w:rsidP="00EC06DE">
            <w:pPr>
              <w:jc w:val="center"/>
              <w:rPr>
                <w:rFonts w:ascii="Arial" w:hAnsi="Arial" w:cs="Arial"/>
                <w:b/>
                <w:bCs/>
                <w:color w:val="000000"/>
                <w:sz w:val="20"/>
                <w:szCs w:val="20"/>
              </w:rPr>
            </w:pPr>
            <w:r w:rsidRPr="00B362EE">
              <w:rPr>
                <w:rFonts w:ascii="Arial" w:hAnsi="Arial" w:cs="Arial"/>
                <w:b/>
                <w:bCs/>
                <w:color w:val="000000"/>
                <w:sz w:val="20"/>
                <w:szCs w:val="20"/>
              </w:rPr>
              <w:t>Rep 2</w:t>
            </w:r>
          </w:p>
        </w:tc>
        <w:tc>
          <w:tcPr>
            <w:tcW w:w="1300" w:type="dxa"/>
            <w:shd w:val="clear" w:color="auto" w:fill="auto"/>
            <w:vAlign w:val="center"/>
            <w:hideMark/>
          </w:tcPr>
          <w:p w14:paraId="411E5870" w14:textId="77777777" w:rsidR="00AD4185" w:rsidRPr="00B362EE" w:rsidRDefault="00AD4185" w:rsidP="00EC06DE">
            <w:pPr>
              <w:jc w:val="center"/>
              <w:rPr>
                <w:rFonts w:ascii="Arial" w:hAnsi="Arial" w:cs="Arial"/>
                <w:b/>
                <w:bCs/>
                <w:color w:val="000000"/>
                <w:sz w:val="20"/>
                <w:szCs w:val="20"/>
              </w:rPr>
            </w:pPr>
            <w:r w:rsidRPr="00B362EE">
              <w:rPr>
                <w:rFonts w:ascii="Arial" w:hAnsi="Arial" w:cs="Arial"/>
                <w:b/>
                <w:bCs/>
                <w:color w:val="000000"/>
                <w:sz w:val="20"/>
                <w:szCs w:val="20"/>
              </w:rPr>
              <w:t>Rep 3</w:t>
            </w:r>
          </w:p>
        </w:tc>
      </w:tr>
      <w:tr w:rsidR="00AD4185" w:rsidRPr="00B362EE" w14:paraId="62C9EB1E" w14:textId="77777777" w:rsidTr="00E75CC3">
        <w:trPr>
          <w:trHeight w:val="320"/>
          <w:jc w:val="center"/>
        </w:trPr>
        <w:tc>
          <w:tcPr>
            <w:tcW w:w="1128" w:type="dxa"/>
            <w:vMerge w:val="restart"/>
            <w:shd w:val="clear" w:color="auto" w:fill="auto"/>
            <w:noWrap/>
            <w:vAlign w:val="center"/>
            <w:hideMark/>
          </w:tcPr>
          <w:p w14:paraId="0A8B20EB" w14:textId="77777777" w:rsidR="00AD4185" w:rsidRPr="00B362EE" w:rsidRDefault="00AD4185" w:rsidP="00EC06DE">
            <w:pPr>
              <w:jc w:val="center"/>
              <w:rPr>
                <w:rFonts w:ascii="Arial" w:hAnsi="Arial" w:cs="Arial"/>
                <w:color w:val="000000"/>
                <w:sz w:val="20"/>
                <w:szCs w:val="20"/>
              </w:rPr>
            </w:pPr>
            <w:r w:rsidRPr="00B362EE">
              <w:rPr>
                <w:rFonts w:ascii="Arial" w:hAnsi="Arial" w:cs="Arial"/>
                <w:color w:val="000000"/>
                <w:sz w:val="20"/>
                <w:szCs w:val="20"/>
              </w:rPr>
              <w:t>MRSA252</w:t>
            </w:r>
          </w:p>
        </w:tc>
        <w:tc>
          <w:tcPr>
            <w:tcW w:w="1431" w:type="dxa"/>
            <w:shd w:val="clear" w:color="auto" w:fill="auto"/>
            <w:noWrap/>
            <w:vAlign w:val="center"/>
            <w:hideMark/>
          </w:tcPr>
          <w:p w14:paraId="167A83BB" w14:textId="6829E0FA" w:rsidR="00AD4185" w:rsidRPr="00B362EE" w:rsidRDefault="00AD4185" w:rsidP="00EC06DE">
            <w:pPr>
              <w:jc w:val="center"/>
              <w:rPr>
                <w:rFonts w:ascii="Arial" w:hAnsi="Arial" w:cs="Arial"/>
                <w:color w:val="000000"/>
                <w:sz w:val="20"/>
                <w:szCs w:val="20"/>
              </w:rPr>
            </w:pPr>
            <w:proofErr w:type="spellStart"/>
            <w:r w:rsidRPr="00B362EE">
              <w:rPr>
                <w:rFonts w:ascii="Arial" w:hAnsi="Arial" w:cs="Arial"/>
                <w:color w:val="000000"/>
                <w:sz w:val="20"/>
                <w:szCs w:val="20"/>
              </w:rPr>
              <w:t>Oxacil</w:t>
            </w:r>
            <w:r w:rsidR="00542AC2">
              <w:rPr>
                <w:rFonts w:ascii="Arial" w:hAnsi="Arial" w:cs="Arial"/>
                <w:color w:val="000000"/>
                <w:sz w:val="20"/>
                <w:szCs w:val="20"/>
              </w:rPr>
              <w:t>ina</w:t>
            </w:r>
            <w:proofErr w:type="spellEnd"/>
          </w:p>
        </w:tc>
        <w:tc>
          <w:tcPr>
            <w:tcW w:w="1300" w:type="dxa"/>
            <w:shd w:val="clear" w:color="auto" w:fill="auto"/>
            <w:noWrap/>
            <w:vAlign w:val="center"/>
            <w:hideMark/>
          </w:tcPr>
          <w:p w14:paraId="751C64C9" w14:textId="77777777" w:rsidR="00AD4185" w:rsidRPr="00B362EE" w:rsidRDefault="00AD4185" w:rsidP="00EC06DE">
            <w:pPr>
              <w:jc w:val="center"/>
              <w:rPr>
                <w:rFonts w:ascii="Arial" w:hAnsi="Arial" w:cs="Arial"/>
                <w:color w:val="000000"/>
                <w:sz w:val="20"/>
                <w:szCs w:val="20"/>
              </w:rPr>
            </w:pPr>
            <w:r w:rsidRPr="00B362EE">
              <w:rPr>
                <w:rFonts w:ascii="Arial" w:hAnsi="Arial" w:cs="Arial"/>
                <w:color w:val="000000"/>
                <w:sz w:val="20"/>
                <w:szCs w:val="20"/>
              </w:rPr>
              <w:t>&gt;256</w:t>
            </w:r>
          </w:p>
        </w:tc>
        <w:tc>
          <w:tcPr>
            <w:tcW w:w="1300" w:type="dxa"/>
            <w:shd w:val="clear" w:color="auto" w:fill="auto"/>
            <w:noWrap/>
            <w:vAlign w:val="center"/>
            <w:hideMark/>
          </w:tcPr>
          <w:p w14:paraId="5D537AA3" w14:textId="77777777" w:rsidR="00AD4185" w:rsidRPr="00B362EE" w:rsidRDefault="00AD4185" w:rsidP="00EC06DE">
            <w:pPr>
              <w:jc w:val="center"/>
              <w:rPr>
                <w:rFonts w:ascii="Arial" w:hAnsi="Arial" w:cs="Arial"/>
                <w:color w:val="000000"/>
                <w:sz w:val="20"/>
                <w:szCs w:val="20"/>
              </w:rPr>
            </w:pPr>
            <w:r w:rsidRPr="00B362EE">
              <w:rPr>
                <w:rFonts w:ascii="Arial" w:hAnsi="Arial" w:cs="Arial"/>
                <w:color w:val="000000"/>
                <w:sz w:val="20"/>
                <w:szCs w:val="20"/>
              </w:rPr>
              <w:t>&gt;256</w:t>
            </w:r>
          </w:p>
        </w:tc>
        <w:tc>
          <w:tcPr>
            <w:tcW w:w="1300" w:type="dxa"/>
            <w:shd w:val="clear" w:color="auto" w:fill="auto"/>
            <w:noWrap/>
            <w:vAlign w:val="center"/>
            <w:hideMark/>
          </w:tcPr>
          <w:p w14:paraId="6694B6B9" w14:textId="77777777" w:rsidR="00AD4185" w:rsidRPr="00B362EE" w:rsidRDefault="00AD4185" w:rsidP="00EC06DE">
            <w:pPr>
              <w:jc w:val="center"/>
              <w:rPr>
                <w:rFonts w:ascii="Arial" w:hAnsi="Arial" w:cs="Arial"/>
                <w:color w:val="000000"/>
                <w:sz w:val="20"/>
                <w:szCs w:val="20"/>
              </w:rPr>
            </w:pPr>
            <w:r w:rsidRPr="00B362EE">
              <w:rPr>
                <w:rFonts w:ascii="Arial" w:hAnsi="Arial" w:cs="Arial"/>
                <w:color w:val="000000"/>
                <w:sz w:val="20"/>
                <w:szCs w:val="20"/>
              </w:rPr>
              <w:t>&gt;256</w:t>
            </w:r>
          </w:p>
        </w:tc>
        <w:tc>
          <w:tcPr>
            <w:tcW w:w="1300" w:type="dxa"/>
            <w:shd w:val="clear" w:color="auto" w:fill="auto"/>
            <w:noWrap/>
            <w:vAlign w:val="center"/>
            <w:hideMark/>
          </w:tcPr>
          <w:p w14:paraId="7232CC8B" w14:textId="77777777" w:rsidR="00AD4185" w:rsidRPr="00B362EE" w:rsidRDefault="00AD4185" w:rsidP="00EC06DE">
            <w:pPr>
              <w:jc w:val="center"/>
              <w:rPr>
                <w:rFonts w:ascii="Arial" w:hAnsi="Arial" w:cs="Arial"/>
                <w:color w:val="000000"/>
                <w:sz w:val="20"/>
                <w:szCs w:val="20"/>
              </w:rPr>
            </w:pPr>
            <w:r w:rsidRPr="00B362EE">
              <w:rPr>
                <w:rFonts w:ascii="Arial" w:hAnsi="Arial" w:cs="Arial"/>
                <w:color w:val="000000"/>
                <w:sz w:val="20"/>
                <w:szCs w:val="20"/>
              </w:rPr>
              <w:t>0.38</w:t>
            </w:r>
          </w:p>
        </w:tc>
        <w:tc>
          <w:tcPr>
            <w:tcW w:w="1300" w:type="dxa"/>
            <w:shd w:val="clear" w:color="auto" w:fill="auto"/>
            <w:noWrap/>
            <w:vAlign w:val="center"/>
            <w:hideMark/>
          </w:tcPr>
          <w:p w14:paraId="21DDDB92" w14:textId="77777777" w:rsidR="00AD4185" w:rsidRPr="00B362EE" w:rsidRDefault="00AD4185" w:rsidP="00EC06DE">
            <w:pPr>
              <w:jc w:val="center"/>
              <w:rPr>
                <w:rFonts w:ascii="Arial" w:hAnsi="Arial" w:cs="Arial"/>
                <w:color w:val="000000"/>
                <w:sz w:val="20"/>
                <w:szCs w:val="20"/>
              </w:rPr>
            </w:pPr>
            <w:r w:rsidRPr="00B362EE">
              <w:rPr>
                <w:rFonts w:ascii="Arial" w:hAnsi="Arial" w:cs="Arial"/>
                <w:color w:val="000000"/>
                <w:sz w:val="20"/>
                <w:szCs w:val="20"/>
              </w:rPr>
              <w:t>0.75</w:t>
            </w:r>
          </w:p>
        </w:tc>
        <w:tc>
          <w:tcPr>
            <w:tcW w:w="1300" w:type="dxa"/>
            <w:shd w:val="clear" w:color="auto" w:fill="auto"/>
            <w:noWrap/>
            <w:vAlign w:val="center"/>
            <w:hideMark/>
          </w:tcPr>
          <w:p w14:paraId="573D393E" w14:textId="77777777" w:rsidR="00AD4185" w:rsidRPr="00B362EE" w:rsidRDefault="00AD4185" w:rsidP="00EC06DE">
            <w:pPr>
              <w:jc w:val="center"/>
              <w:rPr>
                <w:rFonts w:ascii="Arial" w:hAnsi="Arial" w:cs="Arial"/>
                <w:color w:val="000000"/>
                <w:sz w:val="20"/>
                <w:szCs w:val="20"/>
              </w:rPr>
            </w:pPr>
            <w:r w:rsidRPr="00B362EE">
              <w:rPr>
                <w:rFonts w:ascii="Arial" w:hAnsi="Arial" w:cs="Arial"/>
                <w:color w:val="000000"/>
                <w:sz w:val="20"/>
                <w:szCs w:val="20"/>
              </w:rPr>
              <w:t>0.5</w:t>
            </w:r>
          </w:p>
        </w:tc>
      </w:tr>
      <w:tr w:rsidR="00AD4185" w:rsidRPr="00B362EE" w14:paraId="1D7BA6F7" w14:textId="77777777" w:rsidTr="00E75CC3">
        <w:trPr>
          <w:trHeight w:val="320"/>
          <w:jc w:val="center"/>
        </w:trPr>
        <w:tc>
          <w:tcPr>
            <w:tcW w:w="1128" w:type="dxa"/>
            <w:vMerge/>
            <w:vAlign w:val="center"/>
            <w:hideMark/>
          </w:tcPr>
          <w:p w14:paraId="774DD7CE" w14:textId="77777777" w:rsidR="00AD4185" w:rsidRPr="00B362EE" w:rsidRDefault="00AD4185" w:rsidP="00EC06DE">
            <w:pPr>
              <w:jc w:val="center"/>
              <w:rPr>
                <w:rFonts w:ascii="Arial" w:hAnsi="Arial" w:cs="Arial"/>
                <w:color w:val="000000"/>
                <w:sz w:val="20"/>
                <w:szCs w:val="20"/>
              </w:rPr>
            </w:pPr>
          </w:p>
        </w:tc>
        <w:tc>
          <w:tcPr>
            <w:tcW w:w="1431" w:type="dxa"/>
            <w:shd w:val="clear" w:color="auto" w:fill="auto"/>
            <w:noWrap/>
            <w:vAlign w:val="center"/>
            <w:hideMark/>
          </w:tcPr>
          <w:p w14:paraId="005CE7FC" w14:textId="29A8D321" w:rsidR="00AD4185" w:rsidRPr="00B362EE" w:rsidRDefault="00AD4185" w:rsidP="00EC06DE">
            <w:pPr>
              <w:jc w:val="center"/>
              <w:rPr>
                <w:rFonts w:ascii="Arial" w:hAnsi="Arial" w:cs="Arial"/>
                <w:color w:val="000000"/>
                <w:sz w:val="20"/>
                <w:szCs w:val="20"/>
              </w:rPr>
            </w:pPr>
            <w:proofErr w:type="spellStart"/>
            <w:r w:rsidRPr="00B362EE">
              <w:rPr>
                <w:rFonts w:ascii="Arial" w:hAnsi="Arial" w:cs="Arial"/>
                <w:color w:val="000000"/>
                <w:sz w:val="20"/>
                <w:szCs w:val="20"/>
              </w:rPr>
              <w:t>Rifampicin</w:t>
            </w:r>
            <w:r w:rsidR="00542AC2">
              <w:rPr>
                <w:rFonts w:ascii="Arial" w:hAnsi="Arial" w:cs="Arial"/>
                <w:color w:val="000000"/>
                <w:sz w:val="20"/>
                <w:szCs w:val="20"/>
              </w:rPr>
              <w:t>a</w:t>
            </w:r>
            <w:proofErr w:type="spellEnd"/>
          </w:p>
        </w:tc>
        <w:tc>
          <w:tcPr>
            <w:tcW w:w="1300" w:type="dxa"/>
            <w:shd w:val="clear" w:color="auto" w:fill="auto"/>
            <w:noWrap/>
            <w:vAlign w:val="center"/>
            <w:hideMark/>
          </w:tcPr>
          <w:p w14:paraId="073C62A0" w14:textId="77777777" w:rsidR="00AD4185" w:rsidRPr="00B362EE" w:rsidRDefault="00AD4185" w:rsidP="00EC06DE">
            <w:pPr>
              <w:jc w:val="center"/>
              <w:rPr>
                <w:rFonts w:ascii="Arial" w:hAnsi="Arial" w:cs="Arial"/>
                <w:color w:val="000000"/>
                <w:sz w:val="20"/>
                <w:szCs w:val="20"/>
              </w:rPr>
            </w:pPr>
            <w:r w:rsidRPr="00B362EE">
              <w:rPr>
                <w:rFonts w:ascii="Arial" w:hAnsi="Arial" w:cs="Arial"/>
                <w:color w:val="000000"/>
                <w:sz w:val="20"/>
                <w:szCs w:val="20"/>
              </w:rPr>
              <w:t>0.047</w:t>
            </w:r>
          </w:p>
        </w:tc>
        <w:tc>
          <w:tcPr>
            <w:tcW w:w="1300" w:type="dxa"/>
            <w:shd w:val="clear" w:color="auto" w:fill="auto"/>
            <w:noWrap/>
            <w:vAlign w:val="center"/>
            <w:hideMark/>
          </w:tcPr>
          <w:p w14:paraId="32A050D2" w14:textId="77777777" w:rsidR="00AD4185" w:rsidRPr="00B362EE" w:rsidRDefault="00AD4185" w:rsidP="00EC06DE">
            <w:pPr>
              <w:jc w:val="center"/>
              <w:rPr>
                <w:rFonts w:ascii="Arial" w:hAnsi="Arial" w:cs="Arial"/>
                <w:color w:val="000000"/>
                <w:sz w:val="20"/>
                <w:szCs w:val="20"/>
              </w:rPr>
            </w:pPr>
            <w:r w:rsidRPr="00B362EE">
              <w:rPr>
                <w:rFonts w:ascii="Arial" w:hAnsi="Arial" w:cs="Arial"/>
                <w:color w:val="000000"/>
                <w:sz w:val="20"/>
                <w:szCs w:val="20"/>
              </w:rPr>
              <w:t>0.032</w:t>
            </w:r>
          </w:p>
        </w:tc>
        <w:tc>
          <w:tcPr>
            <w:tcW w:w="1300" w:type="dxa"/>
            <w:shd w:val="clear" w:color="auto" w:fill="auto"/>
            <w:noWrap/>
            <w:vAlign w:val="center"/>
            <w:hideMark/>
          </w:tcPr>
          <w:p w14:paraId="4B494F16" w14:textId="77777777" w:rsidR="00AD4185" w:rsidRPr="00B362EE" w:rsidRDefault="00AD4185" w:rsidP="00EC06DE">
            <w:pPr>
              <w:jc w:val="center"/>
              <w:rPr>
                <w:rFonts w:ascii="Arial" w:hAnsi="Arial" w:cs="Arial"/>
                <w:color w:val="000000"/>
                <w:sz w:val="20"/>
                <w:szCs w:val="20"/>
              </w:rPr>
            </w:pPr>
            <w:r w:rsidRPr="00B362EE">
              <w:rPr>
                <w:rFonts w:ascii="Arial" w:hAnsi="Arial" w:cs="Arial"/>
                <w:color w:val="000000"/>
                <w:sz w:val="20"/>
                <w:szCs w:val="20"/>
              </w:rPr>
              <w:t>0.012</w:t>
            </w:r>
          </w:p>
        </w:tc>
        <w:tc>
          <w:tcPr>
            <w:tcW w:w="1300" w:type="dxa"/>
            <w:shd w:val="clear" w:color="auto" w:fill="auto"/>
            <w:noWrap/>
            <w:vAlign w:val="center"/>
            <w:hideMark/>
          </w:tcPr>
          <w:p w14:paraId="566BE289" w14:textId="77777777" w:rsidR="00AD4185" w:rsidRPr="00B362EE" w:rsidRDefault="00AD4185" w:rsidP="00EC06DE">
            <w:pPr>
              <w:jc w:val="center"/>
              <w:rPr>
                <w:rFonts w:ascii="Arial" w:hAnsi="Arial" w:cs="Arial"/>
                <w:color w:val="000000"/>
                <w:sz w:val="20"/>
                <w:szCs w:val="20"/>
              </w:rPr>
            </w:pPr>
            <w:r w:rsidRPr="00B362EE">
              <w:rPr>
                <w:rFonts w:ascii="Arial" w:hAnsi="Arial" w:cs="Arial"/>
                <w:color w:val="000000"/>
                <w:sz w:val="20"/>
                <w:szCs w:val="20"/>
              </w:rPr>
              <w:t>0.023</w:t>
            </w:r>
          </w:p>
        </w:tc>
        <w:tc>
          <w:tcPr>
            <w:tcW w:w="1300" w:type="dxa"/>
            <w:shd w:val="clear" w:color="auto" w:fill="auto"/>
            <w:noWrap/>
            <w:vAlign w:val="center"/>
            <w:hideMark/>
          </w:tcPr>
          <w:p w14:paraId="03DE7458" w14:textId="77777777" w:rsidR="00AD4185" w:rsidRPr="00B362EE" w:rsidRDefault="00AD4185" w:rsidP="00EC06DE">
            <w:pPr>
              <w:jc w:val="center"/>
              <w:rPr>
                <w:rFonts w:ascii="Arial" w:hAnsi="Arial" w:cs="Arial"/>
                <w:color w:val="000000"/>
                <w:sz w:val="20"/>
                <w:szCs w:val="20"/>
              </w:rPr>
            </w:pPr>
            <w:r w:rsidRPr="00B362EE">
              <w:rPr>
                <w:rFonts w:ascii="Arial" w:hAnsi="Arial" w:cs="Arial"/>
                <w:color w:val="000000"/>
                <w:sz w:val="20"/>
                <w:szCs w:val="20"/>
              </w:rPr>
              <w:t>0.047</w:t>
            </w:r>
          </w:p>
        </w:tc>
        <w:tc>
          <w:tcPr>
            <w:tcW w:w="1300" w:type="dxa"/>
            <w:shd w:val="clear" w:color="auto" w:fill="auto"/>
            <w:noWrap/>
            <w:vAlign w:val="center"/>
            <w:hideMark/>
          </w:tcPr>
          <w:p w14:paraId="08220DE4" w14:textId="77777777" w:rsidR="00AD4185" w:rsidRPr="00B362EE" w:rsidRDefault="00AD4185" w:rsidP="00EC06DE">
            <w:pPr>
              <w:jc w:val="center"/>
              <w:rPr>
                <w:rFonts w:ascii="Arial" w:hAnsi="Arial" w:cs="Arial"/>
                <w:color w:val="000000"/>
                <w:sz w:val="20"/>
                <w:szCs w:val="20"/>
              </w:rPr>
            </w:pPr>
            <w:r w:rsidRPr="00B362EE">
              <w:rPr>
                <w:rFonts w:ascii="Arial" w:hAnsi="Arial" w:cs="Arial"/>
                <w:color w:val="000000"/>
                <w:sz w:val="20"/>
                <w:szCs w:val="20"/>
              </w:rPr>
              <w:t>0.023</w:t>
            </w:r>
          </w:p>
        </w:tc>
      </w:tr>
      <w:tr w:rsidR="00AD4185" w:rsidRPr="00B362EE" w14:paraId="14997520" w14:textId="77777777" w:rsidTr="00E75CC3">
        <w:trPr>
          <w:trHeight w:val="320"/>
          <w:jc w:val="center"/>
        </w:trPr>
        <w:tc>
          <w:tcPr>
            <w:tcW w:w="1128" w:type="dxa"/>
            <w:vMerge/>
            <w:vAlign w:val="center"/>
            <w:hideMark/>
          </w:tcPr>
          <w:p w14:paraId="2BC121FB" w14:textId="77777777" w:rsidR="00AD4185" w:rsidRPr="00B362EE" w:rsidRDefault="00AD4185" w:rsidP="00EC06DE">
            <w:pPr>
              <w:jc w:val="center"/>
              <w:rPr>
                <w:rFonts w:ascii="Arial" w:hAnsi="Arial" w:cs="Arial"/>
                <w:color w:val="000000"/>
                <w:sz w:val="20"/>
                <w:szCs w:val="20"/>
              </w:rPr>
            </w:pPr>
          </w:p>
        </w:tc>
        <w:tc>
          <w:tcPr>
            <w:tcW w:w="1431" w:type="dxa"/>
            <w:shd w:val="clear" w:color="auto" w:fill="auto"/>
            <w:noWrap/>
            <w:vAlign w:val="center"/>
            <w:hideMark/>
          </w:tcPr>
          <w:p w14:paraId="2B416244" w14:textId="4CB85993" w:rsidR="00AD4185" w:rsidRPr="00B362EE" w:rsidRDefault="00AD4185" w:rsidP="00EC06DE">
            <w:pPr>
              <w:jc w:val="center"/>
              <w:rPr>
                <w:rFonts w:ascii="Arial" w:hAnsi="Arial" w:cs="Arial"/>
                <w:color w:val="000000"/>
                <w:sz w:val="20"/>
                <w:szCs w:val="20"/>
              </w:rPr>
            </w:pPr>
            <w:proofErr w:type="spellStart"/>
            <w:r w:rsidRPr="00B362EE">
              <w:rPr>
                <w:rFonts w:ascii="Arial" w:hAnsi="Arial" w:cs="Arial"/>
                <w:color w:val="000000"/>
                <w:sz w:val="20"/>
                <w:szCs w:val="20"/>
              </w:rPr>
              <w:t>Mupirocin</w:t>
            </w:r>
            <w:r w:rsidR="00542AC2">
              <w:rPr>
                <w:rFonts w:ascii="Arial" w:hAnsi="Arial" w:cs="Arial"/>
                <w:color w:val="000000"/>
                <w:sz w:val="20"/>
                <w:szCs w:val="20"/>
              </w:rPr>
              <w:t>a</w:t>
            </w:r>
            <w:proofErr w:type="spellEnd"/>
          </w:p>
        </w:tc>
        <w:tc>
          <w:tcPr>
            <w:tcW w:w="1300" w:type="dxa"/>
            <w:shd w:val="clear" w:color="auto" w:fill="auto"/>
            <w:noWrap/>
            <w:vAlign w:val="center"/>
            <w:hideMark/>
          </w:tcPr>
          <w:p w14:paraId="06639A81" w14:textId="77777777" w:rsidR="00AD4185" w:rsidRPr="00B362EE" w:rsidRDefault="00AD4185" w:rsidP="00EC06DE">
            <w:pPr>
              <w:jc w:val="center"/>
              <w:rPr>
                <w:rFonts w:ascii="Arial" w:hAnsi="Arial" w:cs="Arial"/>
                <w:color w:val="000000"/>
                <w:sz w:val="20"/>
                <w:szCs w:val="20"/>
              </w:rPr>
            </w:pPr>
            <w:r w:rsidRPr="00B362EE">
              <w:rPr>
                <w:rFonts w:ascii="Arial" w:hAnsi="Arial" w:cs="Arial"/>
                <w:color w:val="000000"/>
                <w:sz w:val="20"/>
                <w:szCs w:val="20"/>
              </w:rPr>
              <w:t>0.75</w:t>
            </w:r>
          </w:p>
        </w:tc>
        <w:tc>
          <w:tcPr>
            <w:tcW w:w="1300" w:type="dxa"/>
            <w:shd w:val="clear" w:color="auto" w:fill="auto"/>
            <w:noWrap/>
            <w:vAlign w:val="center"/>
            <w:hideMark/>
          </w:tcPr>
          <w:p w14:paraId="362B0B80" w14:textId="77777777" w:rsidR="00AD4185" w:rsidRPr="00B362EE" w:rsidRDefault="00AD4185" w:rsidP="00EC06DE">
            <w:pPr>
              <w:jc w:val="center"/>
              <w:rPr>
                <w:rFonts w:ascii="Arial" w:hAnsi="Arial" w:cs="Arial"/>
                <w:color w:val="000000"/>
                <w:sz w:val="20"/>
                <w:szCs w:val="20"/>
              </w:rPr>
            </w:pPr>
            <w:r w:rsidRPr="00B362EE">
              <w:rPr>
                <w:rFonts w:ascii="Arial" w:hAnsi="Arial" w:cs="Arial"/>
                <w:color w:val="000000"/>
                <w:sz w:val="20"/>
                <w:szCs w:val="20"/>
              </w:rPr>
              <w:t>0.5</w:t>
            </w:r>
          </w:p>
        </w:tc>
        <w:tc>
          <w:tcPr>
            <w:tcW w:w="1300" w:type="dxa"/>
            <w:shd w:val="clear" w:color="auto" w:fill="auto"/>
            <w:noWrap/>
            <w:vAlign w:val="center"/>
            <w:hideMark/>
          </w:tcPr>
          <w:p w14:paraId="2C64EFAA" w14:textId="77777777" w:rsidR="00AD4185" w:rsidRPr="00B362EE" w:rsidRDefault="00AD4185" w:rsidP="00EC06DE">
            <w:pPr>
              <w:jc w:val="center"/>
              <w:rPr>
                <w:rFonts w:ascii="Arial" w:hAnsi="Arial" w:cs="Arial"/>
                <w:color w:val="000000"/>
                <w:sz w:val="20"/>
                <w:szCs w:val="20"/>
              </w:rPr>
            </w:pPr>
            <w:r w:rsidRPr="00B362EE">
              <w:rPr>
                <w:rFonts w:ascii="Arial" w:hAnsi="Arial" w:cs="Arial"/>
                <w:color w:val="000000"/>
                <w:sz w:val="20"/>
                <w:szCs w:val="20"/>
              </w:rPr>
              <w:t>1</w:t>
            </w:r>
          </w:p>
        </w:tc>
        <w:tc>
          <w:tcPr>
            <w:tcW w:w="1300" w:type="dxa"/>
            <w:shd w:val="clear" w:color="auto" w:fill="auto"/>
            <w:noWrap/>
            <w:vAlign w:val="center"/>
            <w:hideMark/>
          </w:tcPr>
          <w:p w14:paraId="374B0F25" w14:textId="77777777" w:rsidR="00AD4185" w:rsidRPr="00B362EE" w:rsidRDefault="00AD4185" w:rsidP="00EC06DE">
            <w:pPr>
              <w:jc w:val="center"/>
              <w:rPr>
                <w:rFonts w:ascii="Arial" w:hAnsi="Arial" w:cs="Arial"/>
                <w:color w:val="000000"/>
                <w:sz w:val="20"/>
                <w:szCs w:val="20"/>
              </w:rPr>
            </w:pPr>
            <w:r w:rsidRPr="00B362EE">
              <w:rPr>
                <w:rFonts w:ascii="Arial" w:hAnsi="Arial" w:cs="Arial"/>
                <w:color w:val="000000"/>
                <w:sz w:val="20"/>
                <w:szCs w:val="20"/>
              </w:rPr>
              <w:t>0.5</w:t>
            </w:r>
          </w:p>
        </w:tc>
        <w:tc>
          <w:tcPr>
            <w:tcW w:w="1300" w:type="dxa"/>
            <w:shd w:val="clear" w:color="auto" w:fill="auto"/>
            <w:noWrap/>
            <w:vAlign w:val="center"/>
            <w:hideMark/>
          </w:tcPr>
          <w:p w14:paraId="5590D5BB" w14:textId="77777777" w:rsidR="00AD4185" w:rsidRPr="00B362EE" w:rsidRDefault="00AD4185" w:rsidP="00EC06DE">
            <w:pPr>
              <w:jc w:val="center"/>
              <w:rPr>
                <w:rFonts w:ascii="Arial" w:hAnsi="Arial" w:cs="Arial"/>
                <w:color w:val="000000"/>
                <w:sz w:val="20"/>
                <w:szCs w:val="20"/>
              </w:rPr>
            </w:pPr>
            <w:r w:rsidRPr="00B362EE">
              <w:rPr>
                <w:rFonts w:ascii="Arial" w:hAnsi="Arial" w:cs="Arial"/>
                <w:color w:val="000000"/>
                <w:sz w:val="20"/>
                <w:szCs w:val="20"/>
              </w:rPr>
              <w:t>0.5</w:t>
            </w:r>
          </w:p>
        </w:tc>
        <w:tc>
          <w:tcPr>
            <w:tcW w:w="1300" w:type="dxa"/>
            <w:shd w:val="clear" w:color="auto" w:fill="auto"/>
            <w:noWrap/>
            <w:vAlign w:val="center"/>
            <w:hideMark/>
          </w:tcPr>
          <w:p w14:paraId="3064583A" w14:textId="77777777" w:rsidR="00AD4185" w:rsidRPr="00B362EE" w:rsidRDefault="00AD4185" w:rsidP="00EC06DE">
            <w:pPr>
              <w:jc w:val="center"/>
              <w:rPr>
                <w:rFonts w:ascii="Arial" w:hAnsi="Arial" w:cs="Arial"/>
                <w:color w:val="000000"/>
                <w:sz w:val="20"/>
                <w:szCs w:val="20"/>
              </w:rPr>
            </w:pPr>
            <w:r w:rsidRPr="00B362EE">
              <w:rPr>
                <w:rFonts w:ascii="Arial" w:hAnsi="Arial" w:cs="Arial"/>
                <w:color w:val="000000"/>
                <w:sz w:val="20"/>
                <w:szCs w:val="20"/>
              </w:rPr>
              <w:t>0.38</w:t>
            </w:r>
          </w:p>
        </w:tc>
      </w:tr>
      <w:tr w:rsidR="00AD4185" w:rsidRPr="00B362EE" w14:paraId="4C95A0F8" w14:textId="77777777" w:rsidTr="00E75CC3">
        <w:trPr>
          <w:trHeight w:val="320"/>
          <w:jc w:val="center"/>
        </w:trPr>
        <w:tc>
          <w:tcPr>
            <w:tcW w:w="1128" w:type="dxa"/>
            <w:vMerge/>
            <w:vAlign w:val="center"/>
          </w:tcPr>
          <w:p w14:paraId="5E2F0E1C" w14:textId="77777777" w:rsidR="00AD4185" w:rsidRPr="00B362EE" w:rsidRDefault="00AD4185" w:rsidP="00EC06DE">
            <w:pPr>
              <w:jc w:val="center"/>
              <w:rPr>
                <w:rFonts w:ascii="Arial" w:hAnsi="Arial" w:cs="Arial"/>
                <w:color w:val="000000"/>
                <w:sz w:val="20"/>
                <w:szCs w:val="20"/>
              </w:rPr>
            </w:pPr>
          </w:p>
        </w:tc>
        <w:tc>
          <w:tcPr>
            <w:tcW w:w="1431" w:type="dxa"/>
            <w:shd w:val="clear" w:color="auto" w:fill="auto"/>
            <w:noWrap/>
            <w:vAlign w:val="center"/>
          </w:tcPr>
          <w:p w14:paraId="4E3D3EEF" w14:textId="5D06EADE" w:rsidR="00AD4185" w:rsidRPr="00B362EE" w:rsidRDefault="00AD4185" w:rsidP="00EC06DE">
            <w:pPr>
              <w:jc w:val="center"/>
              <w:rPr>
                <w:rFonts w:ascii="Arial" w:hAnsi="Arial" w:cs="Arial"/>
                <w:color w:val="000000"/>
                <w:sz w:val="20"/>
                <w:szCs w:val="20"/>
              </w:rPr>
            </w:pPr>
            <w:proofErr w:type="spellStart"/>
            <w:r w:rsidRPr="00B362EE">
              <w:rPr>
                <w:rFonts w:ascii="Arial" w:hAnsi="Arial" w:cs="Arial"/>
                <w:color w:val="000000"/>
                <w:sz w:val="20"/>
                <w:szCs w:val="20"/>
              </w:rPr>
              <w:t>Er</w:t>
            </w:r>
            <w:r w:rsidR="00542AC2">
              <w:rPr>
                <w:rFonts w:ascii="Arial" w:hAnsi="Arial" w:cs="Arial"/>
                <w:color w:val="000000"/>
                <w:sz w:val="20"/>
                <w:szCs w:val="20"/>
              </w:rPr>
              <w:t>itromicina</w:t>
            </w:r>
            <w:proofErr w:type="spellEnd"/>
          </w:p>
        </w:tc>
        <w:tc>
          <w:tcPr>
            <w:tcW w:w="1300" w:type="dxa"/>
            <w:shd w:val="clear" w:color="auto" w:fill="auto"/>
            <w:noWrap/>
            <w:vAlign w:val="center"/>
          </w:tcPr>
          <w:p w14:paraId="1EA42CD8" w14:textId="77777777" w:rsidR="00AD4185" w:rsidRPr="00B362EE" w:rsidRDefault="00AD4185" w:rsidP="00EC06DE">
            <w:pPr>
              <w:jc w:val="center"/>
              <w:rPr>
                <w:rFonts w:ascii="Arial" w:hAnsi="Arial" w:cs="Arial"/>
                <w:color w:val="000000"/>
                <w:sz w:val="20"/>
                <w:szCs w:val="20"/>
              </w:rPr>
            </w:pPr>
            <w:r w:rsidRPr="00B362EE">
              <w:rPr>
                <w:rFonts w:ascii="Arial" w:hAnsi="Arial" w:cs="Arial"/>
                <w:color w:val="000000"/>
                <w:sz w:val="20"/>
                <w:szCs w:val="20"/>
              </w:rPr>
              <w:t>&gt;256</w:t>
            </w:r>
          </w:p>
        </w:tc>
        <w:tc>
          <w:tcPr>
            <w:tcW w:w="1300" w:type="dxa"/>
            <w:shd w:val="clear" w:color="auto" w:fill="auto"/>
            <w:noWrap/>
            <w:vAlign w:val="center"/>
          </w:tcPr>
          <w:p w14:paraId="1B592207" w14:textId="77777777" w:rsidR="00AD4185" w:rsidRPr="00B362EE" w:rsidRDefault="00AD4185" w:rsidP="00EC06DE">
            <w:pPr>
              <w:jc w:val="center"/>
              <w:rPr>
                <w:rFonts w:ascii="Arial" w:hAnsi="Arial" w:cs="Arial"/>
                <w:color w:val="000000"/>
                <w:sz w:val="20"/>
                <w:szCs w:val="20"/>
              </w:rPr>
            </w:pPr>
            <w:r w:rsidRPr="00B362EE">
              <w:rPr>
                <w:rFonts w:ascii="Arial" w:hAnsi="Arial" w:cs="Arial"/>
                <w:color w:val="000000"/>
                <w:sz w:val="20"/>
                <w:szCs w:val="20"/>
              </w:rPr>
              <w:t>&gt;256</w:t>
            </w:r>
          </w:p>
        </w:tc>
        <w:tc>
          <w:tcPr>
            <w:tcW w:w="1300" w:type="dxa"/>
            <w:shd w:val="clear" w:color="auto" w:fill="auto"/>
            <w:noWrap/>
            <w:vAlign w:val="center"/>
          </w:tcPr>
          <w:p w14:paraId="457B2BED" w14:textId="77777777" w:rsidR="00AD4185" w:rsidRPr="00B362EE" w:rsidRDefault="00AD4185" w:rsidP="00EC06DE">
            <w:pPr>
              <w:jc w:val="center"/>
              <w:rPr>
                <w:rFonts w:ascii="Arial" w:hAnsi="Arial" w:cs="Arial"/>
                <w:color w:val="000000"/>
                <w:sz w:val="20"/>
                <w:szCs w:val="20"/>
              </w:rPr>
            </w:pPr>
            <w:r w:rsidRPr="00B362EE">
              <w:rPr>
                <w:rFonts w:ascii="Arial" w:hAnsi="Arial" w:cs="Arial"/>
                <w:color w:val="000000"/>
                <w:sz w:val="20"/>
                <w:szCs w:val="20"/>
              </w:rPr>
              <w:t>&gt;256</w:t>
            </w:r>
          </w:p>
        </w:tc>
        <w:tc>
          <w:tcPr>
            <w:tcW w:w="1300" w:type="dxa"/>
            <w:shd w:val="clear" w:color="auto" w:fill="auto"/>
            <w:noWrap/>
            <w:vAlign w:val="center"/>
          </w:tcPr>
          <w:p w14:paraId="21510495" w14:textId="77777777" w:rsidR="00AD4185" w:rsidRPr="00B362EE" w:rsidRDefault="00AD4185" w:rsidP="00EC06DE">
            <w:pPr>
              <w:jc w:val="center"/>
              <w:rPr>
                <w:rFonts w:ascii="Arial" w:hAnsi="Arial" w:cs="Arial"/>
                <w:color w:val="000000"/>
                <w:sz w:val="20"/>
                <w:szCs w:val="20"/>
              </w:rPr>
            </w:pPr>
            <w:r w:rsidRPr="00B362EE">
              <w:rPr>
                <w:rFonts w:ascii="Arial" w:hAnsi="Arial" w:cs="Arial"/>
                <w:color w:val="000000"/>
                <w:sz w:val="20"/>
                <w:szCs w:val="20"/>
              </w:rPr>
              <w:t>&gt;256</w:t>
            </w:r>
          </w:p>
        </w:tc>
        <w:tc>
          <w:tcPr>
            <w:tcW w:w="1300" w:type="dxa"/>
            <w:shd w:val="clear" w:color="auto" w:fill="auto"/>
            <w:noWrap/>
            <w:vAlign w:val="center"/>
          </w:tcPr>
          <w:p w14:paraId="3C2987AB" w14:textId="77777777" w:rsidR="00AD4185" w:rsidRPr="00B362EE" w:rsidRDefault="00AD4185" w:rsidP="00EC06DE">
            <w:pPr>
              <w:jc w:val="center"/>
              <w:rPr>
                <w:rFonts w:ascii="Arial" w:hAnsi="Arial" w:cs="Arial"/>
                <w:color w:val="000000"/>
                <w:sz w:val="20"/>
                <w:szCs w:val="20"/>
              </w:rPr>
            </w:pPr>
            <w:r w:rsidRPr="00B362EE">
              <w:rPr>
                <w:rFonts w:ascii="Arial" w:hAnsi="Arial" w:cs="Arial"/>
                <w:color w:val="000000"/>
                <w:sz w:val="20"/>
                <w:szCs w:val="20"/>
              </w:rPr>
              <w:t>&gt;256</w:t>
            </w:r>
          </w:p>
        </w:tc>
        <w:tc>
          <w:tcPr>
            <w:tcW w:w="1300" w:type="dxa"/>
            <w:shd w:val="clear" w:color="auto" w:fill="auto"/>
            <w:noWrap/>
            <w:vAlign w:val="center"/>
          </w:tcPr>
          <w:p w14:paraId="20468629" w14:textId="77777777" w:rsidR="00AD4185" w:rsidRPr="00B362EE" w:rsidRDefault="00AD4185" w:rsidP="00EC06DE">
            <w:pPr>
              <w:jc w:val="center"/>
              <w:rPr>
                <w:rFonts w:ascii="Arial" w:hAnsi="Arial" w:cs="Arial"/>
                <w:color w:val="000000"/>
                <w:sz w:val="20"/>
                <w:szCs w:val="20"/>
              </w:rPr>
            </w:pPr>
            <w:r w:rsidRPr="00B362EE">
              <w:rPr>
                <w:rFonts w:ascii="Arial" w:hAnsi="Arial" w:cs="Arial"/>
                <w:color w:val="000000"/>
                <w:sz w:val="20"/>
                <w:szCs w:val="20"/>
              </w:rPr>
              <w:t>&gt;256</w:t>
            </w:r>
          </w:p>
        </w:tc>
      </w:tr>
      <w:tr w:rsidR="00AD4185" w:rsidRPr="00B362EE" w14:paraId="32D9685B" w14:textId="77777777" w:rsidTr="00E75CC3">
        <w:trPr>
          <w:trHeight w:val="320"/>
          <w:jc w:val="center"/>
        </w:trPr>
        <w:tc>
          <w:tcPr>
            <w:tcW w:w="1128" w:type="dxa"/>
            <w:vMerge/>
            <w:vAlign w:val="center"/>
          </w:tcPr>
          <w:p w14:paraId="234D2E46" w14:textId="77777777" w:rsidR="00AD4185" w:rsidRPr="00B362EE" w:rsidRDefault="00AD4185" w:rsidP="00EC06DE">
            <w:pPr>
              <w:jc w:val="center"/>
              <w:rPr>
                <w:rFonts w:ascii="Arial" w:hAnsi="Arial" w:cs="Arial"/>
                <w:color w:val="000000"/>
                <w:sz w:val="20"/>
                <w:szCs w:val="20"/>
              </w:rPr>
            </w:pPr>
          </w:p>
        </w:tc>
        <w:tc>
          <w:tcPr>
            <w:tcW w:w="1431" w:type="dxa"/>
            <w:shd w:val="clear" w:color="auto" w:fill="auto"/>
            <w:noWrap/>
            <w:vAlign w:val="center"/>
          </w:tcPr>
          <w:p w14:paraId="62F507A6" w14:textId="6D6D273B" w:rsidR="00AD4185" w:rsidRPr="00B362EE" w:rsidRDefault="00AD4185" w:rsidP="00EC06DE">
            <w:pPr>
              <w:jc w:val="center"/>
              <w:rPr>
                <w:rFonts w:ascii="Arial" w:hAnsi="Arial" w:cs="Arial"/>
                <w:color w:val="000000"/>
                <w:sz w:val="20"/>
                <w:szCs w:val="20"/>
              </w:rPr>
            </w:pPr>
            <w:proofErr w:type="spellStart"/>
            <w:r w:rsidRPr="00B362EE">
              <w:rPr>
                <w:rFonts w:ascii="Arial" w:hAnsi="Arial" w:cs="Arial"/>
                <w:color w:val="000000"/>
                <w:sz w:val="20"/>
                <w:szCs w:val="20"/>
              </w:rPr>
              <w:t>Teicoplanin</w:t>
            </w:r>
            <w:r w:rsidR="00542AC2">
              <w:rPr>
                <w:rFonts w:ascii="Arial" w:hAnsi="Arial" w:cs="Arial"/>
                <w:color w:val="000000"/>
                <w:sz w:val="20"/>
                <w:szCs w:val="20"/>
              </w:rPr>
              <w:t>a</w:t>
            </w:r>
            <w:proofErr w:type="spellEnd"/>
          </w:p>
        </w:tc>
        <w:tc>
          <w:tcPr>
            <w:tcW w:w="1300" w:type="dxa"/>
            <w:shd w:val="clear" w:color="auto" w:fill="auto"/>
            <w:noWrap/>
            <w:vAlign w:val="center"/>
          </w:tcPr>
          <w:p w14:paraId="6D334B6F" w14:textId="77777777" w:rsidR="00AD4185" w:rsidRPr="00B362EE" w:rsidRDefault="00AD4185" w:rsidP="00EC06DE">
            <w:pPr>
              <w:jc w:val="center"/>
              <w:rPr>
                <w:rFonts w:ascii="Arial" w:hAnsi="Arial" w:cs="Arial"/>
                <w:color w:val="000000"/>
                <w:sz w:val="20"/>
                <w:szCs w:val="20"/>
              </w:rPr>
            </w:pPr>
            <w:r>
              <w:rPr>
                <w:rFonts w:ascii="Arial" w:hAnsi="Arial" w:cs="Arial"/>
                <w:color w:val="000000"/>
                <w:sz w:val="20"/>
                <w:szCs w:val="20"/>
              </w:rPr>
              <w:t>6</w:t>
            </w:r>
          </w:p>
        </w:tc>
        <w:tc>
          <w:tcPr>
            <w:tcW w:w="1300" w:type="dxa"/>
            <w:shd w:val="clear" w:color="auto" w:fill="auto"/>
            <w:noWrap/>
            <w:vAlign w:val="center"/>
          </w:tcPr>
          <w:p w14:paraId="63E1E33F" w14:textId="77777777" w:rsidR="00AD4185" w:rsidRPr="00B362EE" w:rsidRDefault="00AD4185" w:rsidP="00EC06DE">
            <w:pPr>
              <w:jc w:val="center"/>
              <w:rPr>
                <w:rFonts w:ascii="Arial" w:hAnsi="Arial" w:cs="Arial"/>
                <w:color w:val="000000"/>
                <w:sz w:val="20"/>
                <w:szCs w:val="20"/>
              </w:rPr>
            </w:pPr>
            <w:r>
              <w:rPr>
                <w:rFonts w:ascii="Arial" w:hAnsi="Arial" w:cs="Arial"/>
                <w:color w:val="000000"/>
                <w:sz w:val="20"/>
                <w:szCs w:val="20"/>
              </w:rPr>
              <w:t>6</w:t>
            </w:r>
          </w:p>
        </w:tc>
        <w:tc>
          <w:tcPr>
            <w:tcW w:w="1300" w:type="dxa"/>
            <w:shd w:val="clear" w:color="auto" w:fill="auto"/>
            <w:noWrap/>
            <w:vAlign w:val="center"/>
          </w:tcPr>
          <w:p w14:paraId="6BD7E6E3" w14:textId="77777777" w:rsidR="00AD4185" w:rsidRPr="00B362EE" w:rsidRDefault="00AD4185" w:rsidP="00EC06DE">
            <w:pPr>
              <w:jc w:val="center"/>
              <w:rPr>
                <w:rFonts w:ascii="Arial" w:hAnsi="Arial" w:cs="Arial"/>
                <w:color w:val="000000"/>
                <w:sz w:val="20"/>
                <w:szCs w:val="20"/>
              </w:rPr>
            </w:pPr>
            <w:r>
              <w:rPr>
                <w:rFonts w:ascii="Arial" w:hAnsi="Arial" w:cs="Arial"/>
                <w:color w:val="000000"/>
                <w:sz w:val="20"/>
                <w:szCs w:val="20"/>
              </w:rPr>
              <w:t>4</w:t>
            </w:r>
          </w:p>
        </w:tc>
        <w:tc>
          <w:tcPr>
            <w:tcW w:w="1300" w:type="dxa"/>
            <w:shd w:val="clear" w:color="auto" w:fill="auto"/>
            <w:noWrap/>
            <w:vAlign w:val="center"/>
          </w:tcPr>
          <w:p w14:paraId="54C18E18" w14:textId="77777777" w:rsidR="00AD4185" w:rsidRPr="00B362EE" w:rsidRDefault="00AD4185" w:rsidP="00EC06DE">
            <w:pPr>
              <w:jc w:val="center"/>
              <w:rPr>
                <w:rFonts w:ascii="Arial" w:hAnsi="Arial" w:cs="Arial"/>
                <w:color w:val="000000"/>
                <w:sz w:val="20"/>
                <w:szCs w:val="20"/>
              </w:rPr>
            </w:pPr>
            <w:r>
              <w:rPr>
                <w:rFonts w:ascii="Arial" w:hAnsi="Arial" w:cs="Arial"/>
                <w:color w:val="000000"/>
                <w:sz w:val="20"/>
                <w:szCs w:val="20"/>
              </w:rPr>
              <w:t>4</w:t>
            </w:r>
          </w:p>
        </w:tc>
        <w:tc>
          <w:tcPr>
            <w:tcW w:w="1300" w:type="dxa"/>
            <w:shd w:val="clear" w:color="auto" w:fill="auto"/>
            <w:noWrap/>
            <w:vAlign w:val="center"/>
          </w:tcPr>
          <w:p w14:paraId="207523D5" w14:textId="77777777" w:rsidR="00AD4185" w:rsidRPr="00B362EE" w:rsidRDefault="00AD4185" w:rsidP="00EC06DE">
            <w:pPr>
              <w:jc w:val="center"/>
              <w:rPr>
                <w:rFonts w:ascii="Arial" w:hAnsi="Arial" w:cs="Arial"/>
                <w:color w:val="000000"/>
                <w:sz w:val="20"/>
                <w:szCs w:val="20"/>
              </w:rPr>
            </w:pPr>
            <w:r>
              <w:rPr>
                <w:rFonts w:ascii="Arial" w:hAnsi="Arial" w:cs="Arial"/>
                <w:color w:val="000000"/>
                <w:sz w:val="20"/>
                <w:szCs w:val="20"/>
              </w:rPr>
              <w:t>4</w:t>
            </w:r>
          </w:p>
        </w:tc>
        <w:tc>
          <w:tcPr>
            <w:tcW w:w="1300" w:type="dxa"/>
            <w:shd w:val="clear" w:color="auto" w:fill="auto"/>
            <w:noWrap/>
            <w:vAlign w:val="center"/>
          </w:tcPr>
          <w:p w14:paraId="48EC788C" w14:textId="77777777" w:rsidR="00AD4185" w:rsidRPr="00B362EE" w:rsidRDefault="00AD4185" w:rsidP="00EC06DE">
            <w:pPr>
              <w:jc w:val="center"/>
              <w:rPr>
                <w:rFonts w:ascii="Arial" w:hAnsi="Arial" w:cs="Arial"/>
                <w:color w:val="000000"/>
                <w:sz w:val="20"/>
                <w:szCs w:val="20"/>
              </w:rPr>
            </w:pPr>
            <w:r>
              <w:rPr>
                <w:rFonts w:ascii="Arial" w:hAnsi="Arial" w:cs="Arial"/>
                <w:color w:val="000000"/>
                <w:sz w:val="20"/>
                <w:szCs w:val="20"/>
              </w:rPr>
              <w:t>0.75</w:t>
            </w:r>
          </w:p>
        </w:tc>
      </w:tr>
      <w:tr w:rsidR="00AD4185" w:rsidRPr="00B362EE" w14:paraId="0E9833E0" w14:textId="77777777" w:rsidTr="00E75CC3">
        <w:trPr>
          <w:trHeight w:val="320"/>
          <w:jc w:val="center"/>
        </w:trPr>
        <w:tc>
          <w:tcPr>
            <w:tcW w:w="1128" w:type="dxa"/>
            <w:vMerge/>
            <w:vAlign w:val="center"/>
          </w:tcPr>
          <w:p w14:paraId="59852833" w14:textId="77777777" w:rsidR="00AD4185" w:rsidRPr="00B362EE" w:rsidRDefault="00AD4185" w:rsidP="00EC06DE">
            <w:pPr>
              <w:jc w:val="center"/>
              <w:rPr>
                <w:rFonts w:ascii="Arial" w:hAnsi="Arial" w:cs="Arial"/>
                <w:color w:val="000000"/>
                <w:sz w:val="20"/>
                <w:szCs w:val="20"/>
              </w:rPr>
            </w:pPr>
          </w:p>
        </w:tc>
        <w:tc>
          <w:tcPr>
            <w:tcW w:w="1431" w:type="dxa"/>
            <w:shd w:val="clear" w:color="auto" w:fill="auto"/>
            <w:noWrap/>
            <w:vAlign w:val="center"/>
          </w:tcPr>
          <w:p w14:paraId="64640EC2" w14:textId="1B164C80" w:rsidR="00AD4185" w:rsidRPr="00B362EE" w:rsidRDefault="00AD4185" w:rsidP="00EC06DE">
            <w:pPr>
              <w:jc w:val="center"/>
              <w:rPr>
                <w:rFonts w:ascii="Arial" w:hAnsi="Arial" w:cs="Arial"/>
                <w:color w:val="000000"/>
                <w:sz w:val="20"/>
                <w:szCs w:val="20"/>
              </w:rPr>
            </w:pPr>
            <w:proofErr w:type="spellStart"/>
            <w:r w:rsidRPr="00B362EE">
              <w:rPr>
                <w:rFonts w:ascii="Arial" w:hAnsi="Arial" w:cs="Arial"/>
                <w:color w:val="000000"/>
                <w:sz w:val="20"/>
                <w:szCs w:val="20"/>
              </w:rPr>
              <w:t>Fosfom</w:t>
            </w:r>
            <w:r w:rsidR="00542AC2">
              <w:rPr>
                <w:rFonts w:ascii="Arial" w:hAnsi="Arial" w:cs="Arial"/>
                <w:color w:val="000000"/>
                <w:sz w:val="20"/>
                <w:szCs w:val="20"/>
              </w:rPr>
              <w:t>icina</w:t>
            </w:r>
            <w:proofErr w:type="spellEnd"/>
          </w:p>
        </w:tc>
        <w:tc>
          <w:tcPr>
            <w:tcW w:w="1300" w:type="dxa"/>
            <w:shd w:val="clear" w:color="auto" w:fill="auto"/>
            <w:noWrap/>
            <w:vAlign w:val="center"/>
          </w:tcPr>
          <w:p w14:paraId="6D970755" w14:textId="77777777" w:rsidR="00AD4185" w:rsidRPr="00B362EE" w:rsidRDefault="00AD4185" w:rsidP="00EC06DE">
            <w:pPr>
              <w:jc w:val="center"/>
              <w:rPr>
                <w:rFonts w:ascii="Arial" w:hAnsi="Arial" w:cs="Arial"/>
                <w:color w:val="000000"/>
                <w:sz w:val="20"/>
                <w:szCs w:val="20"/>
              </w:rPr>
            </w:pPr>
            <w:r>
              <w:rPr>
                <w:rFonts w:ascii="Arial" w:hAnsi="Arial" w:cs="Arial"/>
                <w:color w:val="000000"/>
                <w:sz w:val="20"/>
                <w:szCs w:val="20"/>
              </w:rPr>
              <w:t>12</w:t>
            </w:r>
          </w:p>
        </w:tc>
        <w:tc>
          <w:tcPr>
            <w:tcW w:w="1300" w:type="dxa"/>
            <w:shd w:val="clear" w:color="auto" w:fill="auto"/>
            <w:noWrap/>
            <w:vAlign w:val="center"/>
          </w:tcPr>
          <w:p w14:paraId="5601466F" w14:textId="77777777" w:rsidR="00AD4185" w:rsidRPr="00B362EE" w:rsidRDefault="00AD4185" w:rsidP="00EC06DE">
            <w:pPr>
              <w:jc w:val="center"/>
              <w:rPr>
                <w:rFonts w:ascii="Arial" w:hAnsi="Arial" w:cs="Arial"/>
                <w:color w:val="000000"/>
                <w:sz w:val="20"/>
                <w:szCs w:val="20"/>
              </w:rPr>
            </w:pPr>
            <w:r>
              <w:rPr>
                <w:rFonts w:ascii="Arial" w:hAnsi="Arial" w:cs="Arial"/>
                <w:color w:val="000000"/>
                <w:sz w:val="20"/>
                <w:szCs w:val="20"/>
              </w:rPr>
              <w:t>8</w:t>
            </w:r>
          </w:p>
        </w:tc>
        <w:tc>
          <w:tcPr>
            <w:tcW w:w="1300" w:type="dxa"/>
            <w:shd w:val="clear" w:color="auto" w:fill="auto"/>
            <w:noWrap/>
            <w:vAlign w:val="center"/>
          </w:tcPr>
          <w:p w14:paraId="09F7E239" w14:textId="77777777" w:rsidR="00AD4185" w:rsidRPr="00B362EE" w:rsidRDefault="00AD4185" w:rsidP="00EC06DE">
            <w:pPr>
              <w:jc w:val="center"/>
              <w:rPr>
                <w:rFonts w:ascii="Arial" w:hAnsi="Arial" w:cs="Arial"/>
                <w:color w:val="000000"/>
                <w:sz w:val="20"/>
                <w:szCs w:val="20"/>
              </w:rPr>
            </w:pPr>
            <w:r>
              <w:rPr>
                <w:rFonts w:ascii="Arial" w:hAnsi="Arial" w:cs="Arial"/>
                <w:color w:val="000000"/>
                <w:sz w:val="20"/>
                <w:szCs w:val="20"/>
              </w:rPr>
              <w:t>8</w:t>
            </w:r>
          </w:p>
        </w:tc>
        <w:tc>
          <w:tcPr>
            <w:tcW w:w="1300" w:type="dxa"/>
            <w:shd w:val="clear" w:color="auto" w:fill="auto"/>
            <w:noWrap/>
            <w:vAlign w:val="center"/>
          </w:tcPr>
          <w:p w14:paraId="05AE6CA4" w14:textId="77777777" w:rsidR="00AD4185" w:rsidRPr="00B362EE" w:rsidRDefault="00AD4185" w:rsidP="00EC06DE">
            <w:pPr>
              <w:jc w:val="center"/>
              <w:rPr>
                <w:rFonts w:ascii="Arial" w:hAnsi="Arial" w:cs="Arial"/>
                <w:color w:val="000000"/>
                <w:sz w:val="20"/>
                <w:szCs w:val="20"/>
              </w:rPr>
            </w:pPr>
            <w:r>
              <w:rPr>
                <w:rFonts w:ascii="Arial" w:hAnsi="Arial" w:cs="Arial"/>
                <w:color w:val="000000"/>
                <w:sz w:val="20"/>
                <w:szCs w:val="20"/>
              </w:rPr>
              <w:t>8</w:t>
            </w:r>
          </w:p>
        </w:tc>
        <w:tc>
          <w:tcPr>
            <w:tcW w:w="1300" w:type="dxa"/>
            <w:shd w:val="clear" w:color="auto" w:fill="auto"/>
            <w:noWrap/>
            <w:vAlign w:val="center"/>
          </w:tcPr>
          <w:p w14:paraId="0F8A9172" w14:textId="77777777" w:rsidR="00AD4185" w:rsidRPr="00B362EE" w:rsidRDefault="00AD4185" w:rsidP="00EC06DE">
            <w:pPr>
              <w:jc w:val="center"/>
              <w:rPr>
                <w:rFonts w:ascii="Arial" w:hAnsi="Arial" w:cs="Arial"/>
                <w:color w:val="000000"/>
                <w:sz w:val="20"/>
                <w:szCs w:val="20"/>
              </w:rPr>
            </w:pPr>
            <w:r>
              <w:rPr>
                <w:rFonts w:ascii="Arial" w:hAnsi="Arial" w:cs="Arial"/>
                <w:color w:val="000000"/>
                <w:sz w:val="20"/>
                <w:szCs w:val="20"/>
              </w:rPr>
              <w:t>8</w:t>
            </w:r>
          </w:p>
        </w:tc>
        <w:tc>
          <w:tcPr>
            <w:tcW w:w="1300" w:type="dxa"/>
            <w:shd w:val="clear" w:color="auto" w:fill="auto"/>
            <w:noWrap/>
            <w:vAlign w:val="center"/>
          </w:tcPr>
          <w:p w14:paraId="51FA68ED" w14:textId="77777777" w:rsidR="00AD4185" w:rsidRPr="00B362EE" w:rsidRDefault="00AD4185" w:rsidP="00EC06DE">
            <w:pPr>
              <w:jc w:val="center"/>
              <w:rPr>
                <w:rFonts w:ascii="Arial" w:hAnsi="Arial" w:cs="Arial"/>
                <w:color w:val="000000"/>
                <w:sz w:val="20"/>
                <w:szCs w:val="20"/>
              </w:rPr>
            </w:pPr>
            <w:r>
              <w:rPr>
                <w:rFonts w:ascii="Arial" w:hAnsi="Arial" w:cs="Arial"/>
                <w:color w:val="000000"/>
                <w:sz w:val="20"/>
                <w:szCs w:val="20"/>
              </w:rPr>
              <w:t>6</w:t>
            </w:r>
          </w:p>
        </w:tc>
      </w:tr>
      <w:tr w:rsidR="00AD4185" w:rsidRPr="00B362EE" w14:paraId="1EEBF48B" w14:textId="77777777" w:rsidTr="00E75CC3">
        <w:trPr>
          <w:trHeight w:val="320"/>
          <w:jc w:val="center"/>
        </w:trPr>
        <w:tc>
          <w:tcPr>
            <w:tcW w:w="1128" w:type="dxa"/>
            <w:vMerge/>
            <w:vAlign w:val="center"/>
          </w:tcPr>
          <w:p w14:paraId="000AE1CF" w14:textId="77777777" w:rsidR="00AD4185" w:rsidRPr="00B362EE" w:rsidRDefault="00AD4185" w:rsidP="00EC06DE">
            <w:pPr>
              <w:jc w:val="center"/>
              <w:rPr>
                <w:rFonts w:ascii="Arial" w:hAnsi="Arial" w:cs="Arial"/>
                <w:color w:val="000000"/>
                <w:sz w:val="20"/>
                <w:szCs w:val="20"/>
              </w:rPr>
            </w:pPr>
          </w:p>
        </w:tc>
        <w:tc>
          <w:tcPr>
            <w:tcW w:w="1431" w:type="dxa"/>
            <w:shd w:val="clear" w:color="auto" w:fill="auto"/>
            <w:noWrap/>
            <w:vAlign w:val="center"/>
          </w:tcPr>
          <w:p w14:paraId="3C8575FA" w14:textId="46E37A97" w:rsidR="00AD4185" w:rsidRPr="00B362EE" w:rsidRDefault="00AD4185" w:rsidP="00EC06DE">
            <w:pPr>
              <w:jc w:val="center"/>
              <w:rPr>
                <w:rFonts w:ascii="Arial" w:hAnsi="Arial" w:cs="Arial"/>
                <w:color w:val="000000"/>
                <w:sz w:val="20"/>
                <w:szCs w:val="20"/>
              </w:rPr>
            </w:pPr>
            <w:proofErr w:type="spellStart"/>
            <w:r>
              <w:rPr>
                <w:rFonts w:ascii="Arial" w:hAnsi="Arial" w:cs="Arial"/>
                <w:color w:val="000000"/>
                <w:sz w:val="20"/>
                <w:szCs w:val="20"/>
              </w:rPr>
              <w:t>Daptom</w:t>
            </w:r>
            <w:r w:rsidR="00542AC2">
              <w:rPr>
                <w:rFonts w:ascii="Arial" w:hAnsi="Arial" w:cs="Arial"/>
                <w:color w:val="000000"/>
                <w:sz w:val="20"/>
                <w:szCs w:val="20"/>
              </w:rPr>
              <w:t>icina</w:t>
            </w:r>
            <w:proofErr w:type="spellEnd"/>
          </w:p>
        </w:tc>
        <w:tc>
          <w:tcPr>
            <w:tcW w:w="1300" w:type="dxa"/>
            <w:shd w:val="clear" w:color="auto" w:fill="auto"/>
            <w:noWrap/>
            <w:vAlign w:val="center"/>
          </w:tcPr>
          <w:p w14:paraId="670BBF00" w14:textId="77777777" w:rsidR="00AD4185" w:rsidRPr="00B362EE" w:rsidRDefault="00AD4185" w:rsidP="00EC06DE">
            <w:pPr>
              <w:jc w:val="center"/>
              <w:rPr>
                <w:rFonts w:ascii="Arial" w:hAnsi="Arial" w:cs="Arial"/>
                <w:color w:val="000000"/>
                <w:sz w:val="20"/>
                <w:szCs w:val="20"/>
              </w:rPr>
            </w:pPr>
            <w:r>
              <w:rPr>
                <w:rFonts w:ascii="Arial" w:hAnsi="Arial" w:cs="Arial"/>
                <w:color w:val="000000"/>
                <w:sz w:val="20"/>
                <w:szCs w:val="20"/>
              </w:rPr>
              <w:t>2</w:t>
            </w:r>
          </w:p>
        </w:tc>
        <w:tc>
          <w:tcPr>
            <w:tcW w:w="1300" w:type="dxa"/>
            <w:shd w:val="clear" w:color="auto" w:fill="auto"/>
            <w:noWrap/>
            <w:vAlign w:val="center"/>
          </w:tcPr>
          <w:p w14:paraId="48AB5FE8" w14:textId="77777777" w:rsidR="00AD4185" w:rsidRPr="00B362EE" w:rsidRDefault="00AD4185" w:rsidP="00EC06DE">
            <w:pPr>
              <w:jc w:val="center"/>
              <w:rPr>
                <w:rFonts w:ascii="Arial" w:hAnsi="Arial" w:cs="Arial"/>
                <w:color w:val="000000"/>
                <w:sz w:val="20"/>
                <w:szCs w:val="20"/>
              </w:rPr>
            </w:pPr>
            <w:r>
              <w:rPr>
                <w:rFonts w:ascii="Arial" w:hAnsi="Arial" w:cs="Arial"/>
                <w:color w:val="000000"/>
                <w:sz w:val="20"/>
                <w:szCs w:val="20"/>
              </w:rPr>
              <w:t>3</w:t>
            </w:r>
          </w:p>
        </w:tc>
        <w:tc>
          <w:tcPr>
            <w:tcW w:w="1300" w:type="dxa"/>
            <w:shd w:val="clear" w:color="auto" w:fill="auto"/>
            <w:noWrap/>
            <w:vAlign w:val="center"/>
          </w:tcPr>
          <w:p w14:paraId="718B1940" w14:textId="77777777" w:rsidR="00AD4185" w:rsidRPr="00B362EE" w:rsidRDefault="00AD4185" w:rsidP="00EC06DE">
            <w:pPr>
              <w:jc w:val="center"/>
              <w:rPr>
                <w:rFonts w:ascii="Arial" w:hAnsi="Arial" w:cs="Arial"/>
                <w:color w:val="000000"/>
                <w:sz w:val="20"/>
                <w:szCs w:val="20"/>
              </w:rPr>
            </w:pPr>
            <w:r>
              <w:rPr>
                <w:rFonts w:ascii="Arial" w:hAnsi="Arial" w:cs="Arial"/>
                <w:color w:val="000000"/>
                <w:sz w:val="20"/>
                <w:szCs w:val="20"/>
              </w:rPr>
              <w:t>2</w:t>
            </w:r>
          </w:p>
        </w:tc>
        <w:tc>
          <w:tcPr>
            <w:tcW w:w="1300" w:type="dxa"/>
            <w:shd w:val="clear" w:color="auto" w:fill="auto"/>
            <w:noWrap/>
            <w:vAlign w:val="center"/>
          </w:tcPr>
          <w:p w14:paraId="0054A184" w14:textId="77777777" w:rsidR="00AD4185" w:rsidRPr="00B362EE" w:rsidRDefault="00AD4185" w:rsidP="00EC06DE">
            <w:pPr>
              <w:jc w:val="center"/>
              <w:rPr>
                <w:rFonts w:ascii="Arial" w:hAnsi="Arial" w:cs="Arial"/>
                <w:color w:val="000000"/>
                <w:sz w:val="20"/>
                <w:szCs w:val="20"/>
              </w:rPr>
            </w:pPr>
            <w:r>
              <w:rPr>
                <w:rFonts w:ascii="Arial" w:hAnsi="Arial" w:cs="Arial"/>
                <w:color w:val="000000"/>
                <w:sz w:val="20"/>
                <w:szCs w:val="20"/>
              </w:rPr>
              <w:t>2</w:t>
            </w:r>
          </w:p>
        </w:tc>
        <w:tc>
          <w:tcPr>
            <w:tcW w:w="1300" w:type="dxa"/>
            <w:shd w:val="clear" w:color="auto" w:fill="auto"/>
            <w:noWrap/>
            <w:vAlign w:val="center"/>
          </w:tcPr>
          <w:p w14:paraId="49C502C5" w14:textId="77777777" w:rsidR="00AD4185" w:rsidRPr="00B362EE" w:rsidRDefault="00AD4185" w:rsidP="00EC06DE">
            <w:pPr>
              <w:jc w:val="center"/>
              <w:rPr>
                <w:rFonts w:ascii="Arial" w:hAnsi="Arial" w:cs="Arial"/>
                <w:color w:val="000000"/>
                <w:sz w:val="20"/>
                <w:szCs w:val="20"/>
              </w:rPr>
            </w:pPr>
            <w:r>
              <w:rPr>
                <w:rFonts w:ascii="Arial" w:hAnsi="Arial" w:cs="Arial"/>
                <w:color w:val="000000"/>
                <w:sz w:val="20"/>
                <w:szCs w:val="20"/>
              </w:rPr>
              <w:t>2</w:t>
            </w:r>
          </w:p>
        </w:tc>
        <w:tc>
          <w:tcPr>
            <w:tcW w:w="1300" w:type="dxa"/>
            <w:shd w:val="clear" w:color="auto" w:fill="auto"/>
            <w:noWrap/>
            <w:vAlign w:val="center"/>
          </w:tcPr>
          <w:p w14:paraId="260813CA" w14:textId="77777777" w:rsidR="00AD4185" w:rsidRPr="00B362EE" w:rsidRDefault="00AD4185" w:rsidP="00EC06DE">
            <w:pPr>
              <w:jc w:val="center"/>
              <w:rPr>
                <w:rFonts w:ascii="Arial" w:hAnsi="Arial" w:cs="Arial"/>
                <w:color w:val="000000"/>
                <w:sz w:val="20"/>
                <w:szCs w:val="20"/>
              </w:rPr>
            </w:pPr>
            <w:r>
              <w:rPr>
                <w:rFonts w:ascii="Arial" w:hAnsi="Arial" w:cs="Arial"/>
                <w:color w:val="000000"/>
                <w:sz w:val="20"/>
                <w:szCs w:val="20"/>
              </w:rPr>
              <w:t>2</w:t>
            </w:r>
          </w:p>
        </w:tc>
      </w:tr>
      <w:tr w:rsidR="00542AC2" w:rsidRPr="00B362EE" w14:paraId="033A56B8" w14:textId="77777777" w:rsidTr="00E75CC3">
        <w:trPr>
          <w:trHeight w:val="320"/>
          <w:jc w:val="center"/>
        </w:trPr>
        <w:tc>
          <w:tcPr>
            <w:tcW w:w="1128" w:type="dxa"/>
            <w:vMerge w:val="restart"/>
            <w:shd w:val="clear" w:color="auto" w:fill="auto"/>
            <w:noWrap/>
            <w:vAlign w:val="center"/>
            <w:hideMark/>
          </w:tcPr>
          <w:p w14:paraId="5D1128E6"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MW2</w:t>
            </w:r>
          </w:p>
        </w:tc>
        <w:tc>
          <w:tcPr>
            <w:tcW w:w="1431" w:type="dxa"/>
            <w:shd w:val="clear" w:color="auto" w:fill="auto"/>
            <w:noWrap/>
            <w:vAlign w:val="center"/>
            <w:hideMark/>
          </w:tcPr>
          <w:p w14:paraId="765AE66E" w14:textId="50D1F821" w:rsidR="00542AC2" w:rsidRPr="00B362EE" w:rsidRDefault="00542AC2" w:rsidP="00542AC2">
            <w:pPr>
              <w:jc w:val="center"/>
              <w:rPr>
                <w:rFonts w:ascii="Arial" w:hAnsi="Arial" w:cs="Arial"/>
                <w:color w:val="000000"/>
                <w:sz w:val="20"/>
                <w:szCs w:val="20"/>
              </w:rPr>
            </w:pPr>
            <w:proofErr w:type="spellStart"/>
            <w:r w:rsidRPr="00B362EE">
              <w:rPr>
                <w:rFonts w:ascii="Arial" w:hAnsi="Arial" w:cs="Arial"/>
                <w:color w:val="000000"/>
                <w:sz w:val="20"/>
                <w:szCs w:val="20"/>
              </w:rPr>
              <w:t>Oxacil</w:t>
            </w:r>
            <w:r>
              <w:rPr>
                <w:rFonts w:ascii="Arial" w:hAnsi="Arial" w:cs="Arial"/>
                <w:color w:val="000000"/>
                <w:sz w:val="20"/>
                <w:szCs w:val="20"/>
              </w:rPr>
              <w:t>ina</w:t>
            </w:r>
            <w:proofErr w:type="spellEnd"/>
          </w:p>
        </w:tc>
        <w:tc>
          <w:tcPr>
            <w:tcW w:w="1300" w:type="dxa"/>
            <w:shd w:val="clear" w:color="auto" w:fill="auto"/>
            <w:noWrap/>
            <w:vAlign w:val="center"/>
            <w:hideMark/>
          </w:tcPr>
          <w:p w14:paraId="1846F2DD"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48</w:t>
            </w:r>
          </w:p>
        </w:tc>
        <w:tc>
          <w:tcPr>
            <w:tcW w:w="1300" w:type="dxa"/>
            <w:shd w:val="clear" w:color="auto" w:fill="auto"/>
            <w:noWrap/>
            <w:vAlign w:val="center"/>
            <w:hideMark/>
          </w:tcPr>
          <w:p w14:paraId="74DFC726"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32</w:t>
            </w:r>
          </w:p>
        </w:tc>
        <w:tc>
          <w:tcPr>
            <w:tcW w:w="1300" w:type="dxa"/>
            <w:shd w:val="clear" w:color="auto" w:fill="auto"/>
            <w:noWrap/>
            <w:vAlign w:val="center"/>
            <w:hideMark/>
          </w:tcPr>
          <w:p w14:paraId="47E7E5DB"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32</w:t>
            </w:r>
          </w:p>
        </w:tc>
        <w:tc>
          <w:tcPr>
            <w:tcW w:w="1300" w:type="dxa"/>
            <w:shd w:val="clear" w:color="auto" w:fill="auto"/>
            <w:noWrap/>
            <w:vAlign w:val="center"/>
            <w:hideMark/>
          </w:tcPr>
          <w:p w14:paraId="2669CF83"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0.75</w:t>
            </w:r>
          </w:p>
        </w:tc>
        <w:tc>
          <w:tcPr>
            <w:tcW w:w="1300" w:type="dxa"/>
            <w:shd w:val="clear" w:color="auto" w:fill="auto"/>
            <w:noWrap/>
            <w:vAlign w:val="center"/>
            <w:hideMark/>
          </w:tcPr>
          <w:p w14:paraId="444A9CF8"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1</w:t>
            </w:r>
          </w:p>
        </w:tc>
        <w:tc>
          <w:tcPr>
            <w:tcW w:w="1300" w:type="dxa"/>
            <w:shd w:val="clear" w:color="auto" w:fill="auto"/>
            <w:noWrap/>
            <w:vAlign w:val="center"/>
            <w:hideMark/>
          </w:tcPr>
          <w:p w14:paraId="7D74C1C3"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0.75</w:t>
            </w:r>
          </w:p>
        </w:tc>
      </w:tr>
      <w:tr w:rsidR="00542AC2" w:rsidRPr="00B362EE" w14:paraId="6A1B3FE5" w14:textId="77777777" w:rsidTr="00E75CC3">
        <w:trPr>
          <w:trHeight w:val="320"/>
          <w:jc w:val="center"/>
        </w:trPr>
        <w:tc>
          <w:tcPr>
            <w:tcW w:w="1128" w:type="dxa"/>
            <w:vMerge/>
            <w:vAlign w:val="center"/>
            <w:hideMark/>
          </w:tcPr>
          <w:p w14:paraId="701D9480" w14:textId="77777777" w:rsidR="00542AC2" w:rsidRPr="00B362EE" w:rsidRDefault="00542AC2" w:rsidP="00542AC2">
            <w:pPr>
              <w:jc w:val="center"/>
              <w:rPr>
                <w:rFonts w:ascii="Arial" w:hAnsi="Arial" w:cs="Arial"/>
                <w:color w:val="000000"/>
                <w:sz w:val="20"/>
                <w:szCs w:val="20"/>
              </w:rPr>
            </w:pPr>
          </w:p>
        </w:tc>
        <w:tc>
          <w:tcPr>
            <w:tcW w:w="1431" w:type="dxa"/>
            <w:shd w:val="clear" w:color="auto" w:fill="auto"/>
            <w:noWrap/>
            <w:vAlign w:val="center"/>
            <w:hideMark/>
          </w:tcPr>
          <w:p w14:paraId="39D6F388" w14:textId="18680EC8" w:rsidR="00542AC2" w:rsidRPr="00B362EE" w:rsidRDefault="00542AC2" w:rsidP="00542AC2">
            <w:pPr>
              <w:jc w:val="center"/>
              <w:rPr>
                <w:rFonts w:ascii="Arial" w:hAnsi="Arial" w:cs="Arial"/>
                <w:color w:val="000000"/>
                <w:sz w:val="20"/>
                <w:szCs w:val="20"/>
              </w:rPr>
            </w:pPr>
            <w:proofErr w:type="spellStart"/>
            <w:r w:rsidRPr="00B362EE">
              <w:rPr>
                <w:rFonts w:ascii="Arial" w:hAnsi="Arial" w:cs="Arial"/>
                <w:color w:val="000000"/>
                <w:sz w:val="20"/>
                <w:szCs w:val="20"/>
              </w:rPr>
              <w:t>Rifampicin</w:t>
            </w:r>
            <w:r>
              <w:rPr>
                <w:rFonts w:ascii="Arial" w:hAnsi="Arial" w:cs="Arial"/>
                <w:color w:val="000000"/>
                <w:sz w:val="20"/>
                <w:szCs w:val="20"/>
              </w:rPr>
              <w:t>a</w:t>
            </w:r>
            <w:proofErr w:type="spellEnd"/>
          </w:p>
        </w:tc>
        <w:tc>
          <w:tcPr>
            <w:tcW w:w="1300" w:type="dxa"/>
            <w:shd w:val="clear" w:color="auto" w:fill="auto"/>
            <w:noWrap/>
            <w:vAlign w:val="center"/>
            <w:hideMark/>
          </w:tcPr>
          <w:p w14:paraId="06496AB9"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0.032</w:t>
            </w:r>
          </w:p>
        </w:tc>
        <w:tc>
          <w:tcPr>
            <w:tcW w:w="1300" w:type="dxa"/>
            <w:shd w:val="clear" w:color="auto" w:fill="auto"/>
            <w:noWrap/>
            <w:vAlign w:val="center"/>
            <w:hideMark/>
          </w:tcPr>
          <w:p w14:paraId="498FE52B"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0.047</w:t>
            </w:r>
          </w:p>
        </w:tc>
        <w:tc>
          <w:tcPr>
            <w:tcW w:w="1300" w:type="dxa"/>
            <w:shd w:val="clear" w:color="auto" w:fill="auto"/>
            <w:noWrap/>
            <w:vAlign w:val="center"/>
            <w:hideMark/>
          </w:tcPr>
          <w:p w14:paraId="305771AC"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0.064</w:t>
            </w:r>
          </w:p>
        </w:tc>
        <w:tc>
          <w:tcPr>
            <w:tcW w:w="1300" w:type="dxa"/>
            <w:shd w:val="clear" w:color="auto" w:fill="auto"/>
            <w:noWrap/>
            <w:vAlign w:val="center"/>
            <w:hideMark/>
          </w:tcPr>
          <w:p w14:paraId="25B09F2A"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0.023</w:t>
            </w:r>
          </w:p>
        </w:tc>
        <w:tc>
          <w:tcPr>
            <w:tcW w:w="1300" w:type="dxa"/>
            <w:shd w:val="clear" w:color="auto" w:fill="auto"/>
            <w:noWrap/>
            <w:vAlign w:val="center"/>
            <w:hideMark/>
          </w:tcPr>
          <w:p w14:paraId="03D6D345"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0.023</w:t>
            </w:r>
          </w:p>
        </w:tc>
        <w:tc>
          <w:tcPr>
            <w:tcW w:w="1300" w:type="dxa"/>
            <w:shd w:val="clear" w:color="auto" w:fill="auto"/>
            <w:noWrap/>
            <w:vAlign w:val="center"/>
            <w:hideMark/>
          </w:tcPr>
          <w:p w14:paraId="6373BCB4"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0.032</w:t>
            </w:r>
          </w:p>
        </w:tc>
      </w:tr>
      <w:tr w:rsidR="00542AC2" w:rsidRPr="00B362EE" w14:paraId="295DD953" w14:textId="77777777" w:rsidTr="00E75CC3">
        <w:trPr>
          <w:trHeight w:val="320"/>
          <w:jc w:val="center"/>
        </w:trPr>
        <w:tc>
          <w:tcPr>
            <w:tcW w:w="1128" w:type="dxa"/>
            <w:vMerge/>
            <w:vAlign w:val="center"/>
            <w:hideMark/>
          </w:tcPr>
          <w:p w14:paraId="326F33B8" w14:textId="77777777" w:rsidR="00542AC2" w:rsidRPr="00B362EE" w:rsidRDefault="00542AC2" w:rsidP="00542AC2">
            <w:pPr>
              <w:jc w:val="center"/>
              <w:rPr>
                <w:rFonts w:ascii="Arial" w:hAnsi="Arial" w:cs="Arial"/>
                <w:color w:val="000000"/>
                <w:sz w:val="20"/>
                <w:szCs w:val="20"/>
              </w:rPr>
            </w:pPr>
          </w:p>
        </w:tc>
        <w:tc>
          <w:tcPr>
            <w:tcW w:w="1431" w:type="dxa"/>
            <w:shd w:val="clear" w:color="auto" w:fill="auto"/>
            <w:noWrap/>
            <w:vAlign w:val="center"/>
            <w:hideMark/>
          </w:tcPr>
          <w:p w14:paraId="6F1FF986" w14:textId="3EF22F34" w:rsidR="00542AC2" w:rsidRPr="00B362EE" w:rsidRDefault="00542AC2" w:rsidP="00542AC2">
            <w:pPr>
              <w:jc w:val="center"/>
              <w:rPr>
                <w:rFonts w:ascii="Arial" w:hAnsi="Arial" w:cs="Arial"/>
                <w:color w:val="000000"/>
                <w:sz w:val="20"/>
                <w:szCs w:val="20"/>
              </w:rPr>
            </w:pPr>
            <w:proofErr w:type="spellStart"/>
            <w:r w:rsidRPr="00B362EE">
              <w:rPr>
                <w:rFonts w:ascii="Arial" w:hAnsi="Arial" w:cs="Arial"/>
                <w:color w:val="000000"/>
                <w:sz w:val="20"/>
                <w:szCs w:val="20"/>
              </w:rPr>
              <w:t>Mupirocin</w:t>
            </w:r>
            <w:r>
              <w:rPr>
                <w:rFonts w:ascii="Arial" w:hAnsi="Arial" w:cs="Arial"/>
                <w:color w:val="000000"/>
                <w:sz w:val="20"/>
                <w:szCs w:val="20"/>
              </w:rPr>
              <w:t>a</w:t>
            </w:r>
            <w:proofErr w:type="spellEnd"/>
          </w:p>
        </w:tc>
        <w:tc>
          <w:tcPr>
            <w:tcW w:w="1300" w:type="dxa"/>
            <w:shd w:val="clear" w:color="auto" w:fill="auto"/>
            <w:noWrap/>
            <w:vAlign w:val="center"/>
            <w:hideMark/>
          </w:tcPr>
          <w:p w14:paraId="38B48829"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0.5</w:t>
            </w:r>
          </w:p>
        </w:tc>
        <w:tc>
          <w:tcPr>
            <w:tcW w:w="1300" w:type="dxa"/>
            <w:shd w:val="clear" w:color="auto" w:fill="auto"/>
            <w:noWrap/>
            <w:vAlign w:val="center"/>
            <w:hideMark/>
          </w:tcPr>
          <w:p w14:paraId="00D857C1"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0.25</w:t>
            </w:r>
          </w:p>
        </w:tc>
        <w:tc>
          <w:tcPr>
            <w:tcW w:w="1300" w:type="dxa"/>
            <w:shd w:val="clear" w:color="auto" w:fill="auto"/>
            <w:noWrap/>
            <w:vAlign w:val="center"/>
            <w:hideMark/>
          </w:tcPr>
          <w:p w14:paraId="06AB25D6"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0.5</w:t>
            </w:r>
          </w:p>
        </w:tc>
        <w:tc>
          <w:tcPr>
            <w:tcW w:w="1300" w:type="dxa"/>
            <w:shd w:val="clear" w:color="auto" w:fill="auto"/>
            <w:noWrap/>
            <w:vAlign w:val="center"/>
            <w:hideMark/>
          </w:tcPr>
          <w:p w14:paraId="6ED74859"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0.38</w:t>
            </w:r>
          </w:p>
        </w:tc>
        <w:tc>
          <w:tcPr>
            <w:tcW w:w="1300" w:type="dxa"/>
            <w:shd w:val="clear" w:color="auto" w:fill="auto"/>
            <w:noWrap/>
            <w:vAlign w:val="center"/>
            <w:hideMark/>
          </w:tcPr>
          <w:p w14:paraId="53FF8037"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0.38</w:t>
            </w:r>
          </w:p>
        </w:tc>
        <w:tc>
          <w:tcPr>
            <w:tcW w:w="1300" w:type="dxa"/>
            <w:shd w:val="clear" w:color="auto" w:fill="auto"/>
            <w:noWrap/>
            <w:vAlign w:val="center"/>
            <w:hideMark/>
          </w:tcPr>
          <w:p w14:paraId="0BE69E91"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0.25</w:t>
            </w:r>
          </w:p>
        </w:tc>
      </w:tr>
      <w:tr w:rsidR="00542AC2" w:rsidRPr="00B362EE" w14:paraId="2B141065" w14:textId="77777777" w:rsidTr="00E75CC3">
        <w:trPr>
          <w:trHeight w:val="320"/>
          <w:jc w:val="center"/>
        </w:trPr>
        <w:tc>
          <w:tcPr>
            <w:tcW w:w="1128" w:type="dxa"/>
            <w:vMerge/>
            <w:vAlign w:val="center"/>
            <w:hideMark/>
          </w:tcPr>
          <w:p w14:paraId="106704EB" w14:textId="77777777" w:rsidR="00542AC2" w:rsidRPr="00B362EE" w:rsidRDefault="00542AC2" w:rsidP="00542AC2">
            <w:pPr>
              <w:jc w:val="center"/>
              <w:rPr>
                <w:rFonts w:ascii="Arial" w:hAnsi="Arial" w:cs="Arial"/>
                <w:color w:val="000000"/>
                <w:sz w:val="20"/>
                <w:szCs w:val="20"/>
              </w:rPr>
            </w:pPr>
          </w:p>
        </w:tc>
        <w:tc>
          <w:tcPr>
            <w:tcW w:w="1431" w:type="dxa"/>
            <w:shd w:val="clear" w:color="auto" w:fill="auto"/>
            <w:noWrap/>
            <w:vAlign w:val="center"/>
            <w:hideMark/>
          </w:tcPr>
          <w:p w14:paraId="5B3474F3" w14:textId="4A19E6C8" w:rsidR="00542AC2" w:rsidRPr="00B362EE" w:rsidRDefault="00542AC2" w:rsidP="00542AC2">
            <w:pPr>
              <w:jc w:val="center"/>
              <w:rPr>
                <w:rFonts w:ascii="Arial" w:hAnsi="Arial" w:cs="Arial"/>
                <w:color w:val="000000"/>
                <w:sz w:val="20"/>
                <w:szCs w:val="20"/>
              </w:rPr>
            </w:pPr>
            <w:proofErr w:type="spellStart"/>
            <w:r w:rsidRPr="00B362EE">
              <w:rPr>
                <w:rFonts w:ascii="Arial" w:hAnsi="Arial" w:cs="Arial"/>
                <w:color w:val="000000"/>
                <w:sz w:val="20"/>
                <w:szCs w:val="20"/>
              </w:rPr>
              <w:t>Er</w:t>
            </w:r>
            <w:r>
              <w:rPr>
                <w:rFonts w:ascii="Arial" w:hAnsi="Arial" w:cs="Arial"/>
                <w:color w:val="000000"/>
                <w:sz w:val="20"/>
                <w:szCs w:val="20"/>
              </w:rPr>
              <w:t>itromicina</w:t>
            </w:r>
            <w:proofErr w:type="spellEnd"/>
          </w:p>
        </w:tc>
        <w:tc>
          <w:tcPr>
            <w:tcW w:w="1300" w:type="dxa"/>
            <w:shd w:val="clear" w:color="auto" w:fill="auto"/>
            <w:noWrap/>
            <w:vAlign w:val="center"/>
            <w:hideMark/>
          </w:tcPr>
          <w:p w14:paraId="0677765B"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1</w:t>
            </w:r>
          </w:p>
        </w:tc>
        <w:tc>
          <w:tcPr>
            <w:tcW w:w="1300" w:type="dxa"/>
            <w:shd w:val="clear" w:color="auto" w:fill="auto"/>
            <w:noWrap/>
            <w:vAlign w:val="center"/>
            <w:hideMark/>
          </w:tcPr>
          <w:p w14:paraId="30044000"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0.75</w:t>
            </w:r>
          </w:p>
        </w:tc>
        <w:tc>
          <w:tcPr>
            <w:tcW w:w="1300" w:type="dxa"/>
            <w:shd w:val="clear" w:color="auto" w:fill="auto"/>
            <w:noWrap/>
            <w:vAlign w:val="center"/>
            <w:hideMark/>
          </w:tcPr>
          <w:p w14:paraId="2E1809A8"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0.75</w:t>
            </w:r>
          </w:p>
        </w:tc>
        <w:tc>
          <w:tcPr>
            <w:tcW w:w="1300" w:type="dxa"/>
            <w:shd w:val="clear" w:color="auto" w:fill="auto"/>
            <w:noWrap/>
            <w:vAlign w:val="center"/>
            <w:hideMark/>
          </w:tcPr>
          <w:p w14:paraId="6B373AB6"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0.25</w:t>
            </w:r>
          </w:p>
        </w:tc>
        <w:tc>
          <w:tcPr>
            <w:tcW w:w="1300" w:type="dxa"/>
            <w:shd w:val="clear" w:color="auto" w:fill="auto"/>
            <w:noWrap/>
            <w:vAlign w:val="center"/>
            <w:hideMark/>
          </w:tcPr>
          <w:p w14:paraId="40D4394D"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0.5</w:t>
            </w:r>
          </w:p>
        </w:tc>
        <w:tc>
          <w:tcPr>
            <w:tcW w:w="1300" w:type="dxa"/>
            <w:shd w:val="clear" w:color="auto" w:fill="auto"/>
            <w:noWrap/>
            <w:vAlign w:val="center"/>
            <w:hideMark/>
          </w:tcPr>
          <w:p w14:paraId="28A70914"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0.25</w:t>
            </w:r>
          </w:p>
        </w:tc>
      </w:tr>
      <w:tr w:rsidR="00542AC2" w:rsidRPr="00B362EE" w14:paraId="6C67350F" w14:textId="77777777" w:rsidTr="00E75CC3">
        <w:trPr>
          <w:trHeight w:val="320"/>
          <w:jc w:val="center"/>
        </w:trPr>
        <w:tc>
          <w:tcPr>
            <w:tcW w:w="1128" w:type="dxa"/>
            <w:vMerge/>
            <w:vAlign w:val="center"/>
            <w:hideMark/>
          </w:tcPr>
          <w:p w14:paraId="3BC5BB26" w14:textId="77777777" w:rsidR="00542AC2" w:rsidRPr="00B362EE" w:rsidRDefault="00542AC2" w:rsidP="00542AC2">
            <w:pPr>
              <w:jc w:val="center"/>
              <w:rPr>
                <w:rFonts w:ascii="Arial" w:hAnsi="Arial" w:cs="Arial"/>
                <w:color w:val="000000"/>
                <w:sz w:val="20"/>
                <w:szCs w:val="20"/>
              </w:rPr>
            </w:pPr>
          </w:p>
        </w:tc>
        <w:tc>
          <w:tcPr>
            <w:tcW w:w="1431" w:type="dxa"/>
            <w:shd w:val="clear" w:color="auto" w:fill="auto"/>
            <w:noWrap/>
            <w:vAlign w:val="center"/>
            <w:hideMark/>
          </w:tcPr>
          <w:p w14:paraId="2BA96D15" w14:textId="3A8DCA5D" w:rsidR="00542AC2" w:rsidRPr="00B362EE" w:rsidRDefault="00542AC2" w:rsidP="00542AC2">
            <w:pPr>
              <w:jc w:val="center"/>
              <w:rPr>
                <w:rFonts w:ascii="Arial" w:hAnsi="Arial" w:cs="Arial"/>
                <w:color w:val="000000"/>
                <w:sz w:val="20"/>
                <w:szCs w:val="20"/>
              </w:rPr>
            </w:pPr>
            <w:proofErr w:type="spellStart"/>
            <w:r w:rsidRPr="00B362EE">
              <w:rPr>
                <w:rFonts w:ascii="Arial" w:hAnsi="Arial" w:cs="Arial"/>
                <w:color w:val="000000"/>
                <w:sz w:val="20"/>
                <w:szCs w:val="20"/>
              </w:rPr>
              <w:t>Teicoplanin</w:t>
            </w:r>
            <w:r>
              <w:rPr>
                <w:rFonts w:ascii="Arial" w:hAnsi="Arial" w:cs="Arial"/>
                <w:color w:val="000000"/>
                <w:sz w:val="20"/>
                <w:szCs w:val="20"/>
              </w:rPr>
              <w:t>a</w:t>
            </w:r>
            <w:proofErr w:type="spellEnd"/>
          </w:p>
        </w:tc>
        <w:tc>
          <w:tcPr>
            <w:tcW w:w="1300" w:type="dxa"/>
            <w:shd w:val="clear" w:color="auto" w:fill="auto"/>
            <w:noWrap/>
            <w:vAlign w:val="center"/>
            <w:hideMark/>
          </w:tcPr>
          <w:p w14:paraId="1DCA9506"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2</w:t>
            </w:r>
          </w:p>
        </w:tc>
        <w:tc>
          <w:tcPr>
            <w:tcW w:w="1300" w:type="dxa"/>
            <w:shd w:val="clear" w:color="auto" w:fill="auto"/>
            <w:noWrap/>
            <w:vAlign w:val="center"/>
            <w:hideMark/>
          </w:tcPr>
          <w:p w14:paraId="7FC3CB36"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1.5</w:t>
            </w:r>
          </w:p>
        </w:tc>
        <w:tc>
          <w:tcPr>
            <w:tcW w:w="1300" w:type="dxa"/>
            <w:shd w:val="clear" w:color="auto" w:fill="auto"/>
            <w:noWrap/>
            <w:vAlign w:val="center"/>
            <w:hideMark/>
          </w:tcPr>
          <w:p w14:paraId="1557D420"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1.5</w:t>
            </w:r>
          </w:p>
        </w:tc>
        <w:tc>
          <w:tcPr>
            <w:tcW w:w="1300" w:type="dxa"/>
            <w:shd w:val="clear" w:color="auto" w:fill="auto"/>
            <w:noWrap/>
            <w:vAlign w:val="center"/>
            <w:hideMark/>
          </w:tcPr>
          <w:p w14:paraId="65718CB1"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1.5</w:t>
            </w:r>
          </w:p>
        </w:tc>
        <w:tc>
          <w:tcPr>
            <w:tcW w:w="1300" w:type="dxa"/>
            <w:shd w:val="clear" w:color="auto" w:fill="auto"/>
            <w:noWrap/>
            <w:vAlign w:val="center"/>
            <w:hideMark/>
          </w:tcPr>
          <w:p w14:paraId="502F3D90"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1</w:t>
            </w:r>
          </w:p>
        </w:tc>
        <w:tc>
          <w:tcPr>
            <w:tcW w:w="1300" w:type="dxa"/>
            <w:shd w:val="clear" w:color="auto" w:fill="auto"/>
            <w:noWrap/>
            <w:vAlign w:val="center"/>
            <w:hideMark/>
          </w:tcPr>
          <w:p w14:paraId="3F59A04B"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1</w:t>
            </w:r>
          </w:p>
        </w:tc>
      </w:tr>
      <w:tr w:rsidR="00542AC2" w:rsidRPr="00B362EE" w14:paraId="6AD2D065" w14:textId="77777777" w:rsidTr="00E75CC3">
        <w:trPr>
          <w:trHeight w:val="320"/>
          <w:jc w:val="center"/>
        </w:trPr>
        <w:tc>
          <w:tcPr>
            <w:tcW w:w="1128" w:type="dxa"/>
            <w:vMerge/>
            <w:vAlign w:val="center"/>
            <w:hideMark/>
          </w:tcPr>
          <w:p w14:paraId="4E6B7C28" w14:textId="77777777" w:rsidR="00542AC2" w:rsidRPr="00B362EE" w:rsidRDefault="00542AC2" w:rsidP="00542AC2">
            <w:pPr>
              <w:jc w:val="center"/>
              <w:rPr>
                <w:rFonts w:ascii="Arial" w:hAnsi="Arial" w:cs="Arial"/>
                <w:color w:val="000000"/>
                <w:sz w:val="20"/>
                <w:szCs w:val="20"/>
              </w:rPr>
            </w:pPr>
          </w:p>
        </w:tc>
        <w:tc>
          <w:tcPr>
            <w:tcW w:w="1431" w:type="dxa"/>
            <w:shd w:val="clear" w:color="auto" w:fill="auto"/>
            <w:noWrap/>
            <w:vAlign w:val="center"/>
            <w:hideMark/>
          </w:tcPr>
          <w:p w14:paraId="0C86E02E" w14:textId="49AA3C20" w:rsidR="00542AC2" w:rsidRPr="00B362EE" w:rsidRDefault="00542AC2" w:rsidP="00542AC2">
            <w:pPr>
              <w:jc w:val="center"/>
              <w:rPr>
                <w:rFonts w:ascii="Arial" w:hAnsi="Arial" w:cs="Arial"/>
                <w:color w:val="000000"/>
                <w:sz w:val="20"/>
                <w:szCs w:val="20"/>
              </w:rPr>
            </w:pPr>
            <w:proofErr w:type="spellStart"/>
            <w:r w:rsidRPr="00B362EE">
              <w:rPr>
                <w:rFonts w:ascii="Arial" w:hAnsi="Arial" w:cs="Arial"/>
                <w:color w:val="000000"/>
                <w:sz w:val="20"/>
                <w:szCs w:val="20"/>
              </w:rPr>
              <w:t>Fosfom</w:t>
            </w:r>
            <w:r>
              <w:rPr>
                <w:rFonts w:ascii="Arial" w:hAnsi="Arial" w:cs="Arial"/>
                <w:color w:val="000000"/>
                <w:sz w:val="20"/>
                <w:szCs w:val="20"/>
              </w:rPr>
              <w:t>icina</w:t>
            </w:r>
            <w:proofErr w:type="spellEnd"/>
          </w:p>
        </w:tc>
        <w:tc>
          <w:tcPr>
            <w:tcW w:w="1300" w:type="dxa"/>
            <w:shd w:val="clear" w:color="auto" w:fill="auto"/>
            <w:noWrap/>
            <w:vAlign w:val="center"/>
            <w:hideMark/>
          </w:tcPr>
          <w:p w14:paraId="2D52E96D"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1</w:t>
            </w:r>
          </w:p>
        </w:tc>
        <w:tc>
          <w:tcPr>
            <w:tcW w:w="1300" w:type="dxa"/>
            <w:shd w:val="clear" w:color="auto" w:fill="auto"/>
            <w:noWrap/>
            <w:vAlign w:val="center"/>
            <w:hideMark/>
          </w:tcPr>
          <w:p w14:paraId="60D1D496"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1.5</w:t>
            </w:r>
          </w:p>
        </w:tc>
        <w:tc>
          <w:tcPr>
            <w:tcW w:w="1300" w:type="dxa"/>
            <w:shd w:val="clear" w:color="auto" w:fill="auto"/>
            <w:noWrap/>
            <w:vAlign w:val="center"/>
            <w:hideMark/>
          </w:tcPr>
          <w:p w14:paraId="6CD55E19"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1.5</w:t>
            </w:r>
          </w:p>
        </w:tc>
        <w:tc>
          <w:tcPr>
            <w:tcW w:w="1300" w:type="dxa"/>
            <w:shd w:val="clear" w:color="auto" w:fill="auto"/>
            <w:noWrap/>
            <w:vAlign w:val="center"/>
            <w:hideMark/>
          </w:tcPr>
          <w:p w14:paraId="5087DC98"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0.5</w:t>
            </w:r>
          </w:p>
        </w:tc>
        <w:tc>
          <w:tcPr>
            <w:tcW w:w="1300" w:type="dxa"/>
            <w:shd w:val="clear" w:color="auto" w:fill="auto"/>
            <w:noWrap/>
            <w:vAlign w:val="center"/>
            <w:hideMark/>
          </w:tcPr>
          <w:p w14:paraId="07268246"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1</w:t>
            </w:r>
          </w:p>
        </w:tc>
        <w:tc>
          <w:tcPr>
            <w:tcW w:w="1300" w:type="dxa"/>
            <w:shd w:val="clear" w:color="auto" w:fill="auto"/>
            <w:noWrap/>
            <w:vAlign w:val="center"/>
            <w:hideMark/>
          </w:tcPr>
          <w:p w14:paraId="6B605CBE"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1</w:t>
            </w:r>
          </w:p>
        </w:tc>
      </w:tr>
      <w:tr w:rsidR="00542AC2" w:rsidRPr="00B362EE" w14:paraId="30ED388E" w14:textId="77777777" w:rsidTr="00E75CC3">
        <w:trPr>
          <w:trHeight w:val="320"/>
          <w:jc w:val="center"/>
        </w:trPr>
        <w:tc>
          <w:tcPr>
            <w:tcW w:w="1128" w:type="dxa"/>
            <w:vMerge/>
            <w:vAlign w:val="center"/>
          </w:tcPr>
          <w:p w14:paraId="349197C5" w14:textId="77777777" w:rsidR="00542AC2" w:rsidRPr="00B362EE" w:rsidRDefault="00542AC2" w:rsidP="00542AC2">
            <w:pPr>
              <w:jc w:val="center"/>
              <w:rPr>
                <w:rFonts w:ascii="Arial" w:hAnsi="Arial" w:cs="Arial"/>
                <w:color w:val="000000"/>
                <w:sz w:val="20"/>
                <w:szCs w:val="20"/>
              </w:rPr>
            </w:pPr>
          </w:p>
        </w:tc>
        <w:tc>
          <w:tcPr>
            <w:tcW w:w="1431" w:type="dxa"/>
            <w:shd w:val="clear" w:color="auto" w:fill="auto"/>
            <w:noWrap/>
            <w:vAlign w:val="center"/>
          </w:tcPr>
          <w:p w14:paraId="50783BC1" w14:textId="5A2E1A8E" w:rsidR="00542AC2" w:rsidRPr="00B362EE" w:rsidRDefault="00542AC2" w:rsidP="00542AC2">
            <w:pPr>
              <w:jc w:val="center"/>
              <w:rPr>
                <w:rFonts w:ascii="Arial" w:hAnsi="Arial" w:cs="Arial"/>
                <w:color w:val="000000"/>
                <w:sz w:val="20"/>
                <w:szCs w:val="20"/>
              </w:rPr>
            </w:pPr>
            <w:proofErr w:type="spellStart"/>
            <w:r>
              <w:rPr>
                <w:rFonts w:ascii="Arial" w:hAnsi="Arial" w:cs="Arial"/>
                <w:color w:val="000000"/>
                <w:sz w:val="20"/>
                <w:szCs w:val="20"/>
              </w:rPr>
              <w:t>Daptomicina</w:t>
            </w:r>
            <w:proofErr w:type="spellEnd"/>
          </w:p>
        </w:tc>
        <w:tc>
          <w:tcPr>
            <w:tcW w:w="1300" w:type="dxa"/>
            <w:shd w:val="clear" w:color="auto" w:fill="auto"/>
            <w:noWrap/>
            <w:vAlign w:val="center"/>
          </w:tcPr>
          <w:p w14:paraId="2F993720" w14:textId="77777777" w:rsidR="00542AC2" w:rsidRPr="00B362EE" w:rsidRDefault="00542AC2" w:rsidP="00542AC2">
            <w:pPr>
              <w:jc w:val="center"/>
              <w:rPr>
                <w:rFonts w:ascii="Arial" w:hAnsi="Arial" w:cs="Arial"/>
                <w:color w:val="000000"/>
                <w:sz w:val="20"/>
                <w:szCs w:val="20"/>
              </w:rPr>
            </w:pPr>
            <w:r>
              <w:rPr>
                <w:rFonts w:ascii="Arial" w:hAnsi="Arial" w:cs="Arial"/>
                <w:color w:val="000000"/>
                <w:sz w:val="20"/>
                <w:szCs w:val="20"/>
              </w:rPr>
              <w:t>1.5</w:t>
            </w:r>
          </w:p>
        </w:tc>
        <w:tc>
          <w:tcPr>
            <w:tcW w:w="1300" w:type="dxa"/>
            <w:shd w:val="clear" w:color="auto" w:fill="auto"/>
            <w:noWrap/>
            <w:vAlign w:val="center"/>
          </w:tcPr>
          <w:p w14:paraId="23E4A290" w14:textId="77777777" w:rsidR="00542AC2" w:rsidRPr="00B362EE" w:rsidRDefault="00542AC2" w:rsidP="00542AC2">
            <w:pPr>
              <w:jc w:val="center"/>
              <w:rPr>
                <w:rFonts w:ascii="Arial" w:hAnsi="Arial" w:cs="Arial"/>
                <w:color w:val="000000"/>
                <w:sz w:val="20"/>
                <w:szCs w:val="20"/>
              </w:rPr>
            </w:pPr>
            <w:r>
              <w:rPr>
                <w:rFonts w:ascii="Arial" w:hAnsi="Arial" w:cs="Arial"/>
                <w:color w:val="000000"/>
                <w:sz w:val="20"/>
                <w:szCs w:val="20"/>
              </w:rPr>
              <w:t>2</w:t>
            </w:r>
          </w:p>
        </w:tc>
        <w:tc>
          <w:tcPr>
            <w:tcW w:w="1300" w:type="dxa"/>
            <w:shd w:val="clear" w:color="auto" w:fill="auto"/>
            <w:noWrap/>
            <w:vAlign w:val="center"/>
          </w:tcPr>
          <w:p w14:paraId="153D4349" w14:textId="77777777" w:rsidR="00542AC2" w:rsidRPr="00B362EE" w:rsidRDefault="00542AC2" w:rsidP="00542AC2">
            <w:pPr>
              <w:jc w:val="center"/>
              <w:rPr>
                <w:rFonts w:ascii="Arial" w:hAnsi="Arial" w:cs="Arial"/>
                <w:color w:val="000000"/>
                <w:sz w:val="20"/>
                <w:szCs w:val="20"/>
              </w:rPr>
            </w:pPr>
            <w:r>
              <w:rPr>
                <w:rFonts w:ascii="Arial" w:hAnsi="Arial" w:cs="Arial"/>
                <w:color w:val="000000"/>
                <w:sz w:val="20"/>
                <w:szCs w:val="20"/>
              </w:rPr>
              <w:t>1.5</w:t>
            </w:r>
          </w:p>
        </w:tc>
        <w:tc>
          <w:tcPr>
            <w:tcW w:w="1300" w:type="dxa"/>
            <w:shd w:val="clear" w:color="auto" w:fill="auto"/>
            <w:noWrap/>
            <w:vAlign w:val="center"/>
          </w:tcPr>
          <w:p w14:paraId="6A4AFA3E" w14:textId="77777777" w:rsidR="00542AC2" w:rsidRPr="00B362EE" w:rsidRDefault="00542AC2" w:rsidP="00542AC2">
            <w:pPr>
              <w:jc w:val="center"/>
              <w:rPr>
                <w:rFonts w:ascii="Arial" w:hAnsi="Arial" w:cs="Arial"/>
                <w:color w:val="000000"/>
                <w:sz w:val="20"/>
                <w:szCs w:val="20"/>
              </w:rPr>
            </w:pPr>
            <w:r>
              <w:rPr>
                <w:rFonts w:ascii="Arial" w:hAnsi="Arial" w:cs="Arial"/>
                <w:color w:val="000000"/>
                <w:sz w:val="20"/>
                <w:szCs w:val="20"/>
              </w:rPr>
              <w:t>0.75</w:t>
            </w:r>
          </w:p>
        </w:tc>
        <w:tc>
          <w:tcPr>
            <w:tcW w:w="1300" w:type="dxa"/>
            <w:shd w:val="clear" w:color="auto" w:fill="auto"/>
            <w:noWrap/>
            <w:vAlign w:val="center"/>
          </w:tcPr>
          <w:p w14:paraId="596F1B9A" w14:textId="77777777" w:rsidR="00542AC2" w:rsidRPr="00B362EE" w:rsidRDefault="00542AC2" w:rsidP="00542AC2">
            <w:pPr>
              <w:jc w:val="center"/>
              <w:rPr>
                <w:rFonts w:ascii="Arial" w:hAnsi="Arial" w:cs="Arial"/>
                <w:color w:val="000000"/>
                <w:sz w:val="20"/>
                <w:szCs w:val="20"/>
              </w:rPr>
            </w:pPr>
            <w:r>
              <w:rPr>
                <w:rFonts w:ascii="Arial" w:hAnsi="Arial" w:cs="Arial"/>
                <w:color w:val="000000"/>
                <w:sz w:val="20"/>
                <w:szCs w:val="20"/>
              </w:rPr>
              <w:t>0.5</w:t>
            </w:r>
          </w:p>
        </w:tc>
        <w:tc>
          <w:tcPr>
            <w:tcW w:w="1300" w:type="dxa"/>
            <w:shd w:val="clear" w:color="auto" w:fill="auto"/>
            <w:noWrap/>
            <w:vAlign w:val="center"/>
          </w:tcPr>
          <w:p w14:paraId="1682BF2F" w14:textId="77777777" w:rsidR="00542AC2" w:rsidRPr="00B362EE" w:rsidRDefault="00542AC2" w:rsidP="00542AC2">
            <w:pPr>
              <w:jc w:val="center"/>
              <w:rPr>
                <w:rFonts w:ascii="Arial" w:hAnsi="Arial" w:cs="Arial"/>
                <w:color w:val="000000"/>
                <w:sz w:val="20"/>
                <w:szCs w:val="20"/>
              </w:rPr>
            </w:pPr>
            <w:r>
              <w:rPr>
                <w:rFonts w:ascii="Arial" w:hAnsi="Arial" w:cs="Arial"/>
                <w:color w:val="000000"/>
                <w:sz w:val="20"/>
                <w:szCs w:val="20"/>
              </w:rPr>
              <w:t>3</w:t>
            </w:r>
          </w:p>
        </w:tc>
      </w:tr>
      <w:tr w:rsidR="00542AC2" w:rsidRPr="00B362EE" w14:paraId="5E38BB7A" w14:textId="77777777" w:rsidTr="00E75CC3">
        <w:trPr>
          <w:trHeight w:val="320"/>
          <w:jc w:val="center"/>
        </w:trPr>
        <w:tc>
          <w:tcPr>
            <w:tcW w:w="1128" w:type="dxa"/>
            <w:vMerge w:val="restart"/>
            <w:shd w:val="clear" w:color="auto" w:fill="auto"/>
            <w:noWrap/>
            <w:vAlign w:val="center"/>
            <w:hideMark/>
          </w:tcPr>
          <w:p w14:paraId="179F6832"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LAC</w:t>
            </w:r>
          </w:p>
        </w:tc>
        <w:tc>
          <w:tcPr>
            <w:tcW w:w="1431" w:type="dxa"/>
            <w:shd w:val="clear" w:color="auto" w:fill="auto"/>
            <w:noWrap/>
            <w:vAlign w:val="center"/>
            <w:hideMark/>
          </w:tcPr>
          <w:p w14:paraId="596CFA03" w14:textId="7CFF915D" w:rsidR="00542AC2" w:rsidRPr="00B362EE" w:rsidRDefault="00542AC2" w:rsidP="00542AC2">
            <w:pPr>
              <w:jc w:val="center"/>
              <w:rPr>
                <w:rFonts w:ascii="Arial" w:hAnsi="Arial" w:cs="Arial"/>
                <w:color w:val="000000"/>
                <w:sz w:val="20"/>
                <w:szCs w:val="20"/>
              </w:rPr>
            </w:pPr>
            <w:proofErr w:type="spellStart"/>
            <w:r w:rsidRPr="00B362EE">
              <w:rPr>
                <w:rFonts w:ascii="Arial" w:hAnsi="Arial" w:cs="Arial"/>
                <w:color w:val="000000"/>
                <w:sz w:val="20"/>
                <w:szCs w:val="20"/>
              </w:rPr>
              <w:t>Oxacil</w:t>
            </w:r>
            <w:r>
              <w:rPr>
                <w:rFonts w:ascii="Arial" w:hAnsi="Arial" w:cs="Arial"/>
                <w:color w:val="000000"/>
                <w:sz w:val="20"/>
                <w:szCs w:val="20"/>
              </w:rPr>
              <w:t>ina</w:t>
            </w:r>
            <w:proofErr w:type="spellEnd"/>
          </w:p>
        </w:tc>
        <w:tc>
          <w:tcPr>
            <w:tcW w:w="1300" w:type="dxa"/>
            <w:shd w:val="clear" w:color="auto" w:fill="auto"/>
            <w:noWrap/>
            <w:vAlign w:val="center"/>
            <w:hideMark/>
          </w:tcPr>
          <w:p w14:paraId="44C0399A"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48</w:t>
            </w:r>
          </w:p>
        </w:tc>
        <w:tc>
          <w:tcPr>
            <w:tcW w:w="1300" w:type="dxa"/>
            <w:shd w:val="clear" w:color="auto" w:fill="auto"/>
            <w:noWrap/>
            <w:vAlign w:val="center"/>
            <w:hideMark/>
          </w:tcPr>
          <w:p w14:paraId="1D6EB418"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24</w:t>
            </w:r>
          </w:p>
        </w:tc>
        <w:tc>
          <w:tcPr>
            <w:tcW w:w="1300" w:type="dxa"/>
            <w:shd w:val="clear" w:color="auto" w:fill="auto"/>
            <w:noWrap/>
            <w:vAlign w:val="center"/>
            <w:hideMark/>
          </w:tcPr>
          <w:p w14:paraId="3AFFCCD1"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64</w:t>
            </w:r>
          </w:p>
        </w:tc>
        <w:tc>
          <w:tcPr>
            <w:tcW w:w="1300" w:type="dxa"/>
            <w:shd w:val="clear" w:color="auto" w:fill="auto"/>
            <w:noWrap/>
            <w:vAlign w:val="center"/>
            <w:hideMark/>
          </w:tcPr>
          <w:p w14:paraId="02614E70"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0.19</w:t>
            </w:r>
          </w:p>
        </w:tc>
        <w:tc>
          <w:tcPr>
            <w:tcW w:w="1300" w:type="dxa"/>
            <w:shd w:val="clear" w:color="auto" w:fill="auto"/>
            <w:noWrap/>
            <w:vAlign w:val="center"/>
            <w:hideMark/>
          </w:tcPr>
          <w:p w14:paraId="6A0AD05D"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0.064</w:t>
            </w:r>
          </w:p>
        </w:tc>
        <w:tc>
          <w:tcPr>
            <w:tcW w:w="1300" w:type="dxa"/>
            <w:shd w:val="clear" w:color="auto" w:fill="auto"/>
            <w:noWrap/>
            <w:vAlign w:val="center"/>
            <w:hideMark/>
          </w:tcPr>
          <w:p w14:paraId="3BE86A09"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0.047</w:t>
            </w:r>
          </w:p>
        </w:tc>
      </w:tr>
      <w:tr w:rsidR="00542AC2" w:rsidRPr="00B362EE" w14:paraId="5332F48E" w14:textId="77777777" w:rsidTr="00E75CC3">
        <w:trPr>
          <w:trHeight w:val="320"/>
          <w:jc w:val="center"/>
        </w:trPr>
        <w:tc>
          <w:tcPr>
            <w:tcW w:w="1128" w:type="dxa"/>
            <w:vMerge/>
            <w:vAlign w:val="center"/>
            <w:hideMark/>
          </w:tcPr>
          <w:p w14:paraId="417D19DA" w14:textId="77777777" w:rsidR="00542AC2" w:rsidRPr="00B362EE" w:rsidRDefault="00542AC2" w:rsidP="00542AC2">
            <w:pPr>
              <w:jc w:val="center"/>
              <w:rPr>
                <w:rFonts w:ascii="Arial" w:hAnsi="Arial" w:cs="Arial"/>
                <w:color w:val="000000"/>
                <w:sz w:val="20"/>
                <w:szCs w:val="20"/>
              </w:rPr>
            </w:pPr>
          </w:p>
        </w:tc>
        <w:tc>
          <w:tcPr>
            <w:tcW w:w="1431" w:type="dxa"/>
            <w:shd w:val="clear" w:color="auto" w:fill="auto"/>
            <w:noWrap/>
            <w:vAlign w:val="center"/>
            <w:hideMark/>
          </w:tcPr>
          <w:p w14:paraId="77559490" w14:textId="7542669F" w:rsidR="00542AC2" w:rsidRPr="00B362EE" w:rsidRDefault="00542AC2" w:rsidP="00542AC2">
            <w:pPr>
              <w:jc w:val="center"/>
              <w:rPr>
                <w:rFonts w:ascii="Arial" w:hAnsi="Arial" w:cs="Arial"/>
                <w:color w:val="000000"/>
                <w:sz w:val="20"/>
                <w:szCs w:val="20"/>
              </w:rPr>
            </w:pPr>
            <w:proofErr w:type="spellStart"/>
            <w:r w:rsidRPr="00B362EE">
              <w:rPr>
                <w:rFonts w:ascii="Arial" w:hAnsi="Arial" w:cs="Arial"/>
                <w:color w:val="000000"/>
                <w:sz w:val="20"/>
                <w:szCs w:val="20"/>
              </w:rPr>
              <w:t>Rifampicin</w:t>
            </w:r>
            <w:r>
              <w:rPr>
                <w:rFonts w:ascii="Arial" w:hAnsi="Arial" w:cs="Arial"/>
                <w:color w:val="000000"/>
                <w:sz w:val="20"/>
                <w:szCs w:val="20"/>
              </w:rPr>
              <w:t>a</w:t>
            </w:r>
            <w:proofErr w:type="spellEnd"/>
          </w:p>
        </w:tc>
        <w:tc>
          <w:tcPr>
            <w:tcW w:w="1300" w:type="dxa"/>
            <w:shd w:val="clear" w:color="auto" w:fill="auto"/>
            <w:noWrap/>
            <w:vAlign w:val="center"/>
            <w:hideMark/>
          </w:tcPr>
          <w:p w14:paraId="29314662"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0.047</w:t>
            </w:r>
          </w:p>
        </w:tc>
        <w:tc>
          <w:tcPr>
            <w:tcW w:w="1300" w:type="dxa"/>
            <w:shd w:val="clear" w:color="auto" w:fill="auto"/>
            <w:noWrap/>
            <w:vAlign w:val="center"/>
            <w:hideMark/>
          </w:tcPr>
          <w:p w14:paraId="6265F0FF"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0.047</w:t>
            </w:r>
          </w:p>
        </w:tc>
        <w:tc>
          <w:tcPr>
            <w:tcW w:w="1300" w:type="dxa"/>
            <w:shd w:val="clear" w:color="auto" w:fill="auto"/>
            <w:noWrap/>
            <w:vAlign w:val="center"/>
            <w:hideMark/>
          </w:tcPr>
          <w:p w14:paraId="7BDB46D7"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0.047</w:t>
            </w:r>
          </w:p>
        </w:tc>
        <w:tc>
          <w:tcPr>
            <w:tcW w:w="1300" w:type="dxa"/>
            <w:shd w:val="clear" w:color="auto" w:fill="auto"/>
            <w:noWrap/>
            <w:vAlign w:val="center"/>
            <w:hideMark/>
          </w:tcPr>
          <w:p w14:paraId="2639AF00"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0.032</w:t>
            </w:r>
          </w:p>
        </w:tc>
        <w:tc>
          <w:tcPr>
            <w:tcW w:w="1300" w:type="dxa"/>
            <w:shd w:val="clear" w:color="auto" w:fill="auto"/>
            <w:noWrap/>
            <w:vAlign w:val="center"/>
            <w:hideMark/>
          </w:tcPr>
          <w:p w14:paraId="0DFB6773"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0.032</w:t>
            </w:r>
          </w:p>
        </w:tc>
        <w:tc>
          <w:tcPr>
            <w:tcW w:w="1300" w:type="dxa"/>
            <w:shd w:val="clear" w:color="auto" w:fill="auto"/>
            <w:noWrap/>
            <w:vAlign w:val="center"/>
            <w:hideMark/>
          </w:tcPr>
          <w:p w14:paraId="00BC4F18"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0.047</w:t>
            </w:r>
          </w:p>
        </w:tc>
      </w:tr>
      <w:tr w:rsidR="00542AC2" w:rsidRPr="00B362EE" w14:paraId="0FEFDE06" w14:textId="77777777" w:rsidTr="00E75CC3">
        <w:trPr>
          <w:trHeight w:val="320"/>
          <w:jc w:val="center"/>
        </w:trPr>
        <w:tc>
          <w:tcPr>
            <w:tcW w:w="1128" w:type="dxa"/>
            <w:vMerge/>
            <w:vAlign w:val="center"/>
            <w:hideMark/>
          </w:tcPr>
          <w:p w14:paraId="64DCC533" w14:textId="77777777" w:rsidR="00542AC2" w:rsidRPr="00B362EE" w:rsidRDefault="00542AC2" w:rsidP="00542AC2">
            <w:pPr>
              <w:jc w:val="center"/>
              <w:rPr>
                <w:rFonts w:ascii="Arial" w:hAnsi="Arial" w:cs="Arial"/>
                <w:color w:val="000000"/>
                <w:sz w:val="20"/>
                <w:szCs w:val="20"/>
              </w:rPr>
            </w:pPr>
          </w:p>
        </w:tc>
        <w:tc>
          <w:tcPr>
            <w:tcW w:w="1431" w:type="dxa"/>
            <w:shd w:val="clear" w:color="auto" w:fill="auto"/>
            <w:noWrap/>
            <w:vAlign w:val="center"/>
            <w:hideMark/>
          </w:tcPr>
          <w:p w14:paraId="04862420" w14:textId="1B60C001" w:rsidR="00542AC2" w:rsidRPr="00B362EE" w:rsidRDefault="00542AC2" w:rsidP="00542AC2">
            <w:pPr>
              <w:jc w:val="center"/>
              <w:rPr>
                <w:rFonts w:ascii="Arial" w:hAnsi="Arial" w:cs="Arial"/>
                <w:color w:val="000000"/>
                <w:sz w:val="20"/>
                <w:szCs w:val="20"/>
              </w:rPr>
            </w:pPr>
            <w:proofErr w:type="spellStart"/>
            <w:r w:rsidRPr="00B362EE">
              <w:rPr>
                <w:rFonts w:ascii="Arial" w:hAnsi="Arial" w:cs="Arial"/>
                <w:color w:val="000000"/>
                <w:sz w:val="20"/>
                <w:szCs w:val="20"/>
              </w:rPr>
              <w:t>Mupirocin</w:t>
            </w:r>
            <w:r>
              <w:rPr>
                <w:rFonts w:ascii="Arial" w:hAnsi="Arial" w:cs="Arial"/>
                <w:color w:val="000000"/>
                <w:sz w:val="20"/>
                <w:szCs w:val="20"/>
              </w:rPr>
              <w:t>a</w:t>
            </w:r>
            <w:proofErr w:type="spellEnd"/>
          </w:p>
        </w:tc>
        <w:tc>
          <w:tcPr>
            <w:tcW w:w="1300" w:type="dxa"/>
            <w:shd w:val="clear" w:color="auto" w:fill="auto"/>
            <w:noWrap/>
            <w:vAlign w:val="center"/>
            <w:hideMark/>
          </w:tcPr>
          <w:p w14:paraId="29249700"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0.5</w:t>
            </w:r>
          </w:p>
        </w:tc>
        <w:tc>
          <w:tcPr>
            <w:tcW w:w="1300" w:type="dxa"/>
            <w:shd w:val="clear" w:color="auto" w:fill="auto"/>
            <w:noWrap/>
            <w:vAlign w:val="center"/>
            <w:hideMark/>
          </w:tcPr>
          <w:p w14:paraId="7BC19764"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0.75</w:t>
            </w:r>
          </w:p>
        </w:tc>
        <w:tc>
          <w:tcPr>
            <w:tcW w:w="1300" w:type="dxa"/>
            <w:shd w:val="clear" w:color="auto" w:fill="auto"/>
            <w:noWrap/>
            <w:vAlign w:val="center"/>
            <w:hideMark/>
          </w:tcPr>
          <w:p w14:paraId="4CD9C09A"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0.75</w:t>
            </w:r>
          </w:p>
        </w:tc>
        <w:tc>
          <w:tcPr>
            <w:tcW w:w="1300" w:type="dxa"/>
            <w:shd w:val="clear" w:color="auto" w:fill="auto"/>
            <w:noWrap/>
            <w:vAlign w:val="center"/>
            <w:hideMark/>
          </w:tcPr>
          <w:p w14:paraId="58BEB5BA"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0.5</w:t>
            </w:r>
          </w:p>
        </w:tc>
        <w:tc>
          <w:tcPr>
            <w:tcW w:w="1300" w:type="dxa"/>
            <w:shd w:val="clear" w:color="auto" w:fill="auto"/>
            <w:noWrap/>
            <w:vAlign w:val="center"/>
            <w:hideMark/>
          </w:tcPr>
          <w:p w14:paraId="274E7BFC"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0.5</w:t>
            </w:r>
          </w:p>
        </w:tc>
        <w:tc>
          <w:tcPr>
            <w:tcW w:w="1300" w:type="dxa"/>
            <w:shd w:val="clear" w:color="auto" w:fill="auto"/>
            <w:noWrap/>
            <w:vAlign w:val="center"/>
            <w:hideMark/>
          </w:tcPr>
          <w:p w14:paraId="08F73D1B"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0.5</w:t>
            </w:r>
          </w:p>
        </w:tc>
      </w:tr>
      <w:tr w:rsidR="00542AC2" w:rsidRPr="00B362EE" w14:paraId="7722D939" w14:textId="77777777" w:rsidTr="00E75CC3">
        <w:trPr>
          <w:trHeight w:val="320"/>
          <w:jc w:val="center"/>
        </w:trPr>
        <w:tc>
          <w:tcPr>
            <w:tcW w:w="1128" w:type="dxa"/>
            <w:vMerge/>
            <w:vAlign w:val="center"/>
            <w:hideMark/>
          </w:tcPr>
          <w:p w14:paraId="00253BEA" w14:textId="77777777" w:rsidR="00542AC2" w:rsidRPr="00B362EE" w:rsidRDefault="00542AC2" w:rsidP="00542AC2">
            <w:pPr>
              <w:jc w:val="center"/>
              <w:rPr>
                <w:rFonts w:ascii="Arial" w:hAnsi="Arial" w:cs="Arial"/>
                <w:color w:val="000000"/>
                <w:sz w:val="20"/>
                <w:szCs w:val="20"/>
              </w:rPr>
            </w:pPr>
          </w:p>
        </w:tc>
        <w:tc>
          <w:tcPr>
            <w:tcW w:w="1431" w:type="dxa"/>
            <w:shd w:val="clear" w:color="auto" w:fill="auto"/>
            <w:noWrap/>
            <w:vAlign w:val="center"/>
            <w:hideMark/>
          </w:tcPr>
          <w:p w14:paraId="2F78282C" w14:textId="03AABFF2" w:rsidR="00542AC2" w:rsidRPr="00B362EE" w:rsidRDefault="00542AC2" w:rsidP="00542AC2">
            <w:pPr>
              <w:jc w:val="center"/>
              <w:rPr>
                <w:rFonts w:ascii="Arial" w:hAnsi="Arial" w:cs="Arial"/>
                <w:color w:val="000000"/>
                <w:sz w:val="20"/>
                <w:szCs w:val="20"/>
              </w:rPr>
            </w:pPr>
            <w:proofErr w:type="spellStart"/>
            <w:r w:rsidRPr="00B362EE">
              <w:rPr>
                <w:rFonts w:ascii="Arial" w:hAnsi="Arial" w:cs="Arial"/>
                <w:color w:val="000000"/>
                <w:sz w:val="20"/>
                <w:szCs w:val="20"/>
              </w:rPr>
              <w:t>Er</w:t>
            </w:r>
            <w:r>
              <w:rPr>
                <w:rFonts w:ascii="Arial" w:hAnsi="Arial" w:cs="Arial"/>
                <w:color w:val="000000"/>
                <w:sz w:val="20"/>
                <w:szCs w:val="20"/>
              </w:rPr>
              <w:t>itromicina</w:t>
            </w:r>
            <w:proofErr w:type="spellEnd"/>
          </w:p>
        </w:tc>
        <w:tc>
          <w:tcPr>
            <w:tcW w:w="1300" w:type="dxa"/>
            <w:shd w:val="clear" w:color="auto" w:fill="auto"/>
            <w:noWrap/>
            <w:vAlign w:val="center"/>
            <w:hideMark/>
          </w:tcPr>
          <w:p w14:paraId="2FA9E140"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3</w:t>
            </w:r>
          </w:p>
        </w:tc>
        <w:tc>
          <w:tcPr>
            <w:tcW w:w="1300" w:type="dxa"/>
            <w:shd w:val="clear" w:color="auto" w:fill="auto"/>
            <w:noWrap/>
            <w:vAlign w:val="center"/>
            <w:hideMark/>
          </w:tcPr>
          <w:p w14:paraId="23331E22"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3</w:t>
            </w:r>
          </w:p>
        </w:tc>
        <w:tc>
          <w:tcPr>
            <w:tcW w:w="1300" w:type="dxa"/>
            <w:shd w:val="clear" w:color="auto" w:fill="auto"/>
            <w:noWrap/>
            <w:vAlign w:val="center"/>
            <w:hideMark/>
          </w:tcPr>
          <w:p w14:paraId="7B17B592"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3</w:t>
            </w:r>
          </w:p>
        </w:tc>
        <w:tc>
          <w:tcPr>
            <w:tcW w:w="1300" w:type="dxa"/>
            <w:shd w:val="clear" w:color="auto" w:fill="auto"/>
            <w:noWrap/>
            <w:vAlign w:val="center"/>
            <w:hideMark/>
          </w:tcPr>
          <w:p w14:paraId="579D9D38"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1.5</w:t>
            </w:r>
          </w:p>
        </w:tc>
        <w:tc>
          <w:tcPr>
            <w:tcW w:w="1300" w:type="dxa"/>
            <w:shd w:val="clear" w:color="auto" w:fill="auto"/>
            <w:noWrap/>
            <w:vAlign w:val="center"/>
            <w:hideMark/>
          </w:tcPr>
          <w:p w14:paraId="54A55EDC"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1</w:t>
            </w:r>
          </w:p>
        </w:tc>
        <w:tc>
          <w:tcPr>
            <w:tcW w:w="1300" w:type="dxa"/>
            <w:shd w:val="clear" w:color="auto" w:fill="auto"/>
            <w:noWrap/>
            <w:vAlign w:val="center"/>
            <w:hideMark/>
          </w:tcPr>
          <w:p w14:paraId="6734FEE1"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2</w:t>
            </w:r>
          </w:p>
        </w:tc>
      </w:tr>
      <w:tr w:rsidR="00542AC2" w:rsidRPr="00B362EE" w14:paraId="05610A68" w14:textId="77777777" w:rsidTr="00E75CC3">
        <w:trPr>
          <w:trHeight w:val="320"/>
          <w:jc w:val="center"/>
        </w:trPr>
        <w:tc>
          <w:tcPr>
            <w:tcW w:w="1128" w:type="dxa"/>
            <w:vMerge/>
            <w:vAlign w:val="center"/>
            <w:hideMark/>
          </w:tcPr>
          <w:p w14:paraId="0EF45798" w14:textId="77777777" w:rsidR="00542AC2" w:rsidRPr="00B362EE" w:rsidRDefault="00542AC2" w:rsidP="00542AC2">
            <w:pPr>
              <w:jc w:val="center"/>
              <w:rPr>
                <w:rFonts w:ascii="Arial" w:hAnsi="Arial" w:cs="Arial"/>
                <w:color w:val="000000"/>
                <w:sz w:val="20"/>
                <w:szCs w:val="20"/>
              </w:rPr>
            </w:pPr>
          </w:p>
        </w:tc>
        <w:tc>
          <w:tcPr>
            <w:tcW w:w="1431" w:type="dxa"/>
            <w:shd w:val="clear" w:color="auto" w:fill="auto"/>
            <w:noWrap/>
            <w:vAlign w:val="center"/>
            <w:hideMark/>
          </w:tcPr>
          <w:p w14:paraId="4ED12DAC" w14:textId="316062FA" w:rsidR="00542AC2" w:rsidRPr="00B362EE" w:rsidRDefault="00542AC2" w:rsidP="00542AC2">
            <w:pPr>
              <w:jc w:val="center"/>
              <w:rPr>
                <w:rFonts w:ascii="Arial" w:hAnsi="Arial" w:cs="Arial"/>
                <w:color w:val="000000"/>
                <w:sz w:val="20"/>
                <w:szCs w:val="20"/>
              </w:rPr>
            </w:pPr>
            <w:proofErr w:type="spellStart"/>
            <w:r w:rsidRPr="00B362EE">
              <w:rPr>
                <w:rFonts w:ascii="Arial" w:hAnsi="Arial" w:cs="Arial"/>
                <w:color w:val="000000"/>
                <w:sz w:val="20"/>
                <w:szCs w:val="20"/>
              </w:rPr>
              <w:t>Teicoplanin</w:t>
            </w:r>
            <w:r>
              <w:rPr>
                <w:rFonts w:ascii="Arial" w:hAnsi="Arial" w:cs="Arial"/>
                <w:color w:val="000000"/>
                <w:sz w:val="20"/>
                <w:szCs w:val="20"/>
              </w:rPr>
              <w:t>a</w:t>
            </w:r>
            <w:proofErr w:type="spellEnd"/>
          </w:p>
        </w:tc>
        <w:tc>
          <w:tcPr>
            <w:tcW w:w="1300" w:type="dxa"/>
            <w:shd w:val="clear" w:color="auto" w:fill="auto"/>
            <w:noWrap/>
            <w:vAlign w:val="center"/>
            <w:hideMark/>
          </w:tcPr>
          <w:p w14:paraId="49D1F5F4"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1</w:t>
            </w:r>
          </w:p>
        </w:tc>
        <w:tc>
          <w:tcPr>
            <w:tcW w:w="1300" w:type="dxa"/>
            <w:shd w:val="clear" w:color="auto" w:fill="auto"/>
            <w:noWrap/>
            <w:vAlign w:val="center"/>
            <w:hideMark/>
          </w:tcPr>
          <w:p w14:paraId="16D55CA6"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0.5</w:t>
            </w:r>
          </w:p>
        </w:tc>
        <w:tc>
          <w:tcPr>
            <w:tcW w:w="1300" w:type="dxa"/>
            <w:shd w:val="clear" w:color="auto" w:fill="auto"/>
            <w:noWrap/>
            <w:vAlign w:val="center"/>
            <w:hideMark/>
          </w:tcPr>
          <w:p w14:paraId="124FF8F7"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1</w:t>
            </w:r>
          </w:p>
        </w:tc>
        <w:tc>
          <w:tcPr>
            <w:tcW w:w="1300" w:type="dxa"/>
            <w:shd w:val="clear" w:color="auto" w:fill="auto"/>
            <w:noWrap/>
            <w:vAlign w:val="center"/>
            <w:hideMark/>
          </w:tcPr>
          <w:p w14:paraId="210ED919"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0.5</w:t>
            </w:r>
          </w:p>
        </w:tc>
        <w:tc>
          <w:tcPr>
            <w:tcW w:w="1300" w:type="dxa"/>
            <w:shd w:val="clear" w:color="auto" w:fill="auto"/>
            <w:noWrap/>
            <w:vAlign w:val="center"/>
            <w:hideMark/>
          </w:tcPr>
          <w:p w14:paraId="51AB64DB"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0.5</w:t>
            </w:r>
          </w:p>
        </w:tc>
        <w:tc>
          <w:tcPr>
            <w:tcW w:w="1300" w:type="dxa"/>
            <w:shd w:val="clear" w:color="auto" w:fill="auto"/>
            <w:noWrap/>
            <w:vAlign w:val="center"/>
            <w:hideMark/>
          </w:tcPr>
          <w:p w14:paraId="3748F80E"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0.75</w:t>
            </w:r>
          </w:p>
        </w:tc>
      </w:tr>
      <w:tr w:rsidR="00542AC2" w:rsidRPr="00B362EE" w14:paraId="26122EB2" w14:textId="77777777" w:rsidTr="00E75CC3">
        <w:trPr>
          <w:trHeight w:val="320"/>
          <w:jc w:val="center"/>
        </w:trPr>
        <w:tc>
          <w:tcPr>
            <w:tcW w:w="1128" w:type="dxa"/>
            <w:vMerge/>
            <w:vAlign w:val="center"/>
            <w:hideMark/>
          </w:tcPr>
          <w:p w14:paraId="76D8D8AC" w14:textId="77777777" w:rsidR="00542AC2" w:rsidRPr="00B362EE" w:rsidRDefault="00542AC2" w:rsidP="00542AC2">
            <w:pPr>
              <w:jc w:val="center"/>
              <w:rPr>
                <w:rFonts w:ascii="Arial" w:hAnsi="Arial" w:cs="Arial"/>
                <w:color w:val="000000"/>
                <w:sz w:val="20"/>
                <w:szCs w:val="20"/>
              </w:rPr>
            </w:pPr>
          </w:p>
        </w:tc>
        <w:tc>
          <w:tcPr>
            <w:tcW w:w="1431" w:type="dxa"/>
            <w:shd w:val="clear" w:color="auto" w:fill="auto"/>
            <w:noWrap/>
            <w:vAlign w:val="center"/>
            <w:hideMark/>
          </w:tcPr>
          <w:p w14:paraId="77FD34B8" w14:textId="7C37EAE3" w:rsidR="00542AC2" w:rsidRPr="00B362EE" w:rsidRDefault="00542AC2" w:rsidP="00542AC2">
            <w:pPr>
              <w:jc w:val="center"/>
              <w:rPr>
                <w:rFonts w:ascii="Arial" w:hAnsi="Arial" w:cs="Arial"/>
                <w:color w:val="000000"/>
                <w:sz w:val="20"/>
                <w:szCs w:val="20"/>
              </w:rPr>
            </w:pPr>
            <w:proofErr w:type="spellStart"/>
            <w:r w:rsidRPr="00B362EE">
              <w:rPr>
                <w:rFonts w:ascii="Arial" w:hAnsi="Arial" w:cs="Arial"/>
                <w:color w:val="000000"/>
                <w:sz w:val="20"/>
                <w:szCs w:val="20"/>
              </w:rPr>
              <w:t>Fosfom</w:t>
            </w:r>
            <w:r>
              <w:rPr>
                <w:rFonts w:ascii="Arial" w:hAnsi="Arial" w:cs="Arial"/>
                <w:color w:val="000000"/>
                <w:sz w:val="20"/>
                <w:szCs w:val="20"/>
              </w:rPr>
              <w:t>icina</w:t>
            </w:r>
            <w:proofErr w:type="spellEnd"/>
          </w:p>
        </w:tc>
        <w:tc>
          <w:tcPr>
            <w:tcW w:w="1300" w:type="dxa"/>
            <w:shd w:val="clear" w:color="auto" w:fill="auto"/>
            <w:noWrap/>
            <w:vAlign w:val="center"/>
            <w:hideMark/>
          </w:tcPr>
          <w:p w14:paraId="47DC68F6"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6</w:t>
            </w:r>
          </w:p>
        </w:tc>
        <w:tc>
          <w:tcPr>
            <w:tcW w:w="1300" w:type="dxa"/>
            <w:shd w:val="clear" w:color="auto" w:fill="auto"/>
            <w:noWrap/>
            <w:vAlign w:val="center"/>
            <w:hideMark/>
          </w:tcPr>
          <w:p w14:paraId="6DB3716B"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6</w:t>
            </w:r>
          </w:p>
        </w:tc>
        <w:tc>
          <w:tcPr>
            <w:tcW w:w="1300" w:type="dxa"/>
            <w:shd w:val="clear" w:color="auto" w:fill="auto"/>
            <w:noWrap/>
            <w:vAlign w:val="center"/>
            <w:hideMark/>
          </w:tcPr>
          <w:p w14:paraId="1812FDB9"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12</w:t>
            </w:r>
          </w:p>
        </w:tc>
        <w:tc>
          <w:tcPr>
            <w:tcW w:w="1300" w:type="dxa"/>
            <w:shd w:val="clear" w:color="auto" w:fill="auto"/>
            <w:noWrap/>
            <w:vAlign w:val="center"/>
            <w:hideMark/>
          </w:tcPr>
          <w:p w14:paraId="2B9C72C2"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1.5</w:t>
            </w:r>
          </w:p>
        </w:tc>
        <w:tc>
          <w:tcPr>
            <w:tcW w:w="1300" w:type="dxa"/>
            <w:shd w:val="clear" w:color="auto" w:fill="auto"/>
            <w:noWrap/>
            <w:vAlign w:val="center"/>
            <w:hideMark/>
          </w:tcPr>
          <w:p w14:paraId="2BEB3A12"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12</w:t>
            </w:r>
          </w:p>
        </w:tc>
        <w:tc>
          <w:tcPr>
            <w:tcW w:w="1300" w:type="dxa"/>
            <w:shd w:val="clear" w:color="auto" w:fill="auto"/>
            <w:noWrap/>
            <w:vAlign w:val="center"/>
            <w:hideMark/>
          </w:tcPr>
          <w:p w14:paraId="7A1F83DA" w14:textId="77777777" w:rsidR="00542AC2" w:rsidRPr="00B362EE" w:rsidRDefault="00542AC2" w:rsidP="00542AC2">
            <w:pPr>
              <w:jc w:val="center"/>
              <w:rPr>
                <w:rFonts w:ascii="Arial" w:hAnsi="Arial" w:cs="Arial"/>
                <w:color w:val="000000"/>
                <w:sz w:val="20"/>
                <w:szCs w:val="20"/>
              </w:rPr>
            </w:pPr>
            <w:r w:rsidRPr="00B362EE">
              <w:rPr>
                <w:rFonts w:ascii="Arial" w:hAnsi="Arial" w:cs="Arial"/>
                <w:color w:val="000000"/>
                <w:sz w:val="20"/>
                <w:szCs w:val="20"/>
              </w:rPr>
              <w:t>1</w:t>
            </w:r>
          </w:p>
        </w:tc>
      </w:tr>
      <w:tr w:rsidR="00542AC2" w:rsidRPr="00B362EE" w14:paraId="719239AA" w14:textId="77777777" w:rsidTr="00E75CC3">
        <w:trPr>
          <w:trHeight w:val="320"/>
          <w:jc w:val="center"/>
        </w:trPr>
        <w:tc>
          <w:tcPr>
            <w:tcW w:w="1128" w:type="dxa"/>
            <w:vMerge/>
            <w:vAlign w:val="center"/>
          </w:tcPr>
          <w:p w14:paraId="229616BE" w14:textId="77777777" w:rsidR="00542AC2" w:rsidRPr="00B362EE" w:rsidRDefault="00542AC2" w:rsidP="00542AC2">
            <w:pPr>
              <w:jc w:val="center"/>
              <w:rPr>
                <w:rFonts w:ascii="Arial" w:hAnsi="Arial" w:cs="Arial"/>
                <w:color w:val="000000"/>
                <w:sz w:val="20"/>
                <w:szCs w:val="20"/>
              </w:rPr>
            </w:pPr>
          </w:p>
        </w:tc>
        <w:tc>
          <w:tcPr>
            <w:tcW w:w="1431" w:type="dxa"/>
            <w:shd w:val="clear" w:color="auto" w:fill="auto"/>
            <w:noWrap/>
            <w:vAlign w:val="center"/>
          </w:tcPr>
          <w:p w14:paraId="72F333B6" w14:textId="5A0310BC" w:rsidR="00542AC2" w:rsidRPr="00B362EE" w:rsidRDefault="00542AC2" w:rsidP="00542AC2">
            <w:pPr>
              <w:jc w:val="center"/>
              <w:rPr>
                <w:rFonts w:ascii="Arial" w:hAnsi="Arial" w:cs="Arial"/>
                <w:color w:val="000000"/>
                <w:sz w:val="20"/>
                <w:szCs w:val="20"/>
              </w:rPr>
            </w:pPr>
            <w:proofErr w:type="spellStart"/>
            <w:r>
              <w:rPr>
                <w:rFonts w:ascii="Arial" w:hAnsi="Arial" w:cs="Arial"/>
                <w:color w:val="000000"/>
                <w:sz w:val="20"/>
                <w:szCs w:val="20"/>
              </w:rPr>
              <w:t>Daptomicina</w:t>
            </w:r>
            <w:proofErr w:type="spellEnd"/>
          </w:p>
        </w:tc>
        <w:tc>
          <w:tcPr>
            <w:tcW w:w="1300" w:type="dxa"/>
            <w:shd w:val="clear" w:color="auto" w:fill="auto"/>
            <w:noWrap/>
            <w:vAlign w:val="center"/>
          </w:tcPr>
          <w:p w14:paraId="7713D243" w14:textId="77777777" w:rsidR="00542AC2" w:rsidRPr="00B362EE" w:rsidRDefault="00542AC2" w:rsidP="00542AC2">
            <w:pPr>
              <w:jc w:val="center"/>
              <w:rPr>
                <w:rFonts w:ascii="Arial" w:hAnsi="Arial" w:cs="Arial"/>
                <w:color w:val="000000"/>
                <w:sz w:val="20"/>
                <w:szCs w:val="20"/>
              </w:rPr>
            </w:pPr>
            <w:r>
              <w:rPr>
                <w:rFonts w:ascii="Arial" w:hAnsi="Arial" w:cs="Arial"/>
                <w:color w:val="000000"/>
                <w:sz w:val="20"/>
                <w:szCs w:val="20"/>
              </w:rPr>
              <w:t>0.5</w:t>
            </w:r>
          </w:p>
        </w:tc>
        <w:tc>
          <w:tcPr>
            <w:tcW w:w="1300" w:type="dxa"/>
            <w:shd w:val="clear" w:color="auto" w:fill="auto"/>
            <w:noWrap/>
            <w:vAlign w:val="center"/>
          </w:tcPr>
          <w:p w14:paraId="4E764C00" w14:textId="77777777" w:rsidR="00542AC2" w:rsidRPr="00B362EE" w:rsidRDefault="00542AC2" w:rsidP="00542AC2">
            <w:pPr>
              <w:jc w:val="center"/>
              <w:rPr>
                <w:rFonts w:ascii="Arial" w:hAnsi="Arial" w:cs="Arial"/>
                <w:color w:val="000000"/>
                <w:sz w:val="20"/>
                <w:szCs w:val="20"/>
              </w:rPr>
            </w:pPr>
            <w:r>
              <w:rPr>
                <w:rFonts w:ascii="Arial" w:hAnsi="Arial" w:cs="Arial"/>
                <w:color w:val="000000"/>
                <w:sz w:val="20"/>
                <w:szCs w:val="20"/>
              </w:rPr>
              <w:t>3</w:t>
            </w:r>
          </w:p>
        </w:tc>
        <w:tc>
          <w:tcPr>
            <w:tcW w:w="1300" w:type="dxa"/>
            <w:shd w:val="clear" w:color="auto" w:fill="auto"/>
            <w:noWrap/>
            <w:vAlign w:val="center"/>
          </w:tcPr>
          <w:p w14:paraId="2B4E78FD" w14:textId="77777777" w:rsidR="00542AC2" w:rsidRPr="00B362EE" w:rsidRDefault="00542AC2" w:rsidP="00542AC2">
            <w:pPr>
              <w:jc w:val="center"/>
              <w:rPr>
                <w:rFonts w:ascii="Arial" w:hAnsi="Arial" w:cs="Arial"/>
                <w:color w:val="000000"/>
                <w:sz w:val="20"/>
                <w:szCs w:val="20"/>
              </w:rPr>
            </w:pPr>
            <w:r>
              <w:rPr>
                <w:rFonts w:ascii="Arial" w:hAnsi="Arial" w:cs="Arial"/>
                <w:color w:val="000000"/>
                <w:sz w:val="20"/>
                <w:szCs w:val="20"/>
              </w:rPr>
              <w:t>1</w:t>
            </w:r>
          </w:p>
        </w:tc>
        <w:tc>
          <w:tcPr>
            <w:tcW w:w="1300" w:type="dxa"/>
            <w:shd w:val="clear" w:color="auto" w:fill="auto"/>
            <w:noWrap/>
            <w:vAlign w:val="center"/>
          </w:tcPr>
          <w:p w14:paraId="7C844558" w14:textId="77777777" w:rsidR="00542AC2" w:rsidRPr="00B362EE" w:rsidRDefault="00542AC2" w:rsidP="00542AC2">
            <w:pPr>
              <w:jc w:val="center"/>
              <w:rPr>
                <w:rFonts w:ascii="Arial" w:hAnsi="Arial" w:cs="Arial"/>
                <w:color w:val="000000"/>
                <w:sz w:val="20"/>
                <w:szCs w:val="20"/>
              </w:rPr>
            </w:pPr>
            <w:r>
              <w:rPr>
                <w:rFonts w:ascii="Arial" w:hAnsi="Arial" w:cs="Arial"/>
                <w:color w:val="000000"/>
                <w:sz w:val="20"/>
                <w:szCs w:val="20"/>
              </w:rPr>
              <w:t>0.064</w:t>
            </w:r>
          </w:p>
        </w:tc>
        <w:tc>
          <w:tcPr>
            <w:tcW w:w="1300" w:type="dxa"/>
            <w:shd w:val="clear" w:color="auto" w:fill="auto"/>
            <w:noWrap/>
            <w:vAlign w:val="center"/>
          </w:tcPr>
          <w:p w14:paraId="79652D16" w14:textId="77777777" w:rsidR="00542AC2" w:rsidRPr="00B362EE" w:rsidRDefault="00542AC2" w:rsidP="00542AC2">
            <w:pPr>
              <w:jc w:val="center"/>
              <w:rPr>
                <w:rFonts w:ascii="Arial" w:hAnsi="Arial" w:cs="Arial"/>
                <w:color w:val="000000"/>
                <w:sz w:val="20"/>
                <w:szCs w:val="20"/>
              </w:rPr>
            </w:pPr>
            <w:r>
              <w:rPr>
                <w:rFonts w:ascii="Arial" w:hAnsi="Arial" w:cs="Arial"/>
                <w:color w:val="000000"/>
                <w:sz w:val="20"/>
                <w:szCs w:val="20"/>
              </w:rPr>
              <w:t>2</w:t>
            </w:r>
          </w:p>
        </w:tc>
        <w:tc>
          <w:tcPr>
            <w:tcW w:w="1300" w:type="dxa"/>
            <w:shd w:val="clear" w:color="auto" w:fill="auto"/>
            <w:noWrap/>
            <w:vAlign w:val="center"/>
          </w:tcPr>
          <w:p w14:paraId="397FA964" w14:textId="77777777" w:rsidR="00542AC2" w:rsidRPr="00B362EE" w:rsidRDefault="00542AC2" w:rsidP="00542AC2">
            <w:pPr>
              <w:jc w:val="center"/>
              <w:rPr>
                <w:rFonts w:ascii="Arial" w:hAnsi="Arial" w:cs="Arial"/>
                <w:color w:val="000000"/>
                <w:sz w:val="20"/>
                <w:szCs w:val="20"/>
              </w:rPr>
            </w:pPr>
            <w:r>
              <w:rPr>
                <w:rFonts w:ascii="Arial" w:hAnsi="Arial" w:cs="Arial"/>
                <w:color w:val="000000"/>
                <w:sz w:val="20"/>
                <w:szCs w:val="20"/>
              </w:rPr>
              <w:t>0.75</w:t>
            </w:r>
          </w:p>
        </w:tc>
      </w:tr>
    </w:tbl>
    <w:p w14:paraId="11BB34E2" w14:textId="26567410" w:rsidR="00AD4185" w:rsidRPr="00E75CC3" w:rsidRDefault="00AD4185" w:rsidP="00AD4185">
      <w:pPr>
        <w:jc w:val="both"/>
        <w:rPr>
          <w:rFonts w:ascii="Arial" w:hAnsi="Arial" w:cs="Arial"/>
        </w:rPr>
      </w:pPr>
      <w:r w:rsidRPr="00E75CC3">
        <w:rPr>
          <w:rFonts w:ascii="Arial" w:hAnsi="Arial" w:cs="Arial"/>
        </w:rPr>
        <w:t xml:space="preserve">Rep = </w:t>
      </w:r>
      <w:r w:rsidR="00542AC2">
        <w:rPr>
          <w:rFonts w:ascii="Arial" w:hAnsi="Arial" w:cs="Arial"/>
        </w:rPr>
        <w:t xml:space="preserve">replica </w:t>
      </w:r>
      <w:proofErr w:type="spellStart"/>
      <w:r w:rsidR="00542AC2">
        <w:rPr>
          <w:rFonts w:ascii="Arial" w:hAnsi="Arial" w:cs="Arial"/>
        </w:rPr>
        <w:t>biológica</w:t>
      </w:r>
      <w:proofErr w:type="spellEnd"/>
    </w:p>
    <w:p w14:paraId="11728045" w14:textId="77777777" w:rsidR="00AD4185" w:rsidRDefault="00AD4185" w:rsidP="001104C5">
      <w:pPr>
        <w:pStyle w:val="NoSpacing"/>
        <w:rPr>
          <w:rFonts w:ascii="Times New Roman" w:hAnsi="Times New Roman" w:cs="Times New Roman"/>
          <w:lang w:val="es-PR"/>
        </w:rPr>
      </w:pPr>
    </w:p>
    <w:p w14:paraId="00BF467F" w14:textId="77777777" w:rsidR="00B36A49" w:rsidRDefault="00B36A49" w:rsidP="001104C5">
      <w:pPr>
        <w:pStyle w:val="NoSpacing"/>
        <w:rPr>
          <w:rFonts w:ascii="Times New Roman" w:hAnsi="Times New Roman" w:cs="Times New Roman"/>
          <w:lang w:val="es-PR"/>
        </w:rPr>
      </w:pPr>
    </w:p>
    <w:p w14:paraId="2F3B60E3" w14:textId="04EF0C0C" w:rsidR="00B36A49" w:rsidRDefault="00B36A49" w:rsidP="001104C5">
      <w:pPr>
        <w:pStyle w:val="NoSpacing"/>
        <w:rPr>
          <w:rFonts w:ascii="Times New Roman" w:hAnsi="Times New Roman" w:cs="Times New Roman"/>
          <w:lang w:val="es-PR"/>
        </w:rPr>
      </w:pPr>
      <w:r w:rsidRPr="00B36A49">
        <w:rPr>
          <w:rFonts w:ascii="Times New Roman" w:hAnsi="Times New Roman" w:cs="Times New Roman"/>
          <w:lang w:val="es-PR"/>
        </w:rPr>
        <w:t xml:space="preserve">Finalmente, examinamos cómo diferentes MOI de Evo2 afecta la resistencia a los β-lactámicos en SARM (Tabla </w:t>
      </w:r>
      <w:r w:rsidR="00542AC2">
        <w:rPr>
          <w:rFonts w:ascii="Times New Roman" w:hAnsi="Times New Roman" w:cs="Times New Roman"/>
          <w:lang w:val="es-PR"/>
        </w:rPr>
        <w:t>1</w:t>
      </w:r>
      <w:r w:rsidRPr="00B36A49">
        <w:rPr>
          <w:rFonts w:ascii="Times New Roman" w:hAnsi="Times New Roman" w:cs="Times New Roman"/>
          <w:lang w:val="es-PR"/>
        </w:rPr>
        <w:t>). Infectamos las tres cepas de SARM con Evo2 a diferentes MOI, de 10</w:t>
      </w:r>
      <w:r w:rsidRPr="00B36A49">
        <w:rPr>
          <w:rFonts w:ascii="Times New Roman" w:hAnsi="Times New Roman" w:cs="Times New Roman"/>
          <w:vertAlign w:val="superscript"/>
          <w:lang w:val="es-PR"/>
        </w:rPr>
        <w:t>-2</w:t>
      </w:r>
      <w:r w:rsidRPr="00B36A49">
        <w:rPr>
          <w:rFonts w:ascii="Times New Roman" w:hAnsi="Times New Roman" w:cs="Times New Roman"/>
          <w:lang w:val="es-PR"/>
        </w:rPr>
        <w:t xml:space="preserve"> a 10</w:t>
      </w:r>
      <w:r w:rsidRPr="00B36A49">
        <w:rPr>
          <w:rFonts w:ascii="Times New Roman" w:hAnsi="Times New Roman" w:cs="Times New Roman"/>
          <w:vertAlign w:val="superscript"/>
          <w:lang w:val="es-PR"/>
        </w:rPr>
        <w:t>-5</w:t>
      </w:r>
      <w:r w:rsidRPr="00B36A49">
        <w:rPr>
          <w:rFonts w:ascii="Times New Roman" w:hAnsi="Times New Roman" w:cs="Times New Roman"/>
          <w:lang w:val="es-PR"/>
        </w:rPr>
        <w:t xml:space="preserve">, y medimos la CMI </w:t>
      </w:r>
      <w:r>
        <w:rPr>
          <w:rFonts w:ascii="Times New Roman" w:hAnsi="Times New Roman" w:cs="Times New Roman"/>
          <w:lang w:val="es-PR"/>
        </w:rPr>
        <w:t xml:space="preserve">de </w:t>
      </w:r>
      <w:r w:rsidRPr="00B36A49">
        <w:rPr>
          <w:rFonts w:ascii="Times New Roman" w:hAnsi="Times New Roman" w:cs="Times New Roman"/>
          <w:lang w:val="es-PR"/>
        </w:rPr>
        <w:t>oxacilina del SARM evolucionado. En las tres cepas, observamos que</w:t>
      </w:r>
      <w:r>
        <w:rPr>
          <w:rFonts w:ascii="Times New Roman" w:hAnsi="Times New Roman" w:cs="Times New Roman"/>
          <w:lang w:val="es-PR"/>
        </w:rPr>
        <w:t xml:space="preserve"> algunas replicas de los cultivos </w:t>
      </w:r>
      <w:r w:rsidRPr="00B36A49">
        <w:rPr>
          <w:rFonts w:ascii="Times New Roman" w:hAnsi="Times New Roman" w:cs="Times New Roman"/>
          <w:lang w:val="es-PR"/>
        </w:rPr>
        <w:t>con diferentes MOI no recuperaron el crecimiento tras la infección con Evo2. Sin embargo, los cultivos de MRSA252, MW2 y LAC que sí volvieron a crecer mostraron una pérdida de resistencia a la oxacilina de entre 10 y 1000 veces. Por lo tanto, en general, Evo2 mostró una mayor infectividad contra el SARM y una mayor potencia para reducir la resistencia a los β-lactámicos.</w:t>
      </w:r>
    </w:p>
    <w:p w14:paraId="5673A928" w14:textId="77777777" w:rsidR="00B36A49" w:rsidRDefault="00B36A49" w:rsidP="001104C5">
      <w:pPr>
        <w:pStyle w:val="NoSpacing"/>
        <w:rPr>
          <w:rFonts w:ascii="Times New Roman" w:hAnsi="Times New Roman" w:cs="Times New Roman"/>
          <w:lang w:val="es-PR"/>
        </w:rPr>
      </w:pPr>
    </w:p>
    <w:p w14:paraId="5D5ED70C" w14:textId="0742452A" w:rsidR="00B36A49" w:rsidRPr="00D44FBE" w:rsidRDefault="00B36A49" w:rsidP="001104C5">
      <w:pPr>
        <w:pStyle w:val="NoSpacing"/>
        <w:rPr>
          <w:rFonts w:ascii="Times New Roman" w:hAnsi="Times New Roman" w:cs="Times New Roman"/>
          <w:b/>
          <w:bCs/>
          <w:lang w:val="es-PR"/>
        </w:rPr>
      </w:pPr>
      <w:r w:rsidRPr="00D44FBE">
        <w:rPr>
          <w:rFonts w:ascii="Times New Roman" w:hAnsi="Times New Roman" w:cs="Times New Roman"/>
          <w:b/>
          <w:bCs/>
          <w:lang w:val="es-PR"/>
        </w:rPr>
        <w:t xml:space="preserve">Evo2 es ampliamente lítico contra aislados clínicos recientes de </w:t>
      </w:r>
      <w:r w:rsidRPr="00D44FBE">
        <w:rPr>
          <w:rFonts w:ascii="Times New Roman" w:hAnsi="Times New Roman" w:cs="Times New Roman"/>
          <w:b/>
          <w:bCs/>
          <w:i/>
          <w:iCs/>
          <w:lang w:val="es-PR"/>
        </w:rPr>
        <w:t>S. aureus</w:t>
      </w:r>
      <w:r w:rsidRPr="00D44FBE">
        <w:rPr>
          <w:rFonts w:ascii="Times New Roman" w:hAnsi="Times New Roman" w:cs="Times New Roman"/>
          <w:b/>
          <w:bCs/>
          <w:lang w:val="es-PR"/>
        </w:rPr>
        <w:t xml:space="preserve"> USA300 </w:t>
      </w:r>
    </w:p>
    <w:p w14:paraId="1A4D2387" w14:textId="0EF6C0E4" w:rsidR="00B36A49" w:rsidRDefault="00B36A49" w:rsidP="001104C5">
      <w:pPr>
        <w:pStyle w:val="NoSpacing"/>
        <w:rPr>
          <w:rFonts w:ascii="Times New Roman" w:hAnsi="Times New Roman" w:cs="Times New Roman"/>
          <w:lang w:val="es-PR"/>
        </w:rPr>
      </w:pPr>
      <w:r w:rsidRPr="00B36A49">
        <w:rPr>
          <w:rFonts w:ascii="Times New Roman" w:hAnsi="Times New Roman" w:cs="Times New Roman"/>
          <w:u w:val="single"/>
          <w:lang w:val="es-PR"/>
        </w:rPr>
        <w:t>MRSA252,</w:t>
      </w:r>
      <w:r w:rsidRPr="00B36A49">
        <w:rPr>
          <w:rFonts w:ascii="Times New Roman" w:hAnsi="Times New Roman" w:cs="Times New Roman"/>
          <w:lang w:val="es-PR"/>
        </w:rPr>
        <w:t xml:space="preserve"> MW2 y LAC se aislaron en 1997, 1998 y a principios de la década de 2000, respectivamente. Por lo tanto, probamos si Evo2 puede infectar aislados clínicos de </w:t>
      </w:r>
      <w:r w:rsidRPr="00B36A49">
        <w:rPr>
          <w:rFonts w:ascii="Times New Roman" w:hAnsi="Times New Roman" w:cs="Times New Roman"/>
          <w:i/>
          <w:iCs/>
          <w:lang w:val="es-PR"/>
        </w:rPr>
        <w:t>S. aureus</w:t>
      </w:r>
      <w:r w:rsidRPr="00B36A49">
        <w:rPr>
          <w:rFonts w:ascii="Times New Roman" w:hAnsi="Times New Roman" w:cs="Times New Roman"/>
          <w:lang w:val="es-PR"/>
        </w:rPr>
        <w:t xml:space="preserve"> más recientes. Comparamos la eficiencia de </w:t>
      </w:r>
      <w:r>
        <w:rPr>
          <w:rFonts w:ascii="Times New Roman" w:hAnsi="Times New Roman" w:cs="Times New Roman"/>
          <w:lang w:val="es-PR"/>
        </w:rPr>
        <w:t xml:space="preserve">formación de placas </w:t>
      </w:r>
      <w:r w:rsidRPr="00B36A49">
        <w:rPr>
          <w:rFonts w:ascii="Times New Roman" w:hAnsi="Times New Roman" w:cs="Times New Roman"/>
          <w:lang w:val="es-PR"/>
        </w:rPr>
        <w:t xml:space="preserve">de Evo2 y ΦStaph1N contra 30 </w:t>
      </w:r>
      <w:r w:rsidRPr="00B36A49">
        <w:rPr>
          <w:rFonts w:ascii="Times New Roman" w:hAnsi="Times New Roman" w:cs="Times New Roman"/>
          <w:lang w:val="es-PR"/>
        </w:rPr>
        <w:lastRenderedPageBreak/>
        <w:t>cepas USA300 que se aislaron entre 2008 y 2011 en el St. Louis Children's Hospital.</w:t>
      </w:r>
      <w:r w:rsidRPr="00D8269E">
        <w:rPr>
          <w:rFonts w:ascii="Times New Roman" w:hAnsi="Times New Roman" w:cs="Times New Roman"/>
          <w:vertAlign w:val="superscript"/>
          <w:lang w:val="es-PR"/>
        </w:rPr>
        <w:t>26</w:t>
      </w:r>
      <w:r w:rsidRPr="00B36A49">
        <w:rPr>
          <w:rFonts w:ascii="Times New Roman" w:hAnsi="Times New Roman" w:cs="Times New Roman"/>
          <w:lang w:val="es-PR"/>
        </w:rPr>
        <w:t xml:space="preserve"> Observamos una variación drástica en la eficiencia de </w:t>
      </w:r>
      <w:r w:rsidR="00D8269E">
        <w:rPr>
          <w:rFonts w:ascii="Times New Roman" w:hAnsi="Times New Roman" w:cs="Times New Roman"/>
          <w:lang w:val="es-PR"/>
        </w:rPr>
        <w:t xml:space="preserve">formación de </w:t>
      </w:r>
      <w:r w:rsidRPr="00B36A49">
        <w:rPr>
          <w:rFonts w:ascii="Times New Roman" w:hAnsi="Times New Roman" w:cs="Times New Roman"/>
          <w:lang w:val="es-PR"/>
        </w:rPr>
        <w:t>pla</w:t>
      </w:r>
      <w:r w:rsidR="00D8269E">
        <w:rPr>
          <w:rFonts w:ascii="Times New Roman" w:hAnsi="Times New Roman" w:cs="Times New Roman"/>
          <w:lang w:val="es-PR"/>
        </w:rPr>
        <w:t>cas</w:t>
      </w:r>
      <w:r w:rsidRPr="00B36A49">
        <w:rPr>
          <w:rFonts w:ascii="Times New Roman" w:hAnsi="Times New Roman" w:cs="Times New Roman"/>
          <w:lang w:val="es-PR"/>
        </w:rPr>
        <w:t xml:space="preserve"> de ΦStaph1N </w:t>
      </w:r>
      <w:r w:rsidR="00D8269E">
        <w:rPr>
          <w:rFonts w:ascii="Times New Roman" w:hAnsi="Times New Roman" w:cs="Times New Roman"/>
          <w:lang w:val="es-PR"/>
        </w:rPr>
        <w:t xml:space="preserve">en </w:t>
      </w:r>
      <w:r w:rsidRPr="00B36A49">
        <w:rPr>
          <w:rFonts w:ascii="Times New Roman" w:hAnsi="Times New Roman" w:cs="Times New Roman"/>
          <w:lang w:val="es-PR"/>
        </w:rPr>
        <w:t xml:space="preserve">las 30 cepas, mientras que Evo2 exhibió una mayor eficiencia de </w:t>
      </w:r>
      <w:r w:rsidR="00013119">
        <w:rPr>
          <w:rFonts w:ascii="Times New Roman" w:hAnsi="Times New Roman" w:cs="Times New Roman"/>
          <w:lang w:val="es-PR"/>
        </w:rPr>
        <w:t xml:space="preserve">formación de </w:t>
      </w:r>
      <w:r w:rsidRPr="00B36A49">
        <w:rPr>
          <w:rFonts w:ascii="Times New Roman" w:hAnsi="Times New Roman" w:cs="Times New Roman"/>
          <w:lang w:val="es-PR"/>
        </w:rPr>
        <w:t>pla</w:t>
      </w:r>
      <w:r w:rsidR="00013119">
        <w:rPr>
          <w:rFonts w:ascii="Times New Roman" w:hAnsi="Times New Roman" w:cs="Times New Roman"/>
          <w:lang w:val="es-PR"/>
        </w:rPr>
        <w:t>cas</w:t>
      </w:r>
      <w:r w:rsidRPr="00B36A49">
        <w:rPr>
          <w:rFonts w:ascii="Times New Roman" w:hAnsi="Times New Roman" w:cs="Times New Roman"/>
          <w:lang w:val="es-PR"/>
        </w:rPr>
        <w:t xml:space="preserve"> en la mayoría de las 30 cepas (Tabla </w:t>
      </w:r>
      <w:r w:rsidR="00542AC2">
        <w:rPr>
          <w:rFonts w:ascii="Times New Roman" w:hAnsi="Times New Roman" w:cs="Times New Roman"/>
          <w:lang w:val="es-PR"/>
        </w:rPr>
        <w:t>3</w:t>
      </w:r>
      <w:r w:rsidRPr="00B36A49">
        <w:rPr>
          <w:rFonts w:ascii="Times New Roman" w:hAnsi="Times New Roman" w:cs="Times New Roman"/>
          <w:lang w:val="es-PR"/>
        </w:rPr>
        <w:t xml:space="preserve">). Luego probamos </w:t>
      </w:r>
      <w:r w:rsidR="00013119">
        <w:rPr>
          <w:rFonts w:ascii="Times New Roman" w:hAnsi="Times New Roman" w:cs="Times New Roman"/>
          <w:lang w:val="es-PR"/>
        </w:rPr>
        <w:t>si</w:t>
      </w:r>
      <w:r w:rsidRPr="00B36A49">
        <w:rPr>
          <w:rFonts w:ascii="Times New Roman" w:hAnsi="Times New Roman" w:cs="Times New Roman"/>
          <w:lang w:val="es-PR"/>
        </w:rPr>
        <w:t xml:space="preserve"> infección de Evo2 afect</w:t>
      </w:r>
      <w:r w:rsidR="00013119">
        <w:rPr>
          <w:rFonts w:ascii="Times New Roman" w:hAnsi="Times New Roman" w:cs="Times New Roman"/>
          <w:lang w:val="es-PR"/>
        </w:rPr>
        <w:t>a a</w:t>
      </w:r>
      <w:r w:rsidRPr="00B36A49">
        <w:rPr>
          <w:rFonts w:ascii="Times New Roman" w:hAnsi="Times New Roman" w:cs="Times New Roman"/>
          <w:lang w:val="es-PR"/>
        </w:rPr>
        <w:t xml:space="preserve"> la resistencia a OXA en 12 (ADL1-12) de estos aislados clínicos. Infectamos las cepas con Evo2 a una MOI de 0</w:t>
      </w:r>
      <w:r w:rsidR="00013119">
        <w:rPr>
          <w:rFonts w:ascii="Times New Roman" w:hAnsi="Times New Roman" w:cs="Times New Roman"/>
          <w:lang w:val="es-PR"/>
        </w:rPr>
        <w:t>.</w:t>
      </w:r>
      <w:r w:rsidRPr="00B36A49">
        <w:rPr>
          <w:rFonts w:ascii="Times New Roman" w:hAnsi="Times New Roman" w:cs="Times New Roman"/>
          <w:lang w:val="es-PR"/>
        </w:rPr>
        <w:t>1 y, si se recuperaba una población resistente</w:t>
      </w:r>
      <w:r w:rsidR="00013119">
        <w:rPr>
          <w:rFonts w:ascii="Times New Roman" w:hAnsi="Times New Roman" w:cs="Times New Roman"/>
          <w:lang w:val="es-PR"/>
        </w:rPr>
        <w:t xml:space="preserve"> al fago</w:t>
      </w:r>
      <w:r w:rsidRPr="00B36A49">
        <w:rPr>
          <w:rFonts w:ascii="Times New Roman" w:hAnsi="Times New Roman" w:cs="Times New Roman"/>
          <w:lang w:val="es-PR"/>
        </w:rPr>
        <w:t xml:space="preserve">, medimos la CMI de OXA tras 48 horas. Curiosamente, tras 15 desafíos independientes con Evo2, no pudimos recuperar poblaciones resistentes </w:t>
      </w:r>
      <w:r w:rsidR="00013119">
        <w:rPr>
          <w:rFonts w:ascii="Times New Roman" w:hAnsi="Times New Roman" w:cs="Times New Roman"/>
          <w:lang w:val="es-PR"/>
        </w:rPr>
        <w:t xml:space="preserve">a Evo2 </w:t>
      </w:r>
      <w:r w:rsidRPr="00B36A49">
        <w:rPr>
          <w:rFonts w:ascii="Times New Roman" w:hAnsi="Times New Roman" w:cs="Times New Roman"/>
          <w:lang w:val="es-PR"/>
        </w:rPr>
        <w:t>de ADL1, 5, 6 y 12. Esto sugiere que la adquisición de resistencia a Evo2 es poco frecuente en estas cepas. En el resto de las cepas, observamos que, al igual que con MRSA252, MW2 y LAC, la CMI de OXA se redujo entre 10 y 100 veces tras la infección con Evo2 (Figura 2C). En general, estos resultados destacan la mayor variedad de hospedadores y la mayor actividad de Evo2.</w:t>
      </w:r>
    </w:p>
    <w:p w14:paraId="0A3DD130" w14:textId="77777777" w:rsidR="00542AC2" w:rsidRDefault="00542AC2" w:rsidP="001104C5">
      <w:pPr>
        <w:pStyle w:val="NoSpacing"/>
        <w:rPr>
          <w:rFonts w:ascii="Times New Roman" w:hAnsi="Times New Roman" w:cs="Times New Roman"/>
          <w:lang w:val="es-PR"/>
        </w:rPr>
      </w:pPr>
    </w:p>
    <w:p w14:paraId="1F324767" w14:textId="449386AF" w:rsidR="00542AC2" w:rsidRPr="00542AC2" w:rsidRDefault="00542AC2" w:rsidP="00542AC2">
      <w:pPr>
        <w:tabs>
          <w:tab w:val="left" w:pos="720"/>
        </w:tabs>
        <w:snapToGrid w:val="0"/>
        <w:jc w:val="both"/>
        <w:rPr>
          <w:rFonts w:ascii="Arial" w:hAnsi="Arial" w:cs="Arial"/>
          <w:b/>
          <w:bCs/>
          <w:lang w:val="es-PR"/>
        </w:rPr>
      </w:pPr>
      <w:r w:rsidRPr="00542AC2">
        <w:rPr>
          <w:rFonts w:ascii="Arial" w:hAnsi="Arial" w:cs="Arial"/>
          <w:b/>
          <w:bCs/>
          <w:lang w:val="es-PR"/>
        </w:rPr>
        <w:t xml:space="preserve">Tabla 3. Eficiencia de </w:t>
      </w:r>
      <w:r>
        <w:rPr>
          <w:rFonts w:ascii="Arial" w:hAnsi="Arial" w:cs="Arial"/>
          <w:b/>
          <w:bCs/>
          <w:lang w:val="es-PR"/>
        </w:rPr>
        <w:t>formación de placas (EOP)</w:t>
      </w:r>
      <w:r>
        <w:rPr>
          <w:rFonts w:ascii="Arial" w:hAnsi="Arial" w:cs="Arial"/>
          <w:b/>
          <w:bCs/>
          <w:vertAlign w:val="superscript"/>
          <w:lang w:val="es-PR"/>
        </w:rPr>
        <w:t>*</w:t>
      </w:r>
      <w:r>
        <w:rPr>
          <w:rFonts w:ascii="Arial" w:hAnsi="Arial" w:cs="Arial"/>
          <w:b/>
          <w:bCs/>
          <w:lang w:val="es-PR"/>
        </w:rPr>
        <w:t xml:space="preserve"> de </w:t>
      </w:r>
      <w:r w:rsidRPr="00324BB3">
        <w:rPr>
          <w:rStyle w:val="normaltextrun"/>
          <w:rFonts w:ascii="Arial" w:eastAsiaTheme="majorEastAsia" w:hAnsi="Arial" w:cs="Arial"/>
          <w:b/>
          <w:bCs/>
        </w:rPr>
        <w:t>Φ</w:t>
      </w:r>
      <w:r w:rsidRPr="00542AC2">
        <w:rPr>
          <w:rStyle w:val="normaltextrun"/>
          <w:rFonts w:ascii="Arial" w:eastAsiaTheme="majorEastAsia" w:hAnsi="Arial" w:cs="Arial"/>
          <w:b/>
          <w:bCs/>
          <w:lang w:val="es-PR"/>
        </w:rPr>
        <w:t xml:space="preserve">Staph1N, Evo2, and </w:t>
      </w:r>
      <w:r w:rsidRPr="00324BB3">
        <w:rPr>
          <w:rFonts w:ascii="Symbol" w:hAnsi="Symbol" w:cs="Arial"/>
          <w:b/>
          <w:bCs/>
        </w:rPr>
        <w:t>F</w:t>
      </w:r>
      <w:r w:rsidRPr="00542AC2">
        <w:rPr>
          <w:rFonts w:ascii="Arial" w:hAnsi="Arial" w:cs="Arial"/>
          <w:b/>
          <w:bCs/>
          <w:lang w:val="es-PR"/>
        </w:rPr>
        <w:t>NM1</w:t>
      </w:r>
      <w:r w:rsidRPr="00324BB3">
        <w:rPr>
          <w:rFonts w:ascii="Symbol" w:hAnsi="Symbol" w:cs="Arial"/>
          <w:b/>
          <w:bCs/>
        </w:rPr>
        <w:t>g</w:t>
      </w:r>
      <w:r w:rsidRPr="00542AC2">
        <w:rPr>
          <w:rFonts w:ascii="Arial" w:hAnsi="Arial" w:cs="Arial"/>
          <w:b/>
          <w:bCs/>
          <w:lang w:val="es-PR"/>
        </w:rPr>
        <w:t xml:space="preserve">6 </w:t>
      </w:r>
      <w:r>
        <w:rPr>
          <w:rFonts w:ascii="Arial" w:hAnsi="Arial" w:cs="Arial"/>
          <w:b/>
          <w:bCs/>
          <w:lang w:val="es-PR"/>
        </w:rPr>
        <w:t xml:space="preserve">en aislados clínicos del tipo </w:t>
      </w:r>
      <w:r w:rsidRPr="00542AC2">
        <w:rPr>
          <w:rFonts w:ascii="Arial" w:hAnsi="Arial" w:cs="Arial"/>
          <w:b/>
          <w:bCs/>
          <w:lang w:val="es-PR"/>
        </w:rPr>
        <w:t xml:space="preserve">USA300 (ADL1-30). </w:t>
      </w:r>
    </w:p>
    <w:p w14:paraId="66E9F89B" w14:textId="77777777" w:rsidR="00542AC2" w:rsidRPr="00542AC2" w:rsidRDefault="00542AC2" w:rsidP="00542AC2">
      <w:pPr>
        <w:jc w:val="both"/>
        <w:rPr>
          <w:lang w:val="es-PR"/>
        </w:rPr>
      </w:pPr>
    </w:p>
    <w:tbl>
      <w:tblPr>
        <w:tblW w:w="4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1289"/>
        <w:gridCol w:w="1218"/>
        <w:gridCol w:w="1218"/>
      </w:tblGrid>
      <w:tr w:rsidR="00542AC2" w:rsidRPr="00324BB3" w14:paraId="3666BDA1" w14:textId="77777777" w:rsidTr="00EC06DE">
        <w:trPr>
          <w:trHeight w:val="300"/>
          <w:jc w:val="center"/>
        </w:trPr>
        <w:tc>
          <w:tcPr>
            <w:tcW w:w="1060" w:type="dxa"/>
            <w:shd w:val="clear" w:color="auto" w:fill="auto"/>
            <w:noWrap/>
            <w:vAlign w:val="center"/>
            <w:hideMark/>
          </w:tcPr>
          <w:p w14:paraId="38F3495F" w14:textId="77777777" w:rsidR="00542AC2" w:rsidRPr="00324BB3" w:rsidRDefault="00542AC2" w:rsidP="00EC06DE">
            <w:pPr>
              <w:jc w:val="center"/>
              <w:rPr>
                <w:rFonts w:ascii="Arial" w:hAnsi="Arial" w:cs="Arial"/>
                <w:b/>
                <w:bCs/>
                <w:sz w:val="22"/>
                <w:szCs w:val="22"/>
              </w:rPr>
            </w:pPr>
            <w:r w:rsidRPr="00324BB3">
              <w:rPr>
                <w:rFonts w:ascii="Arial" w:hAnsi="Arial" w:cs="Arial"/>
                <w:b/>
                <w:bCs/>
                <w:sz w:val="22"/>
                <w:szCs w:val="22"/>
              </w:rPr>
              <w:t>Strain</w:t>
            </w:r>
          </w:p>
        </w:tc>
        <w:tc>
          <w:tcPr>
            <w:tcW w:w="1289" w:type="dxa"/>
            <w:shd w:val="clear" w:color="auto" w:fill="auto"/>
            <w:noWrap/>
            <w:vAlign w:val="center"/>
            <w:hideMark/>
          </w:tcPr>
          <w:p w14:paraId="68528D0A" w14:textId="77777777" w:rsidR="00542AC2" w:rsidRPr="00324BB3" w:rsidRDefault="00542AC2" w:rsidP="00EC06DE">
            <w:pPr>
              <w:jc w:val="center"/>
              <w:rPr>
                <w:rFonts w:ascii="Arial" w:hAnsi="Arial" w:cs="Arial"/>
                <w:b/>
                <w:bCs/>
                <w:color w:val="000000"/>
                <w:sz w:val="22"/>
                <w:szCs w:val="22"/>
              </w:rPr>
            </w:pPr>
            <w:r w:rsidRPr="00324BB3">
              <w:rPr>
                <w:rStyle w:val="normaltextrun"/>
                <w:rFonts w:ascii="Arial" w:eastAsiaTheme="majorEastAsia" w:hAnsi="Arial" w:cs="Arial"/>
                <w:b/>
                <w:bCs/>
                <w:sz w:val="22"/>
                <w:szCs w:val="22"/>
              </w:rPr>
              <w:t>ΦStaph1N</w:t>
            </w:r>
          </w:p>
        </w:tc>
        <w:tc>
          <w:tcPr>
            <w:tcW w:w="1218" w:type="dxa"/>
            <w:shd w:val="clear" w:color="auto" w:fill="auto"/>
            <w:noWrap/>
            <w:vAlign w:val="center"/>
            <w:hideMark/>
          </w:tcPr>
          <w:p w14:paraId="41F99612" w14:textId="77777777" w:rsidR="00542AC2" w:rsidRPr="00324BB3" w:rsidRDefault="00542AC2" w:rsidP="00EC06DE">
            <w:pPr>
              <w:jc w:val="center"/>
              <w:rPr>
                <w:rFonts w:ascii="Arial" w:hAnsi="Arial" w:cs="Arial"/>
                <w:b/>
                <w:bCs/>
                <w:color w:val="000000"/>
                <w:sz w:val="22"/>
                <w:szCs w:val="22"/>
              </w:rPr>
            </w:pPr>
            <w:r w:rsidRPr="00324BB3">
              <w:rPr>
                <w:rFonts w:ascii="Arial" w:hAnsi="Arial" w:cs="Arial"/>
                <w:b/>
                <w:bCs/>
                <w:color w:val="000000"/>
                <w:sz w:val="22"/>
                <w:szCs w:val="22"/>
              </w:rPr>
              <w:t>Evo2</w:t>
            </w:r>
          </w:p>
        </w:tc>
        <w:tc>
          <w:tcPr>
            <w:tcW w:w="1218" w:type="dxa"/>
            <w:shd w:val="clear" w:color="auto" w:fill="auto"/>
            <w:noWrap/>
            <w:vAlign w:val="center"/>
            <w:hideMark/>
          </w:tcPr>
          <w:p w14:paraId="1EFEF76C" w14:textId="77777777" w:rsidR="00542AC2" w:rsidRPr="00324BB3" w:rsidRDefault="00542AC2" w:rsidP="00EC06DE">
            <w:pPr>
              <w:jc w:val="center"/>
              <w:rPr>
                <w:rFonts w:ascii="Arial" w:hAnsi="Arial" w:cs="Arial"/>
                <w:b/>
                <w:bCs/>
                <w:color w:val="000000"/>
                <w:sz w:val="22"/>
                <w:szCs w:val="22"/>
              </w:rPr>
            </w:pPr>
            <w:r w:rsidRPr="00324BB3">
              <w:rPr>
                <w:rFonts w:ascii="Symbol" w:hAnsi="Symbol" w:cs="Arial"/>
                <w:b/>
                <w:bCs/>
                <w:sz w:val="22"/>
                <w:szCs w:val="22"/>
              </w:rPr>
              <w:t>F</w:t>
            </w:r>
            <w:r w:rsidRPr="00324BB3">
              <w:rPr>
                <w:rFonts w:ascii="Arial" w:hAnsi="Arial" w:cs="Arial"/>
                <w:b/>
                <w:bCs/>
                <w:sz w:val="22"/>
                <w:szCs w:val="22"/>
              </w:rPr>
              <w:t>NM1</w:t>
            </w:r>
            <w:r w:rsidRPr="00324BB3">
              <w:rPr>
                <w:rFonts w:ascii="Symbol" w:hAnsi="Symbol" w:cs="Arial"/>
                <w:b/>
                <w:bCs/>
                <w:sz w:val="22"/>
                <w:szCs w:val="22"/>
              </w:rPr>
              <w:t>g</w:t>
            </w:r>
            <w:r w:rsidRPr="00324BB3">
              <w:rPr>
                <w:rFonts w:ascii="Arial" w:hAnsi="Arial" w:cs="Arial"/>
                <w:b/>
                <w:bCs/>
                <w:sz w:val="22"/>
                <w:szCs w:val="22"/>
              </w:rPr>
              <w:t>6</w:t>
            </w:r>
          </w:p>
        </w:tc>
      </w:tr>
      <w:tr w:rsidR="00542AC2" w:rsidRPr="00324BB3" w14:paraId="780CF4A3" w14:textId="77777777" w:rsidTr="00EC06DE">
        <w:trPr>
          <w:trHeight w:val="300"/>
          <w:jc w:val="center"/>
        </w:trPr>
        <w:tc>
          <w:tcPr>
            <w:tcW w:w="1060" w:type="dxa"/>
            <w:shd w:val="clear" w:color="auto" w:fill="auto"/>
            <w:noWrap/>
            <w:vAlign w:val="center"/>
            <w:hideMark/>
          </w:tcPr>
          <w:p w14:paraId="1E85A9B3"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RN4220</w:t>
            </w:r>
          </w:p>
        </w:tc>
        <w:tc>
          <w:tcPr>
            <w:tcW w:w="1289" w:type="dxa"/>
            <w:shd w:val="clear" w:color="auto" w:fill="auto"/>
            <w:noWrap/>
            <w:vAlign w:val="center"/>
            <w:hideMark/>
          </w:tcPr>
          <w:p w14:paraId="08CBF433"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1.0E+00</w:t>
            </w:r>
          </w:p>
        </w:tc>
        <w:tc>
          <w:tcPr>
            <w:tcW w:w="1218" w:type="dxa"/>
            <w:shd w:val="clear" w:color="auto" w:fill="auto"/>
            <w:noWrap/>
            <w:vAlign w:val="center"/>
            <w:hideMark/>
          </w:tcPr>
          <w:p w14:paraId="1363F689"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1.0E+00</w:t>
            </w:r>
          </w:p>
        </w:tc>
        <w:tc>
          <w:tcPr>
            <w:tcW w:w="1218" w:type="dxa"/>
            <w:shd w:val="clear" w:color="auto" w:fill="auto"/>
            <w:noWrap/>
            <w:vAlign w:val="center"/>
            <w:hideMark/>
          </w:tcPr>
          <w:p w14:paraId="7CF5AD79"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1.0E+00</w:t>
            </w:r>
          </w:p>
        </w:tc>
      </w:tr>
      <w:tr w:rsidR="00542AC2" w:rsidRPr="00324BB3" w14:paraId="113C294F" w14:textId="77777777" w:rsidTr="00EC06DE">
        <w:trPr>
          <w:trHeight w:val="300"/>
          <w:jc w:val="center"/>
        </w:trPr>
        <w:tc>
          <w:tcPr>
            <w:tcW w:w="1060" w:type="dxa"/>
            <w:shd w:val="clear" w:color="auto" w:fill="auto"/>
            <w:noWrap/>
            <w:vAlign w:val="center"/>
            <w:hideMark/>
          </w:tcPr>
          <w:p w14:paraId="241210D2"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ADL1</w:t>
            </w:r>
          </w:p>
        </w:tc>
        <w:tc>
          <w:tcPr>
            <w:tcW w:w="1289" w:type="dxa"/>
            <w:shd w:val="clear" w:color="auto" w:fill="auto"/>
            <w:noWrap/>
            <w:vAlign w:val="center"/>
            <w:hideMark/>
          </w:tcPr>
          <w:p w14:paraId="641C08A7"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1.7E-02</w:t>
            </w:r>
          </w:p>
        </w:tc>
        <w:tc>
          <w:tcPr>
            <w:tcW w:w="1218" w:type="dxa"/>
            <w:shd w:val="clear" w:color="auto" w:fill="auto"/>
            <w:noWrap/>
            <w:vAlign w:val="center"/>
            <w:hideMark/>
          </w:tcPr>
          <w:p w14:paraId="2284C9A2"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2.7E+00</w:t>
            </w:r>
          </w:p>
        </w:tc>
        <w:tc>
          <w:tcPr>
            <w:tcW w:w="1218" w:type="dxa"/>
            <w:shd w:val="clear" w:color="auto" w:fill="auto"/>
            <w:noWrap/>
            <w:vAlign w:val="center"/>
            <w:hideMark/>
          </w:tcPr>
          <w:p w14:paraId="5B3812F5"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6.7E-01</w:t>
            </w:r>
          </w:p>
        </w:tc>
      </w:tr>
      <w:tr w:rsidR="00542AC2" w:rsidRPr="00324BB3" w14:paraId="219FDFEB" w14:textId="77777777" w:rsidTr="00EC06DE">
        <w:trPr>
          <w:trHeight w:val="300"/>
          <w:jc w:val="center"/>
        </w:trPr>
        <w:tc>
          <w:tcPr>
            <w:tcW w:w="1060" w:type="dxa"/>
            <w:shd w:val="clear" w:color="auto" w:fill="auto"/>
            <w:noWrap/>
            <w:vAlign w:val="center"/>
            <w:hideMark/>
          </w:tcPr>
          <w:p w14:paraId="4C09692E"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ADL2</w:t>
            </w:r>
          </w:p>
        </w:tc>
        <w:tc>
          <w:tcPr>
            <w:tcW w:w="1289" w:type="dxa"/>
            <w:shd w:val="clear" w:color="auto" w:fill="auto"/>
            <w:noWrap/>
            <w:vAlign w:val="center"/>
            <w:hideMark/>
          </w:tcPr>
          <w:p w14:paraId="2014ED5E"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2.0E-01</w:t>
            </w:r>
          </w:p>
        </w:tc>
        <w:tc>
          <w:tcPr>
            <w:tcW w:w="1218" w:type="dxa"/>
            <w:shd w:val="clear" w:color="auto" w:fill="auto"/>
            <w:noWrap/>
            <w:vAlign w:val="center"/>
            <w:hideMark/>
          </w:tcPr>
          <w:p w14:paraId="5DE2F8F4"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3.3E+00</w:t>
            </w:r>
          </w:p>
        </w:tc>
        <w:tc>
          <w:tcPr>
            <w:tcW w:w="1218" w:type="dxa"/>
            <w:shd w:val="clear" w:color="auto" w:fill="auto"/>
            <w:noWrap/>
            <w:vAlign w:val="center"/>
            <w:hideMark/>
          </w:tcPr>
          <w:p w14:paraId="67757F41"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1.0E+00</w:t>
            </w:r>
          </w:p>
        </w:tc>
      </w:tr>
      <w:tr w:rsidR="00542AC2" w:rsidRPr="00324BB3" w14:paraId="61BB6F9D" w14:textId="77777777" w:rsidTr="00EC06DE">
        <w:trPr>
          <w:trHeight w:val="300"/>
          <w:jc w:val="center"/>
        </w:trPr>
        <w:tc>
          <w:tcPr>
            <w:tcW w:w="1060" w:type="dxa"/>
            <w:shd w:val="clear" w:color="auto" w:fill="auto"/>
            <w:noWrap/>
            <w:vAlign w:val="center"/>
            <w:hideMark/>
          </w:tcPr>
          <w:p w14:paraId="0D5E0527"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ADL3</w:t>
            </w:r>
          </w:p>
        </w:tc>
        <w:tc>
          <w:tcPr>
            <w:tcW w:w="1289" w:type="dxa"/>
            <w:shd w:val="clear" w:color="auto" w:fill="auto"/>
            <w:noWrap/>
            <w:vAlign w:val="center"/>
            <w:hideMark/>
          </w:tcPr>
          <w:p w14:paraId="6AF86748"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6.0E-02</w:t>
            </w:r>
          </w:p>
        </w:tc>
        <w:tc>
          <w:tcPr>
            <w:tcW w:w="1218" w:type="dxa"/>
            <w:shd w:val="clear" w:color="auto" w:fill="auto"/>
            <w:noWrap/>
            <w:vAlign w:val="center"/>
            <w:hideMark/>
          </w:tcPr>
          <w:p w14:paraId="569F253F"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2.0E+00</w:t>
            </w:r>
          </w:p>
        </w:tc>
        <w:tc>
          <w:tcPr>
            <w:tcW w:w="1218" w:type="dxa"/>
            <w:shd w:val="clear" w:color="auto" w:fill="auto"/>
            <w:noWrap/>
            <w:vAlign w:val="center"/>
            <w:hideMark/>
          </w:tcPr>
          <w:p w14:paraId="3264D7E6"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1.7E-02</w:t>
            </w:r>
          </w:p>
        </w:tc>
      </w:tr>
      <w:tr w:rsidR="00542AC2" w:rsidRPr="00324BB3" w14:paraId="764CB77C" w14:textId="77777777" w:rsidTr="00EC06DE">
        <w:trPr>
          <w:trHeight w:val="300"/>
          <w:jc w:val="center"/>
        </w:trPr>
        <w:tc>
          <w:tcPr>
            <w:tcW w:w="1060" w:type="dxa"/>
            <w:shd w:val="clear" w:color="auto" w:fill="auto"/>
            <w:noWrap/>
            <w:vAlign w:val="center"/>
            <w:hideMark/>
          </w:tcPr>
          <w:p w14:paraId="6EB5CACD"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ADL4</w:t>
            </w:r>
          </w:p>
        </w:tc>
        <w:tc>
          <w:tcPr>
            <w:tcW w:w="1289" w:type="dxa"/>
            <w:shd w:val="clear" w:color="auto" w:fill="auto"/>
            <w:noWrap/>
            <w:vAlign w:val="center"/>
            <w:hideMark/>
          </w:tcPr>
          <w:p w14:paraId="4F320279"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1.3E-03</w:t>
            </w:r>
          </w:p>
        </w:tc>
        <w:tc>
          <w:tcPr>
            <w:tcW w:w="1218" w:type="dxa"/>
            <w:shd w:val="clear" w:color="auto" w:fill="auto"/>
            <w:noWrap/>
            <w:vAlign w:val="center"/>
            <w:hideMark/>
          </w:tcPr>
          <w:p w14:paraId="4C95BA4B"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1.0E+00</w:t>
            </w:r>
          </w:p>
        </w:tc>
        <w:tc>
          <w:tcPr>
            <w:tcW w:w="1218" w:type="dxa"/>
            <w:shd w:val="clear" w:color="auto" w:fill="auto"/>
            <w:noWrap/>
            <w:vAlign w:val="center"/>
            <w:hideMark/>
          </w:tcPr>
          <w:p w14:paraId="27189D06"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1.7E-01</w:t>
            </w:r>
          </w:p>
        </w:tc>
      </w:tr>
      <w:tr w:rsidR="00542AC2" w:rsidRPr="00324BB3" w14:paraId="6D44FC6A" w14:textId="77777777" w:rsidTr="00EC06DE">
        <w:trPr>
          <w:trHeight w:val="300"/>
          <w:jc w:val="center"/>
        </w:trPr>
        <w:tc>
          <w:tcPr>
            <w:tcW w:w="1060" w:type="dxa"/>
            <w:shd w:val="clear" w:color="auto" w:fill="auto"/>
            <w:noWrap/>
            <w:vAlign w:val="center"/>
            <w:hideMark/>
          </w:tcPr>
          <w:p w14:paraId="7827F4BF"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ADL5</w:t>
            </w:r>
          </w:p>
        </w:tc>
        <w:tc>
          <w:tcPr>
            <w:tcW w:w="1289" w:type="dxa"/>
            <w:shd w:val="clear" w:color="auto" w:fill="auto"/>
            <w:noWrap/>
            <w:vAlign w:val="center"/>
            <w:hideMark/>
          </w:tcPr>
          <w:p w14:paraId="2FE54863"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1.2E-02</w:t>
            </w:r>
          </w:p>
        </w:tc>
        <w:tc>
          <w:tcPr>
            <w:tcW w:w="1218" w:type="dxa"/>
            <w:shd w:val="clear" w:color="auto" w:fill="auto"/>
            <w:noWrap/>
            <w:vAlign w:val="center"/>
            <w:hideMark/>
          </w:tcPr>
          <w:p w14:paraId="0A16C154"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2.7E+00</w:t>
            </w:r>
          </w:p>
        </w:tc>
        <w:tc>
          <w:tcPr>
            <w:tcW w:w="1218" w:type="dxa"/>
            <w:shd w:val="clear" w:color="auto" w:fill="auto"/>
            <w:noWrap/>
            <w:vAlign w:val="center"/>
            <w:hideMark/>
          </w:tcPr>
          <w:p w14:paraId="2603724F"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1.0E+00</w:t>
            </w:r>
          </w:p>
        </w:tc>
      </w:tr>
      <w:tr w:rsidR="00542AC2" w:rsidRPr="00324BB3" w14:paraId="290F8E1E" w14:textId="77777777" w:rsidTr="00EC06DE">
        <w:trPr>
          <w:trHeight w:val="300"/>
          <w:jc w:val="center"/>
        </w:trPr>
        <w:tc>
          <w:tcPr>
            <w:tcW w:w="1060" w:type="dxa"/>
            <w:shd w:val="clear" w:color="auto" w:fill="auto"/>
            <w:noWrap/>
            <w:vAlign w:val="center"/>
            <w:hideMark/>
          </w:tcPr>
          <w:p w14:paraId="0A9465CC"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ADL6</w:t>
            </w:r>
          </w:p>
        </w:tc>
        <w:tc>
          <w:tcPr>
            <w:tcW w:w="1289" w:type="dxa"/>
            <w:shd w:val="clear" w:color="auto" w:fill="auto"/>
            <w:noWrap/>
            <w:vAlign w:val="center"/>
            <w:hideMark/>
          </w:tcPr>
          <w:p w14:paraId="7A11FD2D"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1.5E-02</w:t>
            </w:r>
          </w:p>
        </w:tc>
        <w:tc>
          <w:tcPr>
            <w:tcW w:w="1218" w:type="dxa"/>
            <w:shd w:val="clear" w:color="auto" w:fill="auto"/>
            <w:noWrap/>
            <w:vAlign w:val="center"/>
            <w:hideMark/>
          </w:tcPr>
          <w:p w14:paraId="1F2A9EC9"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1.7E+00</w:t>
            </w:r>
          </w:p>
        </w:tc>
        <w:tc>
          <w:tcPr>
            <w:tcW w:w="1218" w:type="dxa"/>
            <w:shd w:val="clear" w:color="auto" w:fill="auto"/>
            <w:noWrap/>
            <w:vAlign w:val="center"/>
            <w:hideMark/>
          </w:tcPr>
          <w:p w14:paraId="411A4D2D"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1.0E+00</w:t>
            </w:r>
          </w:p>
        </w:tc>
      </w:tr>
      <w:tr w:rsidR="00542AC2" w:rsidRPr="00324BB3" w14:paraId="15A3E748" w14:textId="77777777" w:rsidTr="00EC06DE">
        <w:trPr>
          <w:trHeight w:val="300"/>
          <w:jc w:val="center"/>
        </w:trPr>
        <w:tc>
          <w:tcPr>
            <w:tcW w:w="1060" w:type="dxa"/>
            <w:shd w:val="clear" w:color="auto" w:fill="auto"/>
            <w:noWrap/>
            <w:vAlign w:val="center"/>
            <w:hideMark/>
          </w:tcPr>
          <w:p w14:paraId="54CBD569"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ADL7</w:t>
            </w:r>
          </w:p>
        </w:tc>
        <w:tc>
          <w:tcPr>
            <w:tcW w:w="1289" w:type="dxa"/>
            <w:shd w:val="clear" w:color="auto" w:fill="auto"/>
            <w:noWrap/>
            <w:vAlign w:val="center"/>
            <w:hideMark/>
          </w:tcPr>
          <w:p w14:paraId="2AC7060C"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6.0E-01</w:t>
            </w:r>
          </w:p>
        </w:tc>
        <w:tc>
          <w:tcPr>
            <w:tcW w:w="1218" w:type="dxa"/>
            <w:shd w:val="clear" w:color="auto" w:fill="auto"/>
            <w:noWrap/>
            <w:vAlign w:val="center"/>
            <w:hideMark/>
          </w:tcPr>
          <w:p w14:paraId="303FB93A"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1.7E+00</w:t>
            </w:r>
          </w:p>
        </w:tc>
        <w:tc>
          <w:tcPr>
            <w:tcW w:w="1218" w:type="dxa"/>
            <w:shd w:val="clear" w:color="auto" w:fill="auto"/>
            <w:noWrap/>
            <w:vAlign w:val="center"/>
            <w:hideMark/>
          </w:tcPr>
          <w:p w14:paraId="17B1A8C2"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6.7E-01</w:t>
            </w:r>
          </w:p>
        </w:tc>
      </w:tr>
      <w:tr w:rsidR="00542AC2" w:rsidRPr="00324BB3" w14:paraId="381D2646" w14:textId="77777777" w:rsidTr="00EC06DE">
        <w:trPr>
          <w:trHeight w:val="300"/>
          <w:jc w:val="center"/>
        </w:trPr>
        <w:tc>
          <w:tcPr>
            <w:tcW w:w="1060" w:type="dxa"/>
            <w:shd w:val="clear" w:color="auto" w:fill="auto"/>
            <w:noWrap/>
            <w:vAlign w:val="center"/>
            <w:hideMark/>
          </w:tcPr>
          <w:p w14:paraId="4BEC6F9A"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ADL8</w:t>
            </w:r>
          </w:p>
        </w:tc>
        <w:tc>
          <w:tcPr>
            <w:tcW w:w="1289" w:type="dxa"/>
            <w:shd w:val="clear" w:color="auto" w:fill="auto"/>
            <w:noWrap/>
            <w:vAlign w:val="center"/>
            <w:hideMark/>
          </w:tcPr>
          <w:p w14:paraId="4882347F"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9.0E-02</w:t>
            </w:r>
          </w:p>
        </w:tc>
        <w:tc>
          <w:tcPr>
            <w:tcW w:w="1218" w:type="dxa"/>
            <w:shd w:val="clear" w:color="auto" w:fill="auto"/>
            <w:noWrap/>
            <w:vAlign w:val="center"/>
            <w:hideMark/>
          </w:tcPr>
          <w:p w14:paraId="4624C5E7"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2.0E+00</w:t>
            </w:r>
          </w:p>
        </w:tc>
        <w:tc>
          <w:tcPr>
            <w:tcW w:w="1218" w:type="dxa"/>
            <w:shd w:val="clear" w:color="auto" w:fill="auto"/>
            <w:noWrap/>
            <w:vAlign w:val="center"/>
            <w:hideMark/>
          </w:tcPr>
          <w:p w14:paraId="0BC8F9A0"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3.3E-01</w:t>
            </w:r>
          </w:p>
        </w:tc>
      </w:tr>
      <w:tr w:rsidR="00542AC2" w:rsidRPr="00324BB3" w14:paraId="2FFCE3FE" w14:textId="77777777" w:rsidTr="00EC06DE">
        <w:trPr>
          <w:trHeight w:val="300"/>
          <w:jc w:val="center"/>
        </w:trPr>
        <w:tc>
          <w:tcPr>
            <w:tcW w:w="1060" w:type="dxa"/>
            <w:shd w:val="clear" w:color="auto" w:fill="auto"/>
            <w:noWrap/>
            <w:vAlign w:val="center"/>
            <w:hideMark/>
          </w:tcPr>
          <w:p w14:paraId="51521948"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ADL9</w:t>
            </w:r>
          </w:p>
        </w:tc>
        <w:tc>
          <w:tcPr>
            <w:tcW w:w="1289" w:type="dxa"/>
            <w:shd w:val="clear" w:color="auto" w:fill="auto"/>
            <w:noWrap/>
            <w:vAlign w:val="center"/>
            <w:hideMark/>
          </w:tcPr>
          <w:p w14:paraId="55A0AE6E"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6.0E-03</w:t>
            </w:r>
          </w:p>
        </w:tc>
        <w:tc>
          <w:tcPr>
            <w:tcW w:w="1218" w:type="dxa"/>
            <w:shd w:val="clear" w:color="auto" w:fill="auto"/>
            <w:noWrap/>
            <w:vAlign w:val="center"/>
            <w:hideMark/>
          </w:tcPr>
          <w:p w14:paraId="1050928C"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1.3E+00</w:t>
            </w:r>
          </w:p>
        </w:tc>
        <w:tc>
          <w:tcPr>
            <w:tcW w:w="1218" w:type="dxa"/>
            <w:shd w:val="clear" w:color="auto" w:fill="auto"/>
            <w:noWrap/>
            <w:vAlign w:val="center"/>
            <w:hideMark/>
          </w:tcPr>
          <w:p w14:paraId="7E12BD80"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2.0E-04</w:t>
            </w:r>
          </w:p>
        </w:tc>
      </w:tr>
      <w:tr w:rsidR="00542AC2" w:rsidRPr="00324BB3" w14:paraId="31538AAC" w14:textId="77777777" w:rsidTr="00EC06DE">
        <w:trPr>
          <w:trHeight w:val="300"/>
          <w:jc w:val="center"/>
        </w:trPr>
        <w:tc>
          <w:tcPr>
            <w:tcW w:w="1060" w:type="dxa"/>
            <w:shd w:val="clear" w:color="auto" w:fill="auto"/>
            <w:noWrap/>
            <w:vAlign w:val="center"/>
            <w:hideMark/>
          </w:tcPr>
          <w:p w14:paraId="13C350EE"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ADL10</w:t>
            </w:r>
          </w:p>
        </w:tc>
        <w:tc>
          <w:tcPr>
            <w:tcW w:w="1289" w:type="dxa"/>
            <w:shd w:val="clear" w:color="auto" w:fill="auto"/>
            <w:noWrap/>
            <w:vAlign w:val="center"/>
            <w:hideMark/>
          </w:tcPr>
          <w:p w14:paraId="47048324"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5.0E-01</w:t>
            </w:r>
          </w:p>
        </w:tc>
        <w:tc>
          <w:tcPr>
            <w:tcW w:w="1218" w:type="dxa"/>
            <w:shd w:val="clear" w:color="auto" w:fill="auto"/>
            <w:noWrap/>
            <w:vAlign w:val="center"/>
            <w:hideMark/>
          </w:tcPr>
          <w:p w14:paraId="1327DD43"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1.3E+00</w:t>
            </w:r>
          </w:p>
        </w:tc>
        <w:tc>
          <w:tcPr>
            <w:tcW w:w="1218" w:type="dxa"/>
            <w:shd w:val="clear" w:color="auto" w:fill="auto"/>
            <w:noWrap/>
            <w:vAlign w:val="center"/>
            <w:hideMark/>
          </w:tcPr>
          <w:p w14:paraId="7B601D5E"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1.0E-03</w:t>
            </w:r>
          </w:p>
        </w:tc>
      </w:tr>
      <w:tr w:rsidR="00542AC2" w:rsidRPr="00324BB3" w14:paraId="6EE61C4C" w14:textId="77777777" w:rsidTr="00EC06DE">
        <w:trPr>
          <w:trHeight w:val="300"/>
          <w:jc w:val="center"/>
        </w:trPr>
        <w:tc>
          <w:tcPr>
            <w:tcW w:w="1060" w:type="dxa"/>
            <w:shd w:val="clear" w:color="auto" w:fill="auto"/>
            <w:noWrap/>
            <w:vAlign w:val="center"/>
            <w:hideMark/>
          </w:tcPr>
          <w:p w14:paraId="6CFBB522"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ADL11</w:t>
            </w:r>
          </w:p>
        </w:tc>
        <w:tc>
          <w:tcPr>
            <w:tcW w:w="1289" w:type="dxa"/>
            <w:shd w:val="clear" w:color="auto" w:fill="auto"/>
            <w:noWrap/>
            <w:vAlign w:val="center"/>
            <w:hideMark/>
          </w:tcPr>
          <w:p w14:paraId="0F60D297"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1.0E+00</w:t>
            </w:r>
          </w:p>
        </w:tc>
        <w:tc>
          <w:tcPr>
            <w:tcW w:w="1218" w:type="dxa"/>
            <w:shd w:val="clear" w:color="auto" w:fill="auto"/>
            <w:noWrap/>
            <w:vAlign w:val="center"/>
            <w:hideMark/>
          </w:tcPr>
          <w:p w14:paraId="107B9A70"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1.0E+00</w:t>
            </w:r>
          </w:p>
        </w:tc>
        <w:tc>
          <w:tcPr>
            <w:tcW w:w="1218" w:type="dxa"/>
            <w:shd w:val="clear" w:color="auto" w:fill="auto"/>
            <w:noWrap/>
            <w:vAlign w:val="center"/>
            <w:hideMark/>
          </w:tcPr>
          <w:p w14:paraId="70E07B46"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3.3E-01</w:t>
            </w:r>
          </w:p>
        </w:tc>
      </w:tr>
      <w:tr w:rsidR="00542AC2" w:rsidRPr="00324BB3" w14:paraId="6C2E6CF2" w14:textId="77777777" w:rsidTr="00EC06DE">
        <w:trPr>
          <w:trHeight w:val="300"/>
          <w:jc w:val="center"/>
        </w:trPr>
        <w:tc>
          <w:tcPr>
            <w:tcW w:w="1060" w:type="dxa"/>
            <w:shd w:val="clear" w:color="auto" w:fill="auto"/>
            <w:noWrap/>
            <w:vAlign w:val="center"/>
            <w:hideMark/>
          </w:tcPr>
          <w:p w14:paraId="0CD870CB"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ADL12</w:t>
            </w:r>
          </w:p>
        </w:tc>
        <w:tc>
          <w:tcPr>
            <w:tcW w:w="1289" w:type="dxa"/>
            <w:shd w:val="clear" w:color="auto" w:fill="auto"/>
            <w:noWrap/>
            <w:vAlign w:val="center"/>
            <w:hideMark/>
          </w:tcPr>
          <w:p w14:paraId="666BE5D9"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9.0E-04</w:t>
            </w:r>
          </w:p>
        </w:tc>
        <w:tc>
          <w:tcPr>
            <w:tcW w:w="1218" w:type="dxa"/>
            <w:shd w:val="clear" w:color="auto" w:fill="auto"/>
            <w:noWrap/>
            <w:vAlign w:val="center"/>
            <w:hideMark/>
          </w:tcPr>
          <w:p w14:paraId="545DA852"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2.0E+00</w:t>
            </w:r>
          </w:p>
        </w:tc>
        <w:tc>
          <w:tcPr>
            <w:tcW w:w="1218" w:type="dxa"/>
            <w:shd w:val="clear" w:color="auto" w:fill="auto"/>
            <w:noWrap/>
            <w:vAlign w:val="center"/>
            <w:hideMark/>
          </w:tcPr>
          <w:p w14:paraId="280F409C"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6.7E-07</w:t>
            </w:r>
          </w:p>
        </w:tc>
      </w:tr>
      <w:tr w:rsidR="00542AC2" w:rsidRPr="00324BB3" w14:paraId="0164966C" w14:textId="77777777" w:rsidTr="00EC06DE">
        <w:trPr>
          <w:trHeight w:val="300"/>
          <w:jc w:val="center"/>
        </w:trPr>
        <w:tc>
          <w:tcPr>
            <w:tcW w:w="1060" w:type="dxa"/>
            <w:shd w:val="clear" w:color="auto" w:fill="auto"/>
            <w:noWrap/>
            <w:vAlign w:val="center"/>
            <w:hideMark/>
          </w:tcPr>
          <w:p w14:paraId="4C167CAB"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ADL13</w:t>
            </w:r>
          </w:p>
        </w:tc>
        <w:tc>
          <w:tcPr>
            <w:tcW w:w="1289" w:type="dxa"/>
            <w:shd w:val="clear" w:color="auto" w:fill="auto"/>
            <w:noWrap/>
            <w:vAlign w:val="center"/>
            <w:hideMark/>
          </w:tcPr>
          <w:p w14:paraId="15B99699"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7.0E-02</w:t>
            </w:r>
          </w:p>
        </w:tc>
        <w:tc>
          <w:tcPr>
            <w:tcW w:w="1218" w:type="dxa"/>
            <w:shd w:val="clear" w:color="auto" w:fill="auto"/>
            <w:noWrap/>
            <w:vAlign w:val="center"/>
            <w:hideMark/>
          </w:tcPr>
          <w:p w14:paraId="0BD32355"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2.7E+00</w:t>
            </w:r>
          </w:p>
        </w:tc>
        <w:tc>
          <w:tcPr>
            <w:tcW w:w="1218" w:type="dxa"/>
            <w:shd w:val="clear" w:color="auto" w:fill="auto"/>
            <w:noWrap/>
            <w:vAlign w:val="center"/>
            <w:hideMark/>
          </w:tcPr>
          <w:p w14:paraId="3DFF2CC0"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2.3E-01</w:t>
            </w:r>
          </w:p>
        </w:tc>
      </w:tr>
      <w:tr w:rsidR="00542AC2" w:rsidRPr="00324BB3" w14:paraId="3D0D596F" w14:textId="77777777" w:rsidTr="00EC06DE">
        <w:trPr>
          <w:trHeight w:val="300"/>
          <w:jc w:val="center"/>
        </w:trPr>
        <w:tc>
          <w:tcPr>
            <w:tcW w:w="1060" w:type="dxa"/>
            <w:shd w:val="clear" w:color="auto" w:fill="auto"/>
            <w:noWrap/>
            <w:vAlign w:val="center"/>
            <w:hideMark/>
          </w:tcPr>
          <w:p w14:paraId="0AEB6A74"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ADL14</w:t>
            </w:r>
          </w:p>
        </w:tc>
        <w:tc>
          <w:tcPr>
            <w:tcW w:w="1289" w:type="dxa"/>
            <w:shd w:val="clear" w:color="auto" w:fill="auto"/>
            <w:noWrap/>
            <w:vAlign w:val="center"/>
            <w:hideMark/>
          </w:tcPr>
          <w:p w14:paraId="045FA6FB"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2.7E-01</w:t>
            </w:r>
          </w:p>
        </w:tc>
        <w:tc>
          <w:tcPr>
            <w:tcW w:w="1218" w:type="dxa"/>
            <w:shd w:val="clear" w:color="auto" w:fill="auto"/>
            <w:noWrap/>
            <w:vAlign w:val="center"/>
            <w:hideMark/>
          </w:tcPr>
          <w:p w14:paraId="6495AB0F"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3.3E+00</w:t>
            </w:r>
          </w:p>
        </w:tc>
        <w:tc>
          <w:tcPr>
            <w:tcW w:w="1218" w:type="dxa"/>
            <w:shd w:val="clear" w:color="auto" w:fill="auto"/>
            <w:noWrap/>
            <w:vAlign w:val="center"/>
            <w:hideMark/>
          </w:tcPr>
          <w:p w14:paraId="5CD045A9"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1.0E-05</w:t>
            </w:r>
          </w:p>
        </w:tc>
      </w:tr>
      <w:tr w:rsidR="00542AC2" w:rsidRPr="00324BB3" w14:paraId="4E1B8197" w14:textId="77777777" w:rsidTr="00EC06DE">
        <w:trPr>
          <w:trHeight w:val="300"/>
          <w:jc w:val="center"/>
        </w:trPr>
        <w:tc>
          <w:tcPr>
            <w:tcW w:w="1060" w:type="dxa"/>
            <w:shd w:val="clear" w:color="auto" w:fill="auto"/>
            <w:noWrap/>
            <w:vAlign w:val="center"/>
            <w:hideMark/>
          </w:tcPr>
          <w:p w14:paraId="442CC686"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ADL15</w:t>
            </w:r>
          </w:p>
        </w:tc>
        <w:tc>
          <w:tcPr>
            <w:tcW w:w="1289" w:type="dxa"/>
            <w:shd w:val="clear" w:color="auto" w:fill="auto"/>
            <w:noWrap/>
            <w:vAlign w:val="center"/>
            <w:hideMark/>
          </w:tcPr>
          <w:p w14:paraId="04C8DC4C"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9.0E-02</w:t>
            </w:r>
          </w:p>
        </w:tc>
        <w:tc>
          <w:tcPr>
            <w:tcW w:w="1218" w:type="dxa"/>
            <w:shd w:val="clear" w:color="auto" w:fill="auto"/>
            <w:noWrap/>
            <w:vAlign w:val="center"/>
            <w:hideMark/>
          </w:tcPr>
          <w:p w14:paraId="28B80C61"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3.0E+00</w:t>
            </w:r>
          </w:p>
        </w:tc>
        <w:tc>
          <w:tcPr>
            <w:tcW w:w="1218" w:type="dxa"/>
            <w:shd w:val="clear" w:color="auto" w:fill="auto"/>
            <w:noWrap/>
            <w:vAlign w:val="center"/>
            <w:hideMark/>
          </w:tcPr>
          <w:p w14:paraId="37BFA4A1"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2.0E-02</w:t>
            </w:r>
          </w:p>
        </w:tc>
      </w:tr>
      <w:tr w:rsidR="00542AC2" w:rsidRPr="00324BB3" w14:paraId="6693FAC0" w14:textId="77777777" w:rsidTr="00EC06DE">
        <w:trPr>
          <w:trHeight w:val="320"/>
          <w:jc w:val="center"/>
        </w:trPr>
        <w:tc>
          <w:tcPr>
            <w:tcW w:w="1060" w:type="dxa"/>
            <w:shd w:val="clear" w:color="auto" w:fill="auto"/>
            <w:noWrap/>
            <w:vAlign w:val="center"/>
            <w:hideMark/>
          </w:tcPr>
          <w:p w14:paraId="1047542D"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ADL16</w:t>
            </w:r>
          </w:p>
        </w:tc>
        <w:tc>
          <w:tcPr>
            <w:tcW w:w="1289" w:type="dxa"/>
            <w:shd w:val="clear" w:color="auto" w:fill="auto"/>
            <w:noWrap/>
            <w:vAlign w:val="center"/>
            <w:hideMark/>
          </w:tcPr>
          <w:p w14:paraId="1B74FF6B"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2.4E-01</w:t>
            </w:r>
          </w:p>
        </w:tc>
        <w:tc>
          <w:tcPr>
            <w:tcW w:w="1218" w:type="dxa"/>
            <w:shd w:val="clear" w:color="auto" w:fill="auto"/>
            <w:noWrap/>
            <w:vAlign w:val="center"/>
            <w:hideMark/>
          </w:tcPr>
          <w:p w14:paraId="727760C5"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5.6E+00</w:t>
            </w:r>
          </w:p>
        </w:tc>
        <w:tc>
          <w:tcPr>
            <w:tcW w:w="1218" w:type="dxa"/>
            <w:shd w:val="clear" w:color="auto" w:fill="auto"/>
            <w:noWrap/>
            <w:vAlign w:val="center"/>
            <w:hideMark/>
          </w:tcPr>
          <w:p w14:paraId="68C8488B"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7.8E-02</w:t>
            </w:r>
          </w:p>
        </w:tc>
      </w:tr>
      <w:tr w:rsidR="00542AC2" w:rsidRPr="00324BB3" w14:paraId="5C3D4EE4" w14:textId="77777777" w:rsidTr="00EC06DE">
        <w:trPr>
          <w:trHeight w:val="320"/>
          <w:jc w:val="center"/>
        </w:trPr>
        <w:tc>
          <w:tcPr>
            <w:tcW w:w="1060" w:type="dxa"/>
            <w:shd w:val="clear" w:color="auto" w:fill="auto"/>
            <w:noWrap/>
            <w:vAlign w:val="center"/>
            <w:hideMark/>
          </w:tcPr>
          <w:p w14:paraId="56077410"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ADL17</w:t>
            </w:r>
          </w:p>
        </w:tc>
        <w:tc>
          <w:tcPr>
            <w:tcW w:w="1289" w:type="dxa"/>
            <w:shd w:val="clear" w:color="auto" w:fill="auto"/>
            <w:noWrap/>
            <w:vAlign w:val="center"/>
            <w:hideMark/>
          </w:tcPr>
          <w:p w14:paraId="76FC5B42"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3.3E+00</w:t>
            </w:r>
          </w:p>
        </w:tc>
        <w:tc>
          <w:tcPr>
            <w:tcW w:w="1218" w:type="dxa"/>
            <w:shd w:val="clear" w:color="auto" w:fill="auto"/>
            <w:noWrap/>
            <w:vAlign w:val="center"/>
            <w:hideMark/>
          </w:tcPr>
          <w:p w14:paraId="4A45DDD3"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1.0E+01</w:t>
            </w:r>
          </w:p>
        </w:tc>
        <w:tc>
          <w:tcPr>
            <w:tcW w:w="1218" w:type="dxa"/>
            <w:shd w:val="clear" w:color="auto" w:fill="auto"/>
            <w:noWrap/>
            <w:vAlign w:val="center"/>
            <w:hideMark/>
          </w:tcPr>
          <w:p w14:paraId="755BC263"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2.4E+00</w:t>
            </w:r>
          </w:p>
        </w:tc>
      </w:tr>
      <w:tr w:rsidR="00542AC2" w:rsidRPr="00324BB3" w14:paraId="6FAFFE24" w14:textId="77777777" w:rsidTr="00EC06DE">
        <w:trPr>
          <w:trHeight w:val="320"/>
          <w:jc w:val="center"/>
        </w:trPr>
        <w:tc>
          <w:tcPr>
            <w:tcW w:w="1060" w:type="dxa"/>
            <w:shd w:val="clear" w:color="auto" w:fill="auto"/>
            <w:noWrap/>
            <w:vAlign w:val="center"/>
            <w:hideMark/>
          </w:tcPr>
          <w:p w14:paraId="370875A4"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ADL18</w:t>
            </w:r>
          </w:p>
        </w:tc>
        <w:tc>
          <w:tcPr>
            <w:tcW w:w="1289" w:type="dxa"/>
            <w:shd w:val="clear" w:color="auto" w:fill="auto"/>
            <w:noWrap/>
            <w:vAlign w:val="center"/>
            <w:hideMark/>
          </w:tcPr>
          <w:p w14:paraId="5A95F53C"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6.7E+00</w:t>
            </w:r>
          </w:p>
        </w:tc>
        <w:tc>
          <w:tcPr>
            <w:tcW w:w="1218" w:type="dxa"/>
            <w:shd w:val="clear" w:color="auto" w:fill="auto"/>
            <w:noWrap/>
            <w:vAlign w:val="center"/>
            <w:hideMark/>
          </w:tcPr>
          <w:p w14:paraId="45EDE4C6"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1.4E+01</w:t>
            </w:r>
          </w:p>
        </w:tc>
        <w:tc>
          <w:tcPr>
            <w:tcW w:w="1218" w:type="dxa"/>
            <w:shd w:val="clear" w:color="auto" w:fill="auto"/>
            <w:noWrap/>
            <w:vAlign w:val="center"/>
            <w:hideMark/>
          </w:tcPr>
          <w:p w14:paraId="526E61EF"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1.6E-02</w:t>
            </w:r>
          </w:p>
        </w:tc>
      </w:tr>
      <w:tr w:rsidR="00542AC2" w:rsidRPr="00324BB3" w14:paraId="6F514DB9" w14:textId="77777777" w:rsidTr="00EC06DE">
        <w:trPr>
          <w:trHeight w:val="320"/>
          <w:jc w:val="center"/>
        </w:trPr>
        <w:tc>
          <w:tcPr>
            <w:tcW w:w="1060" w:type="dxa"/>
            <w:shd w:val="clear" w:color="auto" w:fill="auto"/>
            <w:noWrap/>
            <w:vAlign w:val="center"/>
            <w:hideMark/>
          </w:tcPr>
          <w:p w14:paraId="4DB58FA2"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ADL19</w:t>
            </w:r>
          </w:p>
        </w:tc>
        <w:tc>
          <w:tcPr>
            <w:tcW w:w="1289" w:type="dxa"/>
            <w:shd w:val="clear" w:color="auto" w:fill="auto"/>
            <w:noWrap/>
            <w:vAlign w:val="center"/>
            <w:hideMark/>
          </w:tcPr>
          <w:p w14:paraId="49540AB3"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7.1E-01</w:t>
            </w:r>
          </w:p>
        </w:tc>
        <w:tc>
          <w:tcPr>
            <w:tcW w:w="1218" w:type="dxa"/>
            <w:shd w:val="clear" w:color="auto" w:fill="auto"/>
            <w:noWrap/>
            <w:vAlign w:val="center"/>
            <w:hideMark/>
          </w:tcPr>
          <w:p w14:paraId="382B4E7E"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1.6E+00</w:t>
            </w:r>
          </w:p>
        </w:tc>
        <w:tc>
          <w:tcPr>
            <w:tcW w:w="1218" w:type="dxa"/>
            <w:shd w:val="clear" w:color="auto" w:fill="auto"/>
            <w:noWrap/>
            <w:vAlign w:val="center"/>
            <w:hideMark/>
          </w:tcPr>
          <w:p w14:paraId="706F0CF7"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2.3E+00</w:t>
            </w:r>
          </w:p>
        </w:tc>
      </w:tr>
      <w:tr w:rsidR="00542AC2" w:rsidRPr="00324BB3" w14:paraId="5BD21734" w14:textId="77777777" w:rsidTr="00EC06DE">
        <w:trPr>
          <w:trHeight w:val="320"/>
          <w:jc w:val="center"/>
        </w:trPr>
        <w:tc>
          <w:tcPr>
            <w:tcW w:w="1060" w:type="dxa"/>
            <w:shd w:val="clear" w:color="auto" w:fill="auto"/>
            <w:noWrap/>
            <w:vAlign w:val="center"/>
            <w:hideMark/>
          </w:tcPr>
          <w:p w14:paraId="1D1FA4ED"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ADL20</w:t>
            </w:r>
          </w:p>
        </w:tc>
        <w:tc>
          <w:tcPr>
            <w:tcW w:w="1289" w:type="dxa"/>
            <w:shd w:val="clear" w:color="auto" w:fill="auto"/>
            <w:noWrap/>
            <w:vAlign w:val="center"/>
            <w:hideMark/>
          </w:tcPr>
          <w:p w14:paraId="6206CF2B"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6.2E+00</w:t>
            </w:r>
          </w:p>
        </w:tc>
        <w:tc>
          <w:tcPr>
            <w:tcW w:w="1218" w:type="dxa"/>
            <w:shd w:val="clear" w:color="auto" w:fill="auto"/>
            <w:noWrap/>
            <w:vAlign w:val="center"/>
            <w:hideMark/>
          </w:tcPr>
          <w:p w14:paraId="3A4691DE"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7.8E+01</w:t>
            </w:r>
          </w:p>
        </w:tc>
        <w:tc>
          <w:tcPr>
            <w:tcW w:w="1218" w:type="dxa"/>
            <w:shd w:val="clear" w:color="auto" w:fill="auto"/>
            <w:noWrap/>
            <w:vAlign w:val="center"/>
            <w:hideMark/>
          </w:tcPr>
          <w:p w14:paraId="4056C50B"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2.4E+00</w:t>
            </w:r>
          </w:p>
        </w:tc>
      </w:tr>
      <w:tr w:rsidR="00542AC2" w:rsidRPr="00324BB3" w14:paraId="749AEA2B" w14:textId="77777777" w:rsidTr="00EC06DE">
        <w:trPr>
          <w:trHeight w:val="320"/>
          <w:jc w:val="center"/>
        </w:trPr>
        <w:tc>
          <w:tcPr>
            <w:tcW w:w="1060" w:type="dxa"/>
            <w:shd w:val="clear" w:color="auto" w:fill="auto"/>
            <w:noWrap/>
            <w:vAlign w:val="center"/>
            <w:hideMark/>
          </w:tcPr>
          <w:p w14:paraId="25D1086C"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ADL21</w:t>
            </w:r>
          </w:p>
        </w:tc>
        <w:tc>
          <w:tcPr>
            <w:tcW w:w="1289" w:type="dxa"/>
            <w:shd w:val="clear" w:color="auto" w:fill="auto"/>
            <w:noWrap/>
            <w:vAlign w:val="center"/>
            <w:hideMark/>
          </w:tcPr>
          <w:p w14:paraId="5F3CEB9A"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5.2E+00</w:t>
            </w:r>
          </w:p>
        </w:tc>
        <w:tc>
          <w:tcPr>
            <w:tcW w:w="1218" w:type="dxa"/>
            <w:shd w:val="clear" w:color="auto" w:fill="auto"/>
            <w:noWrap/>
            <w:vAlign w:val="center"/>
            <w:hideMark/>
          </w:tcPr>
          <w:p w14:paraId="3F276104"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5.6E+00</w:t>
            </w:r>
          </w:p>
        </w:tc>
        <w:tc>
          <w:tcPr>
            <w:tcW w:w="1218" w:type="dxa"/>
            <w:shd w:val="clear" w:color="auto" w:fill="auto"/>
            <w:noWrap/>
            <w:vAlign w:val="center"/>
            <w:hideMark/>
          </w:tcPr>
          <w:p w14:paraId="64C1A9C5"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3.3E-06</w:t>
            </w:r>
          </w:p>
        </w:tc>
      </w:tr>
      <w:tr w:rsidR="00542AC2" w:rsidRPr="00324BB3" w14:paraId="5DC2EC6D" w14:textId="77777777" w:rsidTr="00EC06DE">
        <w:trPr>
          <w:trHeight w:val="320"/>
          <w:jc w:val="center"/>
        </w:trPr>
        <w:tc>
          <w:tcPr>
            <w:tcW w:w="1060" w:type="dxa"/>
            <w:shd w:val="clear" w:color="auto" w:fill="auto"/>
            <w:noWrap/>
            <w:vAlign w:val="center"/>
            <w:hideMark/>
          </w:tcPr>
          <w:p w14:paraId="76165A45"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ADL22</w:t>
            </w:r>
          </w:p>
        </w:tc>
        <w:tc>
          <w:tcPr>
            <w:tcW w:w="1289" w:type="dxa"/>
            <w:shd w:val="clear" w:color="auto" w:fill="auto"/>
            <w:noWrap/>
            <w:vAlign w:val="center"/>
            <w:hideMark/>
          </w:tcPr>
          <w:p w14:paraId="52920393"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9.5E-01</w:t>
            </w:r>
          </w:p>
        </w:tc>
        <w:tc>
          <w:tcPr>
            <w:tcW w:w="1218" w:type="dxa"/>
            <w:shd w:val="clear" w:color="auto" w:fill="auto"/>
            <w:noWrap/>
            <w:vAlign w:val="center"/>
            <w:hideMark/>
          </w:tcPr>
          <w:p w14:paraId="469FF7A4"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2.0E+00</w:t>
            </w:r>
          </w:p>
        </w:tc>
        <w:tc>
          <w:tcPr>
            <w:tcW w:w="1218" w:type="dxa"/>
            <w:shd w:val="clear" w:color="auto" w:fill="auto"/>
            <w:noWrap/>
            <w:vAlign w:val="center"/>
            <w:hideMark/>
          </w:tcPr>
          <w:p w14:paraId="01EC353C"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5.2E-01</w:t>
            </w:r>
          </w:p>
        </w:tc>
      </w:tr>
      <w:tr w:rsidR="00542AC2" w:rsidRPr="00324BB3" w14:paraId="2BB1735C" w14:textId="77777777" w:rsidTr="00EC06DE">
        <w:trPr>
          <w:trHeight w:val="320"/>
          <w:jc w:val="center"/>
        </w:trPr>
        <w:tc>
          <w:tcPr>
            <w:tcW w:w="1060" w:type="dxa"/>
            <w:shd w:val="clear" w:color="auto" w:fill="auto"/>
            <w:noWrap/>
            <w:vAlign w:val="center"/>
            <w:hideMark/>
          </w:tcPr>
          <w:p w14:paraId="19F50332"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ADL23</w:t>
            </w:r>
          </w:p>
        </w:tc>
        <w:tc>
          <w:tcPr>
            <w:tcW w:w="1289" w:type="dxa"/>
            <w:shd w:val="clear" w:color="auto" w:fill="auto"/>
            <w:noWrap/>
            <w:vAlign w:val="center"/>
            <w:hideMark/>
          </w:tcPr>
          <w:p w14:paraId="6788475D"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1.5E+00</w:t>
            </w:r>
          </w:p>
        </w:tc>
        <w:tc>
          <w:tcPr>
            <w:tcW w:w="1218" w:type="dxa"/>
            <w:shd w:val="clear" w:color="auto" w:fill="auto"/>
            <w:noWrap/>
            <w:vAlign w:val="center"/>
            <w:hideMark/>
          </w:tcPr>
          <w:p w14:paraId="7226AF72"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3.3E+01</w:t>
            </w:r>
          </w:p>
        </w:tc>
        <w:tc>
          <w:tcPr>
            <w:tcW w:w="1218" w:type="dxa"/>
            <w:shd w:val="clear" w:color="auto" w:fill="auto"/>
            <w:noWrap/>
            <w:vAlign w:val="center"/>
            <w:hideMark/>
          </w:tcPr>
          <w:p w14:paraId="5125A17F"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1.2E-01</w:t>
            </w:r>
          </w:p>
        </w:tc>
      </w:tr>
      <w:tr w:rsidR="00542AC2" w:rsidRPr="00324BB3" w14:paraId="06E39C78" w14:textId="77777777" w:rsidTr="00EC06DE">
        <w:trPr>
          <w:trHeight w:val="320"/>
          <w:jc w:val="center"/>
        </w:trPr>
        <w:tc>
          <w:tcPr>
            <w:tcW w:w="1060" w:type="dxa"/>
            <w:shd w:val="clear" w:color="auto" w:fill="auto"/>
            <w:noWrap/>
            <w:vAlign w:val="center"/>
            <w:hideMark/>
          </w:tcPr>
          <w:p w14:paraId="51A34B51"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ADL24</w:t>
            </w:r>
          </w:p>
        </w:tc>
        <w:tc>
          <w:tcPr>
            <w:tcW w:w="1289" w:type="dxa"/>
            <w:shd w:val="clear" w:color="auto" w:fill="auto"/>
            <w:noWrap/>
            <w:vAlign w:val="center"/>
            <w:hideMark/>
          </w:tcPr>
          <w:p w14:paraId="008D336D"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7.1E-01</w:t>
            </w:r>
          </w:p>
        </w:tc>
        <w:tc>
          <w:tcPr>
            <w:tcW w:w="1218" w:type="dxa"/>
            <w:shd w:val="clear" w:color="auto" w:fill="auto"/>
            <w:noWrap/>
            <w:vAlign w:val="center"/>
            <w:hideMark/>
          </w:tcPr>
          <w:p w14:paraId="43FA9DA3"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5.6E+00</w:t>
            </w:r>
          </w:p>
        </w:tc>
        <w:tc>
          <w:tcPr>
            <w:tcW w:w="1218" w:type="dxa"/>
            <w:shd w:val="clear" w:color="auto" w:fill="auto"/>
            <w:noWrap/>
            <w:vAlign w:val="center"/>
            <w:hideMark/>
          </w:tcPr>
          <w:p w14:paraId="007E432C"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3.3E-06</w:t>
            </w:r>
          </w:p>
        </w:tc>
      </w:tr>
      <w:tr w:rsidR="00542AC2" w:rsidRPr="00324BB3" w14:paraId="1D0C67CE" w14:textId="77777777" w:rsidTr="00EC06DE">
        <w:trPr>
          <w:trHeight w:val="320"/>
          <w:jc w:val="center"/>
        </w:trPr>
        <w:tc>
          <w:tcPr>
            <w:tcW w:w="1060" w:type="dxa"/>
            <w:shd w:val="clear" w:color="auto" w:fill="auto"/>
            <w:noWrap/>
            <w:vAlign w:val="center"/>
            <w:hideMark/>
          </w:tcPr>
          <w:p w14:paraId="64F664E2"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lastRenderedPageBreak/>
              <w:t>ADL25</w:t>
            </w:r>
          </w:p>
        </w:tc>
        <w:tc>
          <w:tcPr>
            <w:tcW w:w="1289" w:type="dxa"/>
            <w:shd w:val="clear" w:color="auto" w:fill="auto"/>
            <w:noWrap/>
            <w:vAlign w:val="center"/>
            <w:hideMark/>
          </w:tcPr>
          <w:p w14:paraId="5B892DC5"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7.1E-01</w:t>
            </w:r>
          </w:p>
        </w:tc>
        <w:tc>
          <w:tcPr>
            <w:tcW w:w="1218" w:type="dxa"/>
            <w:shd w:val="clear" w:color="auto" w:fill="auto"/>
            <w:noWrap/>
            <w:vAlign w:val="center"/>
            <w:hideMark/>
          </w:tcPr>
          <w:p w14:paraId="38ADC3DF"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1.8E+00</w:t>
            </w:r>
          </w:p>
        </w:tc>
        <w:tc>
          <w:tcPr>
            <w:tcW w:w="1218" w:type="dxa"/>
            <w:shd w:val="clear" w:color="auto" w:fill="auto"/>
            <w:noWrap/>
            <w:vAlign w:val="center"/>
            <w:hideMark/>
          </w:tcPr>
          <w:p w14:paraId="7D400BAA"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2.3E-01</w:t>
            </w:r>
          </w:p>
        </w:tc>
      </w:tr>
      <w:tr w:rsidR="00542AC2" w:rsidRPr="00324BB3" w14:paraId="3E4541B1" w14:textId="77777777" w:rsidTr="00EC06DE">
        <w:trPr>
          <w:trHeight w:val="320"/>
          <w:jc w:val="center"/>
        </w:trPr>
        <w:tc>
          <w:tcPr>
            <w:tcW w:w="1060" w:type="dxa"/>
            <w:shd w:val="clear" w:color="auto" w:fill="auto"/>
            <w:noWrap/>
            <w:vAlign w:val="center"/>
            <w:hideMark/>
          </w:tcPr>
          <w:p w14:paraId="7FF704CD"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ADL26</w:t>
            </w:r>
          </w:p>
        </w:tc>
        <w:tc>
          <w:tcPr>
            <w:tcW w:w="1289" w:type="dxa"/>
            <w:shd w:val="clear" w:color="auto" w:fill="auto"/>
            <w:noWrap/>
            <w:vAlign w:val="center"/>
            <w:hideMark/>
          </w:tcPr>
          <w:p w14:paraId="42802ACD"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2.4E-02</w:t>
            </w:r>
          </w:p>
        </w:tc>
        <w:tc>
          <w:tcPr>
            <w:tcW w:w="1218" w:type="dxa"/>
            <w:shd w:val="clear" w:color="auto" w:fill="auto"/>
            <w:noWrap/>
            <w:vAlign w:val="center"/>
            <w:hideMark/>
          </w:tcPr>
          <w:p w14:paraId="49F6DDE7"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3.9E+00</w:t>
            </w:r>
          </w:p>
        </w:tc>
        <w:tc>
          <w:tcPr>
            <w:tcW w:w="1218" w:type="dxa"/>
            <w:shd w:val="clear" w:color="auto" w:fill="auto"/>
            <w:noWrap/>
            <w:vAlign w:val="center"/>
            <w:hideMark/>
          </w:tcPr>
          <w:p w14:paraId="1EABC22F"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2.2E-03</w:t>
            </w:r>
          </w:p>
        </w:tc>
      </w:tr>
      <w:tr w:rsidR="00542AC2" w:rsidRPr="00324BB3" w14:paraId="19FD366D" w14:textId="77777777" w:rsidTr="00EC06DE">
        <w:trPr>
          <w:trHeight w:val="320"/>
          <w:jc w:val="center"/>
        </w:trPr>
        <w:tc>
          <w:tcPr>
            <w:tcW w:w="1060" w:type="dxa"/>
            <w:shd w:val="clear" w:color="auto" w:fill="auto"/>
            <w:noWrap/>
            <w:vAlign w:val="center"/>
            <w:hideMark/>
          </w:tcPr>
          <w:p w14:paraId="01F5FB1F"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ADL27</w:t>
            </w:r>
          </w:p>
        </w:tc>
        <w:tc>
          <w:tcPr>
            <w:tcW w:w="1289" w:type="dxa"/>
            <w:shd w:val="clear" w:color="auto" w:fill="auto"/>
            <w:noWrap/>
            <w:vAlign w:val="center"/>
            <w:hideMark/>
          </w:tcPr>
          <w:p w14:paraId="54AF833E"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1.3E+00</w:t>
            </w:r>
          </w:p>
        </w:tc>
        <w:tc>
          <w:tcPr>
            <w:tcW w:w="1218" w:type="dxa"/>
            <w:shd w:val="clear" w:color="auto" w:fill="auto"/>
            <w:noWrap/>
            <w:vAlign w:val="center"/>
            <w:hideMark/>
          </w:tcPr>
          <w:p w14:paraId="6C4AB717"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7.8E+00</w:t>
            </w:r>
          </w:p>
        </w:tc>
        <w:tc>
          <w:tcPr>
            <w:tcW w:w="1218" w:type="dxa"/>
            <w:shd w:val="clear" w:color="auto" w:fill="auto"/>
            <w:noWrap/>
            <w:vAlign w:val="center"/>
            <w:hideMark/>
          </w:tcPr>
          <w:p w14:paraId="095EEED6"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1.7E+00</w:t>
            </w:r>
          </w:p>
        </w:tc>
      </w:tr>
      <w:tr w:rsidR="00542AC2" w:rsidRPr="00324BB3" w14:paraId="42C82DD6" w14:textId="77777777" w:rsidTr="00EC06DE">
        <w:trPr>
          <w:trHeight w:val="320"/>
          <w:jc w:val="center"/>
        </w:trPr>
        <w:tc>
          <w:tcPr>
            <w:tcW w:w="1060" w:type="dxa"/>
            <w:shd w:val="clear" w:color="auto" w:fill="auto"/>
            <w:noWrap/>
            <w:vAlign w:val="center"/>
            <w:hideMark/>
          </w:tcPr>
          <w:p w14:paraId="221DAD4B"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ADL28</w:t>
            </w:r>
          </w:p>
        </w:tc>
        <w:tc>
          <w:tcPr>
            <w:tcW w:w="1289" w:type="dxa"/>
            <w:shd w:val="clear" w:color="auto" w:fill="auto"/>
            <w:noWrap/>
            <w:vAlign w:val="center"/>
            <w:hideMark/>
          </w:tcPr>
          <w:p w14:paraId="678DEAD7"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1.9E+00</w:t>
            </w:r>
          </w:p>
        </w:tc>
        <w:tc>
          <w:tcPr>
            <w:tcW w:w="1218" w:type="dxa"/>
            <w:shd w:val="clear" w:color="auto" w:fill="auto"/>
            <w:noWrap/>
            <w:vAlign w:val="center"/>
            <w:hideMark/>
          </w:tcPr>
          <w:p w14:paraId="4A7716B7"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8.9E+00</w:t>
            </w:r>
          </w:p>
        </w:tc>
        <w:tc>
          <w:tcPr>
            <w:tcW w:w="1218" w:type="dxa"/>
            <w:shd w:val="clear" w:color="auto" w:fill="auto"/>
            <w:noWrap/>
            <w:vAlign w:val="center"/>
            <w:hideMark/>
          </w:tcPr>
          <w:p w14:paraId="55AF57CD"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8.9E-02</w:t>
            </w:r>
          </w:p>
        </w:tc>
      </w:tr>
      <w:tr w:rsidR="00542AC2" w:rsidRPr="00324BB3" w14:paraId="49235C48" w14:textId="77777777" w:rsidTr="00EC06DE">
        <w:trPr>
          <w:trHeight w:val="320"/>
          <w:jc w:val="center"/>
        </w:trPr>
        <w:tc>
          <w:tcPr>
            <w:tcW w:w="1060" w:type="dxa"/>
            <w:shd w:val="clear" w:color="auto" w:fill="auto"/>
            <w:noWrap/>
            <w:vAlign w:val="center"/>
            <w:hideMark/>
          </w:tcPr>
          <w:p w14:paraId="149346D5"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ADL29</w:t>
            </w:r>
          </w:p>
        </w:tc>
        <w:tc>
          <w:tcPr>
            <w:tcW w:w="1289" w:type="dxa"/>
            <w:shd w:val="clear" w:color="auto" w:fill="auto"/>
            <w:noWrap/>
            <w:vAlign w:val="center"/>
            <w:hideMark/>
          </w:tcPr>
          <w:p w14:paraId="711115EB"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1.9E+00</w:t>
            </w:r>
          </w:p>
        </w:tc>
        <w:tc>
          <w:tcPr>
            <w:tcW w:w="1218" w:type="dxa"/>
            <w:shd w:val="clear" w:color="auto" w:fill="auto"/>
            <w:noWrap/>
            <w:vAlign w:val="center"/>
            <w:hideMark/>
          </w:tcPr>
          <w:p w14:paraId="3782CF95"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1.0E+01</w:t>
            </w:r>
          </w:p>
        </w:tc>
        <w:tc>
          <w:tcPr>
            <w:tcW w:w="1218" w:type="dxa"/>
            <w:shd w:val="clear" w:color="auto" w:fill="auto"/>
            <w:noWrap/>
            <w:vAlign w:val="center"/>
            <w:hideMark/>
          </w:tcPr>
          <w:p w14:paraId="306260AB"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1.3E-04</w:t>
            </w:r>
          </w:p>
        </w:tc>
      </w:tr>
      <w:tr w:rsidR="00542AC2" w:rsidRPr="00324BB3" w14:paraId="68BCFFFF" w14:textId="77777777" w:rsidTr="00EC06DE">
        <w:trPr>
          <w:trHeight w:val="320"/>
          <w:jc w:val="center"/>
        </w:trPr>
        <w:tc>
          <w:tcPr>
            <w:tcW w:w="1060" w:type="dxa"/>
            <w:shd w:val="clear" w:color="auto" w:fill="auto"/>
            <w:noWrap/>
            <w:vAlign w:val="center"/>
            <w:hideMark/>
          </w:tcPr>
          <w:p w14:paraId="6C982007"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ADL30</w:t>
            </w:r>
          </w:p>
        </w:tc>
        <w:tc>
          <w:tcPr>
            <w:tcW w:w="1289" w:type="dxa"/>
            <w:shd w:val="clear" w:color="auto" w:fill="auto"/>
            <w:noWrap/>
            <w:vAlign w:val="center"/>
            <w:hideMark/>
          </w:tcPr>
          <w:p w14:paraId="23119FA3"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6.7E-01</w:t>
            </w:r>
          </w:p>
        </w:tc>
        <w:tc>
          <w:tcPr>
            <w:tcW w:w="1218" w:type="dxa"/>
            <w:shd w:val="clear" w:color="auto" w:fill="auto"/>
            <w:noWrap/>
            <w:vAlign w:val="center"/>
            <w:hideMark/>
          </w:tcPr>
          <w:p w14:paraId="7625E3B0"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1.4E+00</w:t>
            </w:r>
          </w:p>
        </w:tc>
        <w:tc>
          <w:tcPr>
            <w:tcW w:w="1218" w:type="dxa"/>
            <w:shd w:val="clear" w:color="auto" w:fill="auto"/>
            <w:noWrap/>
            <w:vAlign w:val="center"/>
            <w:hideMark/>
          </w:tcPr>
          <w:p w14:paraId="269CCEF9" w14:textId="77777777" w:rsidR="00542AC2" w:rsidRPr="00324BB3" w:rsidRDefault="00542AC2" w:rsidP="00EC06DE">
            <w:pPr>
              <w:jc w:val="center"/>
              <w:rPr>
                <w:rFonts w:ascii="Arial" w:hAnsi="Arial" w:cs="Arial"/>
                <w:color w:val="000000"/>
                <w:sz w:val="22"/>
                <w:szCs w:val="22"/>
              </w:rPr>
            </w:pPr>
            <w:r w:rsidRPr="00324BB3">
              <w:rPr>
                <w:rFonts w:ascii="Arial" w:hAnsi="Arial" w:cs="Arial"/>
                <w:color w:val="000000"/>
                <w:sz w:val="22"/>
                <w:szCs w:val="22"/>
              </w:rPr>
              <w:t>1.7E-05</w:t>
            </w:r>
          </w:p>
        </w:tc>
      </w:tr>
    </w:tbl>
    <w:p w14:paraId="7F8FA070" w14:textId="0E07EBF5" w:rsidR="00542AC2" w:rsidRPr="00542AC2" w:rsidRDefault="00542AC2" w:rsidP="00542AC2">
      <w:pPr>
        <w:tabs>
          <w:tab w:val="left" w:pos="720"/>
        </w:tabs>
        <w:snapToGrid w:val="0"/>
        <w:jc w:val="both"/>
        <w:rPr>
          <w:rFonts w:ascii="Arial" w:hAnsi="Arial" w:cs="Arial"/>
          <w:sz w:val="22"/>
          <w:szCs w:val="22"/>
          <w:lang w:val="es-PR"/>
        </w:rPr>
      </w:pPr>
      <w:r w:rsidRPr="00542AC2">
        <w:rPr>
          <w:rFonts w:ascii="Arial" w:hAnsi="Arial" w:cs="Arial"/>
          <w:sz w:val="22"/>
          <w:szCs w:val="22"/>
          <w:lang w:val="es-PR"/>
        </w:rPr>
        <w:t xml:space="preserve">*EOP en los aislados </w:t>
      </w:r>
      <w:r>
        <w:rPr>
          <w:rFonts w:ascii="Arial" w:hAnsi="Arial" w:cs="Arial"/>
          <w:sz w:val="22"/>
          <w:szCs w:val="22"/>
          <w:lang w:val="es-PR"/>
        </w:rPr>
        <w:t xml:space="preserve">clínicos fueron estandarizados con sus respectivos EOP en la cepa de </w:t>
      </w:r>
      <w:r>
        <w:rPr>
          <w:rFonts w:ascii="Arial" w:hAnsi="Arial" w:cs="Arial"/>
          <w:i/>
          <w:iCs/>
          <w:sz w:val="22"/>
          <w:szCs w:val="22"/>
          <w:lang w:val="es-PR"/>
        </w:rPr>
        <w:t xml:space="preserve">S. aureus </w:t>
      </w:r>
      <w:r>
        <w:rPr>
          <w:rFonts w:ascii="Arial" w:hAnsi="Arial" w:cs="Arial"/>
          <w:sz w:val="22"/>
          <w:szCs w:val="22"/>
          <w:lang w:val="es-PR"/>
        </w:rPr>
        <w:t>RN4220</w:t>
      </w:r>
    </w:p>
    <w:p w14:paraId="52C6E1AB" w14:textId="77777777" w:rsidR="00013119" w:rsidRPr="00542AC2" w:rsidRDefault="00013119" w:rsidP="001104C5">
      <w:pPr>
        <w:pStyle w:val="NoSpacing"/>
        <w:rPr>
          <w:rFonts w:ascii="Times New Roman" w:hAnsi="Times New Roman" w:cs="Times New Roman"/>
          <w:lang w:val="es-PR"/>
        </w:rPr>
      </w:pPr>
    </w:p>
    <w:p w14:paraId="3519C27C" w14:textId="681777E1" w:rsidR="00013119" w:rsidRPr="00D44FBE" w:rsidRDefault="00013119" w:rsidP="00013119">
      <w:pPr>
        <w:pStyle w:val="NoSpacing"/>
        <w:rPr>
          <w:rFonts w:ascii="Times New Roman" w:hAnsi="Times New Roman" w:cs="Times New Roman"/>
          <w:b/>
          <w:bCs/>
          <w:lang w:val="es-PR"/>
        </w:rPr>
      </w:pPr>
      <w:r w:rsidRPr="00D44FBE">
        <w:rPr>
          <w:rFonts w:ascii="Times New Roman" w:hAnsi="Times New Roman" w:cs="Times New Roman"/>
          <w:b/>
          <w:bCs/>
          <w:lang w:val="es-PR"/>
        </w:rPr>
        <w:t xml:space="preserve">Efecto de otros fagos </w:t>
      </w:r>
      <w:r w:rsidR="00542AC2" w:rsidRPr="00D44FBE">
        <w:rPr>
          <w:rFonts w:ascii="Times New Roman" w:hAnsi="Times New Roman" w:cs="Times New Roman"/>
          <w:b/>
          <w:bCs/>
          <w:lang w:val="es-PR"/>
        </w:rPr>
        <w:t xml:space="preserve">estafilocócicos </w:t>
      </w:r>
      <w:r w:rsidRPr="00D44FBE">
        <w:rPr>
          <w:rFonts w:ascii="Times New Roman" w:hAnsi="Times New Roman" w:cs="Times New Roman"/>
          <w:b/>
          <w:bCs/>
          <w:lang w:val="es-PR"/>
        </w:rPr>
        <w:t>en la CMI de β-lactámicos</w:t>
      </w:r>
    </w:p>
    <w:p w14:paraId="60C3FD42" w14:textId="44850D34" w:rsidR="00013119" w:rsidRDefault="00013119" w:rsidP="00013119">
      <w:pPr>
        <w:pStyle w:val="NoSpacing"/>
        <w:rPr>
          <w:rFonts w:ascii="Times New Roman" w:hAnsi="Times New Roman" w:cs="Times New Roman"/>
          <w:lang w:val="es-PR"/>
        </w:rPr>
      </w:pPr>
      <w:r w:rsidRPr="00013119">
        <w:rPr>
          <w:rFonts w:ascii="Times New Roman" w:hAnsi="Times New Roman" w:cs="Times New Roman"/>
          <w:lang w:val="es-PR"/>
        </w:rPr>
        <w:t xml:space="preserve">Nos planteamos si dos fagos adicionales de nuestra colección podrían inducir una reducción </w:t>
      </w:r>
      <w:r>
        <w:rPr>
          <w:rFonts w:ascii="Times New Roman" w:hAnsi="Times New Roman" w:cs="Times New Roman"/>
          <w:lang w:val="es-PR"/>
        </w:rPr>
        <w:t>en</w:t>
      </w:r>
      <w:r w:rsidRPr="00013119">
        <w:rPr>
          <w:rFonts w:ascii="Times New Roman" w:hAnsi="Times New Roman" w:cs="Times New Roman"/>
          <w:lang w:val="es-PR"/>
        </w:rPr>
        <w:t xml:space="preserve"> la CMI </w:t>
      </w:r>
      <w:r>
        <w:rPr>
          <w:rFonts w:ascii="Times New Roman" w:hAnsi="Times New Roman" w:cs="Times New Roman"/>
          <w:lang w:val="es-PR"/>
        </w:rPr>
        <w:t>de</w:t>
      </w:r>
      <w:r w:rsidRPr="00013119">
        <w:rPr>
          <w:rFonts w:ascii="Times New Roman" w:hAnsi="Times New Roman" w:cs="Times New Roman"/>
          <w:lang w:val="es-PR"/>
        </w:rPr>
        <w:t xml:space="preserve"> oxacilina en SARM. La cepa SARM LAC es sensible a la infección por </w:t>
      </w:r>
      <w:r>
        <w:rPr>
          <w:rFonts w:ascii="Times New Roman" w:hAnsi="Times New Roman" w:cs="Times New Roman"/>
          <w:lang w:val="es-PR"/>
        </w:rPr>
        <w:t>Φ</w:t>
      </w:r>
      <w:r w:rsidRPr="00013119">
        <w:rPr>
          <w:rFonts w:ascii="Times New Roman" w:hAnsi="Times New Roman" w:cs="Times New Roman"/>
          <w:lang w:val="es-PR"/>
        </w:rPr>
        <w:t>NM1</w:t>
      </w:r>
      <w:r>
        <w:rPr>
          <w:rFonts w:ascii="Times New Roman" w:hAnsi="Times New Roman" w:cs="Times New Roman"/>
          <w:lang w:val="es-PR"/>
        </w:rPr>
        <w:t>γ</w:t>
      </w:r>
      <w:r w:rsidRPr="00013119">
        <w:rPr>
          <w:rFonts w:ascii="Times New Roman" w:hAnsi="Times New Roman" w:cs="Times New Roman"/>
          <w:lang w:val="es-PR"/>
        </w:rPr>
        <w:t xml:space="preserve">6, una versión lítica del fago templado </w:t>
      </w:r>
      <w:r>
        <w:rPr>
          <w:rFonts w:ascii="Times New Roman" w:hAnsi="Times New Roman" w:cs="Times New Roman"/>
          <w:lang w:val="es-PR"/>
        </w:rPr>
        <w:t>Φ</w:t>
      </w:r>
      <w:r w:rsidRPr="00013119">
        <w:rPr>
          <w:rFonts w:ascii="Times New Roman" w:hAnsi="Times New Roman" w:cs="Times New Roman"/>
          <w:lang w:val="es-PR"/>
        </w:rPr>
        <w:t xml:space="preserve">NM1 del género Dubowvirus, derivado de la cepa </w:t>
      </w:r>
      <w:r w:rsidRPr="00013119">
        <w:rPr>
          <w:rFonts w:ascii="Times New Roman" w:hAnsi="Times New Roman" w:cs="Times New Roman"/>
          <w:i/>
          <w:iCs/>
          <w:lang w:val="es-PR"/>
        </w:rPr>
        <w:t>S. aureus</w:t>
      </w:r>
      <w:r w:rsidRPr="00013119">
        <w:rPr>
          <w:rFonts w:ascii="Times New Roman" w:hAnsi="Times New Roman" w:cs="Times New Roman"/>
          <w:lang w:val="es-PR"/>
        </w:rPr>
        <w:t xml:space="preserve"> Newman</w:t>
      </w:r>
      <w:r w:rsidRPr="00013119">
        <w:rPr>
          <w:rFonts w:ascii="Times New Roman" w:hAnsi="Times New Roman" w:cs="Times New Roman"/>
          <w:vertAlign w:val="superscript"/>
          <w:lang w:val="es-PR"/>
        </w:rPr>
        <w:t>27-29</w:t>
      </w:r>
      <w:r w:rsidRPr="00013119">
        <w:rPr>
          <w:rFonts w:ascii="Times New Roman" w:hAnsi="Times New Roman" w:cs="Times New Roman"/>
          <w:lang w:val="es-PR"/>
        </w:rPr>
        <w:t xml:space="preserve">. En LAC, </w:t>
      </w:r>
      <w:r>
        <w:rPr>
          <w:rFonts w:ascii="Times New Roman" w:hAnsi="Times New Roman" w:cs="Times New Roman"/>
          <w:lang w:val="es-PR"/>
        </w:rPr>
        <w:t>Φ</w:t>
      </w:r>
      <w:r w:rsidRPr="00013119">
        <w:rPr>
          <w:rFonts w:ascii="Times New Roman" w:hAnsi="Times New Roman" w:cs="Times New Roman"/>
          <w:lang w:val="es-PR"/>
        </w:rPr>
        <w:t>NM1</w:t>
      </w:r>
      <w:r>
        <w:rPr>
          <w:rFonts w:ascii="Times New Roman" w:hAnsi="Times New Roman" w:cs="Times New Roman"/>
          <w:lang w:val="es-PR"/>
        </w:rPr>
        <w:t>γ</w:t>
      </w:r>
      <w:r w:rsidRPr="00013119">
        <w:rPr>
          <w:rFonts w:ascii="Times New Roman" w:hAnsi="Times New Roman" w:cs="Times New Roman"/>
          <w:lang w:val="es-PR"/>
        </w:rPr>
        <w:t xml:space="preserve">6 presenta una formación de placas comparable a la de ΦStaph1N, a la vez que muestra actividad contra algunos de los aislados clínicos USA300 (Figura </w:t>
      </w:r>
      <w:r w:rsidR="00542AC2">
        <w:rPr>
          <w:rFonts w:ascii="Times New Roman" w:hAnsi="Times New Roman" w:cs="Times New Roman"/>
          <w:lang w:val="es-PR"/>
        </w:rPr>
        <w:t>1-Figura suplementaria 1, Tabla 3</w:t>
      </w:r>
      <w:r w:rsidRPr="00013119">
        <w:rPr>
          <w:rFonts w:ascii="Times New Roman" w:hAnsi="Times New Roman" w:cs="Times New Roman"/>
          <w:lang w:val="es-PR"/>
        </w:rPr>
        <w:t xml:space="preserve">). Por lo tanto, infectamos LAC con </w:t>
      </w:r>
      <w:r>
        <w:rPr>
          <w:rFonts w:ascii="Times New Roman" w:hAnsi="Times New Roman" w:cs="Times New Roman"/>
          <w:lang w:val="es-PR"/>
        </w:rPr>
        <w:t>Φ</w:t>
      </w:r>
      <w:r w:rsidRPr="00013119">
        <w:rPr>
          <w:rFonts w:ascii="Times New Roman" w:hAnsi="Times New Roman" w:cs="Times New Roman"/>
          <w:lang w:val="es-PR"/>
        </w:rPr>
        <w:t>NM1</w:t>
      </w:r>
      <w:r>
        <w:rPr>
          <w:rFonts w:ascii="Times New Roman" w:hAnsi="Times New Roman" w:cs="Times New Roman"/>
          <w:lang w:val="es-PR"/>
        </w:rPr>
        <w:t>γ</w:t>
      </w:r>
      <w:r w:rsidRPr="00013119">
        <w:rPr>
          <w:rFonts w:ascii="Times New Roman" w:hAnsi="Times New Roman" w:cs="Times New Roman"/>
          <w:lang w:val="es-PR"/>
        </w:rPr>
        <w:t>6 a una MOI de 0</w:t>
      </w:r>
      <w:r>
        <w:rPr>
          <w:rFonts w:ascii="Times New Roman" w:hAnsi="Times New Roman" w:cs="Times New Roman"/>
          <w:lang w:val="es-PR"/>
        </w:rPr>
        <w:t>.</w:t>
      </w:r>
      <w:r w:rsidRPr="00013119">
        <w:rPr>
          <w:rFonts w:ascii="Times New Roman" w:hAnsi="Times New Roman" w:cs="Times New Roman"/>
          <w:lang w:val="es-PR"/>
        </w:rPr>
        <w:t xml:space="preserve">1 y medimos la CMI </w:t>
      </w:r>
      <w:r>
        <w:rPr>
          <w:rFonts w:ascii="Times New Roman" w:hAnsi="Times New Roman" w:cs="Times New Roman"/>
          <w:lang w:val="es-PR"/>
        </w:rPr>
        <w:t>de</w:t>
      </w:r>
      <w:r w:rsidRPr="00013119">
        <w:rPr>
          <w:rFonts w:ascii="Times New Roman" w:hAnsi="Times New Roman" w:cs="Times New Roman"/>
          <w:lang w:val="es-PR"/>
        </w:rPr>
        <w:t xml:space="preserve"> β-lactámicos de las células s</w:t>
      </w:r>
      <w:r>
        <w:rPr>
          <w:rFonts w:ascii="Times New Roman" w:hAnsi="Times New Roman" w:cs="Times New Roman"/>
          <w:lang w:val="es-PR"/>
        </w:rPr>
        <w:t>obre</w:t>
      </w:r>
      <w:r w:rsidRPr="00013119">
        <w:rPr>
          <w:rFonts w:ascii="Times New Roman" w:hAnsi="Times New Roman" w:cs="Times New Roman"/>
          <w:lang w:val="es-PR"/>
        </w:rPr>
        <w:t xml:space="preserve">vivientes. Si bien los cultivos de LAC recuperados mostraron resistencia </w:t>
      </w:r>
      <w:r>
        <w:rPr>
          <w:rFonts w:ascii="Times New Roman" w:hAnsi="Times New Roman" w:cs="Times New Roman"/>
          <w:lang w:val="es-PR"/>
        </w:rPr>
        <w:t>a Φ</w:t>
      </w:r>
      <w:r w:rsidRPr="00013119">
        <w:rPr>
          <w:rFonts w:ascii="Times New Roman" w:hAnsi="Times New Roman" w:cs="Times New Roman"/>
          <w:lang w:val="es-PR"/>
        </w:rPr>
        <w:t>NM1</w:t>
      </w:r>
      <w:r>
        <w:rPr>
          <w:rFonts w:ascii="Times New Roman" w:hAnsi="Times New Roman" w:cs="Times New Roman"/>
          <w:lang w:val="es-PR"/>
        </w:rPr>
        <w:t>γ</w:t>
      </w:r>
      <w:r w:rsidRPr="00013119">
        <w:rPr>
          <w:rFonts w:ascii="Times New Roman" w:hAnsi="Times New Roman" w:cs="Times New Roman"/>
          <w:lang w:val="es-PR"/>
        </w:rPr>
        <w:t xml:space="preserve">6, no mostraron una reducción en la CMI (Figura </w:t>
      </w:r>
      <w:r w:rsidR="00542AC2">
        <w:rPr>
          <w:rFonts w:ascii="Times New Roman" w:hAnsi="Times New Roman" w:cs="Times New Roman"/>
          <w:lang w:val="es-PR"/>
        </w:rPr>
        <w:t>2-Figura suplementaria 3</w:t>
      </w:r>
      <w:r w:rsidRPr="00013119">
        <w:rPr>
          <w:rFonts w:ascii="Times New Roman" w:hAnsi="Times New Roman" w:cs="Times New Roman"/>
          <w:lang w:val="es-PR"/>
        </w:rPr>
        <w:t>), lo que sugiere que la resistencia a los fagos causada por FNM1g6 no está asociada a la resistencia a β-lactámic</w:t>
      </w:r>
      <w:r w:rsidR="00291D38">
        <w:rPr>
          <w:rFonts w:ascii="Times New Roman" w:hAnsi="Times New Roman" w:cs="Times New Roman"/>
          <w:lang w:val="es-PR"/>
        </w:rPr>
        <w:t>o</w:t>
      </w:r>
      <w:r w:rsidRPr="00013119">
        <w:rPr>
          <w:rFonts w:ascii="Times New Roman" w:hAnsi="Times New Roman" w:cs="Times New Roman"/>
          <w:lang w:val="es-PR"/>
        </w:rPr>
        <w:t>s. También aislamos del ambiente un segundo fago del género Kayvirus, denominado SATA8505</w:t>
      </w:r>
      <w:r w:rsidR="00291D38">
        <w:rPr>
          <w:rFonts w:ascii="Times New Roman" w:hAnsi="Times New Roman" w:cs="Times New Roman"/>
          <w:vertAlign w:val="superscript"/>
          <w:lang w:val="es-PR"/>
        </w:rPr>
        <w:t>30</w:t>
      </w:r>
      <w:r w:rsidRPr="00013119">
        <w:rPr>
          <w:rFonts w:ascii="Times New Roman" w:hAnsi="Times New Roman" w:cs="Times New Roman"/>
          <w:lang w:val="es-PR"/>
        </w:rPr>
        <w:t xml:space="preserve">, y evaluamos su actividad contra SARM. SATA8505 es activo contra </w:t>
      </w:r>
      <w:r w:rsidR="00291D38">
        <w:rPr>
          <w:rFonts w:ascii="Times New Roman" w:hAnsi="Times New Roman" w:cs="Times New Roman"/>
          <w:lang w:val="es-PR"/>
        </w:rPr>
        <w:t>MRSA</w:t>
      </w:r>
      <w:r w:rsidRPr="00013119">
        <w:rPr>
          <w:rFonts w:ascii="Times New Roman" w:hAnsi="Times New Roman" w:cs="Times New Roman"/>
          <w:lang w:val="es-PR"/>
        </w:rPr>
        <w:t xml:space="preserve">252, MW2 y LAC (Figura </w:t>
      </w:r>
      <w:r w:rsidR="006A5517">
        <w:rPr>
          <w:rFonts w:ascii="Times New Roman" w:hAnsi="Times New Roman" w:cs="Times New Roman"/>
          <w:lang w:val="es-PR"/>
        </w:rPr>
        <w:t>2-Figura suplementaria 4</w:t>
      </w:r>
      <w:r w:rsidRPr="00013119">
        <w:rPr>
          <w:rFonts w:ascii="Times New Roman" w:hAnsi="Times New Roman" w:cs="Times New Roman"/>
          <w:lang w:val="es-PR"/>
        </w:rPr>
        <w:t>), y la infección de las tres cepas provocó un aumento de la resistencia a</w:t>
      </w:r>
      <w:r w:rsidR="00291D38">
        <w:rPr>
          <w:rFonts w:ascii="Times New Roman" w:hAnsi="Times New Roman" w:cs="Times New Roman"/>
          <w:lang w:val="es-PR"/>
        </w:rPr>
        <w:t xml:space="preserve"> SATA8505 </w:t>
      </w:r>
      <w:r w:rsidRPr="00013119">
        <w:rPr>
          <w:rFonts w:ascii="Times New Roman" w:hAnsi="Times New Roman" w:cs="Times New Roman"/>
          <w:lang w:val="es-PR"/>
        </w:rPr>
        <w:t xml:space="preserve">en </w:t>
      </w:r>
      <w:r w:rsidR="00291D38">
        <w:rPr>
          <w:rFonts w:ascii="Times New Roman" w:hAnsi="Times New Roman" w:cs="Times New Roman"/>
          <w:lang w:val="es-PR"/>
        </w:rPr>
        <w:t>MRSA</w:t>
      </w:r>
      <w:r w:rsidRPr="00013119">
        <w:rPr>
          <w:rFonts w:ascii="Times New Roman" w:hAnsi="Times New Roman" w:cs="Times New Roman"/>
          <w:lang w:val="es-PR"/>
        </w:rPr>
        <w:t>252, MW2 y LAC. Al igual que en el caso de ΦStaph1N y Evo2, las células resistentes a SATA8505 mostraron una marcada pérdida de resistencia a la oxacilina (</w:t>
      </w:r>
      <w:r w:rsidR="006A5517" w:rsidRPr="00013119">
        <w:rPr>
          <w:rFonts w:ascii="Times New Roman" w:hAnsi="Times New Roman" w:cs="Times New Roman"/>
          <w:lang w:val="es-PR"/>
        </w:rPr>
        <w:t xml:space="preserve">Figura </w:t>
      </w:r>
      <w:r w:rsidR="006A5517">
        <w:rPr>
          <w:rFonts w:ascii="Times New Roman" w:hAnsi="Times New Roman" w:cs="Times New Roman"/>
          <w:lang w:val="es-PR"/>
        </w:rPr>
        <w:t>2-Figura suplementaria 4</w:t>
      </w:r>
      <w:r w:rsidRPr="00013119">
        <w:rPr>
          <w:rFonts w:ascii="Times New Roman" w:hAnsi="Times New Roman" w:cs="Times New Roman"/>
          <w:lang w:val="es-PR"/>
        </w:rPr>
        <w:t xml:space="preserve">). En conjunto, nuestros resultados con estos dos fagos sugieren que la capacidad de reducir la resistencia a los β-lactámicos no es una característica universal en todos los fagos estafilocócicos y exige un análisis más exhaustivo de los fagos estafilocócicos y su capacidad para obtener </w:t>
      </w:r>
      <w:r w:rsidR="00291D38">
        <w:rPr>
          <w:rFonts w:ascii="Times New Roman" w:hAnsi="Times New Roman" w:cs="Times New Roman"/>
          <w:lang w:val="es-PR"/>
        </w:rPr>
        <w:t xml:space="preserve">un efecto en la resistencia a </w:t>
      </w:r>
      <w:r w:rsidRPr="00013119">
        <w:rPr>
          <w:rFonts w:ascii="Times New Roman" w:hAnsi="Times New Roman" w:cs="Times New Roman"/>
          <w:lang w:val="es-PR"/>
        </w:rPr>
        <w:t>los β-lactámicos.</w:t>
      </w:r>
    </w:p>
    <w:p w14:paraId="23D4F67A" w14:textId="77777777" w:rsidR="00291D38" w:rsidRDefault="00291D38" w:rsidP="00013119">
      <w:pPr>
        <w:pStyle w:val="NoSpacing"/>
        <w:rPr>
          <w:rFonts w:ascii="Times New Roman" w:hAnsi="Times New Roman" w:cs="Times New Roman"/>
          <w:lang w:val="es-PR"/>
        </w:rPr>
      </w:pPr>
    </w:p>
    <w:p w14:paraId="119B9496" w14:textId="77777777" w:rsidR="00291D38" w:rsidRPr="00D44FBE" w:rsidRDefault="00291D38" w:rsidP="00291D38">
      <w:pPr>
        <w:pStyle w:val="NoSpacing"/>
        <w:rPr>
          <w:rFonts w:ascii="Times New Roman" w:hAnsi="Times New Roman" w:cs="Times New Roman"/>
          <w:b/>
          <w:bCs/>
          <w:lang w:val="es-PR"/>
        </w:rPr>
      </w:pPr>
      <w:r w:rsidRPr="00D44FBE">
        <w:rPr>
          <w:rFonts w:ascii="Times New Roman" w:hAnsi="Times New Roman" w:cs="Times New Roman"/>
          <w:b/>
          <w:bCs/>
          <w:lang w:val="es-PR"/>
        </w:rPr>
        <w:t>Mutaciones genómicas en cepas de SARM tras la infección con fagos</w:t>
      </w:r>
    </w:p>
    <w:p w14:paraId="74BB3631" w14:textId="1984938F" w:rsidR="00291D38" w:rsidRDefault="00291D38" w:rsidP="00291D38">
      <w:pPr>
        <w:pStyle w:val="NoSpacing"/>
        <w:rPr>
          <w:rFonts w:ascii="Times New Roman" w:hAnsi="Times New Roman" w:cs="Times New Roman"/>
          <w:lang w:val="es-PR"/>
        </w:rPr>
      </w:pPr>
      <w:r w:rsidRPr="00291D38">
        <w:rPr>
          <w:rFonts w:ascii="Times New Roman" w:hAnsi="Times New Roman" w:cs="Times New Roman"/>
          <w:lang w:val="es-PR"/>
        </w:rPr>
        <w:t>Tras nuestros análisis fenotípicos, examinamos los genomas de</w:t>
      </w:r>
      <w:r>
        <w:rPr>
          <w:rFonts w:ascii="Times New Roman" w:hAnsi="Times New Roman" w:cs="Times New Roman"/>
          <w:lang w:val="es-PR"/>
        </w:rPr>
        <w:t xml:space="preserve"> las cepas de</w:t>
      </w:r>
      <w:r w:rsidRPr="00291D38">
        <w:rPr>
          <w:rFonts w:ascii="Times New Roman" w:hAnsi="Times New Roman" w:cs="Times New Roman"/>
          <w:lang w:val="es-PR"/>
        </w:rPr>
        <w:t xml:space="preserve"> SARM resistente a fagos. Primero, secuenciamos los genomas de tres aislados clonales (A-C) de cada cepa de SARM sometida a ΦStaph1N, Evo2 o </w:t>
      </w:r>
      <w:r>
        <w:rPr>
          <w:rFonts w:ascii="Times New Roman" w:hAnsi="Times New Roman" w:cs="Times New Roman"/>
          <w:lang w:val="es-PR"/>
        </w:rPr>
        <w:t>sin infección por fagos</w:t>
      </w:r>
      <w:r w:rsidRPr="00291D38">
        <w:rPr>
          <w:rFonts w:ascii="Times New Roman" w:hAnsi="Times New Roman" w:cs="Times New Roman"/>
          <w:lang w:val="es-PR"/>
        </w:rPr>
        <w:t>. Observamos que cada cepa de SARM desarro</w:t>
      </w:r>
      <w:r>
        <w:rPr>
          <w:rFonts w:ascii="Times New Roman" w:hAnsi="Times New Roman" w:cs="Times New Roman"/>
          <w:lang w:val="es-PR"/>
        </w:rPr>
        <w:t xml:space="preserve">llaron mutaciones </w:t>
      </w:r>
      <w:r w:rsidRPr="00291D38">
        <w:rPr>
          <w:rFonts w:ascii="Times New Roman" w:hAnsi="Times New Roman" w:cs="Times New Roman"/>
          <w:lang w:val="es-PR"/>
        </w:rPr>
        <w:t>distint</w:t>
      </w:r>
      <w:r>
        <w:rPr>
          <w:rFonts w:ascii="Times New Roman" w:hAnsi="Times New Roman" w:cs="Times New Roman"/>
          <w:lang w:val="es-PR"/>
        </w:rPr>
        <w:t>a</w:t>
      </w:r>
      <w:r w:rsidRPr="00291D38">
        <w:rPr>
          <w:rFonts w:ascii="Times New Roman" w:hAnsi="Times New Roman" w:cs="Times New Roman"/>
          <w:lang w:val="es-PR"/>
        </w:rPr>
        <w:t>s (Figura 3</w:t>
      </w:r>
      <w:r w:rsidR="006A5517">
        <w:rPr>
          <w:rFonts w:ascii="Times New Roman" w:hAnsi="Times New Roman" w:cs="Times New Roman"/>
          <w:lang w:val="es-PR"/>
        </w:rPr>
        <w:t>-Figura suplementaria 1</w:t>
      </w:r>
      <w:r w:rsidRPr="00291D38">
        <w:rPr>
          <w:rFonts w:ascii="Times New Roman" w:hAnsi="Times New Roman" w:cs="Times New Roman"/>
          <w:lang w:val="es-PR"/>
        </w:rPr>
        <w:t xml:space="preserve">). Independientemente de la cepa y el tratamiento con fagos, </w:t>
      </w:r>
      <w:r>
        <w:rPr>
          <w:rFonts w:ascii="Times New Roman" w:hAnsi="Times New Roman" w:cs="Times New Roman"/>
          <w:lang w:val="es-PR"/>
        </w:rPr>
        <w:t>encontramos</w:t>
      </w:r>
      <w:r w:rsidRPr="00291D38">
        <w:rPr>
          <w:rFonts w:ascii="Times New Roman" w:hAnsi="Times New Roman" w:cs="Times New Roman"/>
          <w:lang w:val="es-PR"/>
        </w:rPr>
        <w:t xml:space="preserve"> que la mayoría de las mutaciones </w:t>
      </w:r>
      <w:r>
        <w:rPr>
          <w:rFonts w:ascii="Times New Roman" w:hAnsi="Times New Roman" w:cs="Times New Roman"/>
          <w:lang w:val="es-PR"/>
        </w:rPr>
        <w:t>causan sustituciones de aminoácidos</w:t>
      </w:r>
      <w:r w:rsidRPr="00291D38">
        <w:rPr>
          <w:rFonts w:ascii="Times New Roman" w:hAnsi="Times New Roman" w:cs="Times New Roman"/>
          <w:lang w:val="es-PR"/>
        </w:rPr>
        <w:t>, seguidas de truncamientos (Figura S6). Las variantes del Grupo de Genes Ortólogos (</w:t>
      </w:r>
      <w:r w:rsidRPr="00291D38">
        <w:rPr>
          <w:rFonts w:ascii="Times New Roman" w:hAnsi="Times New Roman" w:cs="Times New Roman"/>
          <w:i/>
          <w:iCs/>
          <w:lang w:val="es-PR"/>
        </w:rPr>
        <w:t>Cluster of Orthologous Genes</w:t>
      </w:r>
      <w:r>
        <w:rPr>
          <w:rFonts w:ascii="Times New Roman" w:hAnsi="Times New Roman" w:cs="Times New Roman"/>
          <w:lang w:val="es-PR"/>
        </w:rPr>
        <w:t xml:space="preserve">, </w:t>
      </w:r>
      <w:r w:rsidRPr="00291D38">
        <w:rPr>
          <w:rFonts w:ascii="Times New Roman" w:hAnsi="Times New Roman" w:cs="Times New Roman"/>
          <w:lang w:val="es-PR"/>
        </w:rPr>
        <w:t xml:space="preserve">COG) asociadas con la transcripción, la biogénesis de la pared/membrana/envoltura celular, el transporte y metabolismo de coenzimas, y los mecanismos de defensa fueron las categorías más comunes. Las mutaciones en genes anotados que aparecieron al menos dos veces en las réplicas clonales se resumen en la Tabla </w:t>
      </w:r>
      <w:r w:rsidR="006A5517">
        <w:rPr>
          <w:rFonts w:ascii="Times New Roman" w:hAnsi="Times New Roman" w:cs="Times New Roman"/>
          <w:lang w:val="es-PR"/>
        </w:rPr>
        <w:t>4</w:t>
      </w:r>
      <w:r w:rsidRPr="00291D38">
        <w:rPr>
          <w:rFonts w:ascii="Times New Roman" w:hAnsi="Times New Roman" w:cs="Times New Roman"/>
          <w:lang w:val="es-PR"/>
        </w:rPr>
        <w:t xml:space="preserve">. La información sobre todas las variantes genéticas detectadas </w:t>
      </w:r>
      <w:r w:rsidR="00CF30E9">
        <w:rPr>
          <w:rFonts w:ascii="Times New Roman" w:hAnsi="Times New Roman" w:cs="Times New Roman"/>
          <w:lang w:val="es-PR"/>
        </w:rPr>
        <w:t>están</w:t>
      </w:r>
      <w:r w:rsidRPr="00291D38">
        <w:rPr>
          <w:rFonts w:ascii="Times New Roman" w:hAnsi="Times New Roman" w:cs="Times New Roman"/>
          <w:lang w:val="es-PR"/>
        </w:rPr>
        <w:t xml:space="preserve"> en </w:t>
      </w:r>
      <w:r w:rsidR="006A5517">
        <w:rPr>
          <w:rFonts w:ascii="Times New Roman" w:hAnsi="Times New Roman" w:cs="Times New Roman"/>
          <w:lang w:val="es-PR"/>
        </w:rPr>
        <w:t>el Archivo suplementario 1</w:t>
      </w:r>
      <w:r w:rsidRPr="00291D38">
        <w:rPr>
          <w:rFonts w:ascii="Times New Roman" w:hAnsi="Times New Roman" w:cs="Times New Roman"/>
          <w:lang w:val="es-PR"/>
        </w:rPr>
        <w:t>.</w:t>
      </w:r>
    </w:p>
    <w:p w14:paraId="000FEBBD" w14:textId="77777777" w:rsidR="006A5517" w:rsidRDefault="006A5517" w:rsidP="00291D38">
      <w:pPr>
        <w:pStyle w:val="NoSpacing"/>
        <w:rPr>
          <w:rFonts w:ascii="Times New Roman" w:hAnsi="Times New Roman" w:cs="Times New Roman"/>
          <w:lang w:val="es-PR"/>
        </w:rPr>
      </w:pPr>
    </w:p>
    <w:p w14:paraId="1061B476" w14:textId="77777777" w:rsidR="006A5517" w:rsidRDefault="006A5517" w:rsidP="00291D38">
      <w:pPr>
        <w:pStyle w:val="NoSpacing"/>
        <w:rPr>
          <w:rFonts w:ascii="Times New Roman" w:hAnsi="Times New Roman" w:cs="Times New Roman"/>
          <w:lang w:val="es-PR"/>
        </w:rPr>
      </w:pPr>
    </w:p>
    <w:p w14:paraId="269F1EEE" w14:textId="1E284E11" w:rsidR="006A5517" w:rsidRPr="006A5517" w:rsidRDefault="006A5517" w:rsidP="006A5517">
      <w:pPr>
        <w:tabs>
          <w:tab w:val="left" w:pos="720"/>
        </w:tabs>
        <w:snapToGrid w:val="0"/>
        <w:jc w:val="both"/>
        <w:rPr>
          <w:rFonts w:ascii="Arial" w:hAnsi="Arial" w:cs="Arial"/>
          <w:b/>
          <w:bCs/>
          <w:color w:val="000000" w:themeColor="text1"/>
          <w:lang w:val="es-PR"/>
        </w:rPr>
      </w:pPr>
      <w:r w:rsidRPr="006A5517">
        <w:rPr>
          <w:rFonts w:ascii="Arial" w:hAnsi="Arial" w:cs="Arial"/>
          <w:b/>
          <w:bCs/>
          <w:color w:val="000000" w:themeColor="text1"/>
          <w:lang w:val="es-PR"/>
        </w:rPr>
        <w:lastRenderedPageBreak/>
        <w:t>Tabla 4. Genes mutados e</w:t>
      </w:r>
      <w:r>
        <w:rPr>
          <w:rFonts w:ascii="Arial" w:hAnsi="Arial" w:cs="Arial"/>
          <w:b/>
          <w:bCs/>
          <w:color w:val="000000" w:themeColor="text1"/>
          <w:lang w:val="es-PR"/>
        </w:rPr>
        <w:t xml:space="preserve">n SARM después de infección con los fagos </w:t>
      </w:r>
      <w:r w:rsidRPr="0048103D">
        <w:rPr>
          <w:rFonts w:ascii="Arial" w:hAnsi="Arial" w:cs="Arial"/>
          <w:b/>
          <w:bCs/>
          <w:color w:val="000000" w:themeColor="text1"/>
        </w:rPr>
        <w:t>Φ</w:t>
      </w:r>
      <w:r w:rsidRPr="006A5517">
        <w:rPr>
          <w:rFonts w:ascii="Arial" w:hAnsi="Arial" w:cs="Arial"/>
          <w:b/>
          <w:bCs/>
          <w:color w:val="000000" w:themeColor="text1"/>
          <w:lang w:val="es-PR"/>
        </w:rPr>
        <w:t>Staph1N or Evo2</w:t>
      </w:r>
    </w:p>
    <w:tbl>
      <w:tblPr>
        <w:tblStyle w:val="TableGridLight"/>
        <w:tblW w:w="9351" w:type="dxa"/>
        <w:tblLayout w:type="fixed"/>
        <w:tblLook w:val="04A0" w:firstRow="1" w:lastRow="0" w:firstColumn="1" w:lastColumn="0" w:noHBand="0" w:noVBand="1"/>
      </w:tblPr>
      <w:tblGrid>
        <w:gridCol w:w="760"/>
        <w:gridCol w:w="3844"/>
        <w:gridCol w:w="1535"/>
        <w:gridCol w:w="1997"/>
        <w:gridCol w:w="1215"/>
      </w:tblGrid>
      <w:tr w:rsidR="006A5517" w:rsidRPr="002E6F9F" w14:paraId="2099F0C3" w14:textId="77777777" w:rsidTr="00EC06DE">
        <w:trPr>
          <w:trHeight w:val="293"/>
        </w:trPr>
        <w:tc>
          <w:tcPr>
            <w:tcW w:w="760" w:type="dxa"/>
            <w:noWrap/>
            <w:vAlign w:val="center"/>
            <w:hideMark/>
          </w:tcPr>
          <w:p w14:paraId="417259F7" w14:textId="0B47A517" w:rsidR="006A5517" w:rsidRPr="002E6F9F" w:rsidRDefault="006A5517" w:rsidP="00EC06DE">
            <w:pPr>
              <w:jc w:val="center"/>
              <w:rPr>
                <w:rFonts w:ascii="Arial" w:hAnsi="Arial" w:cs="Arial"/>
                <w:b/>
                <w:bCs/>
                <w:color w:val="000000"/>
                <w:sz w:val="16"/>
                <w:szCs w:val="16"/>
              </w:rPr>
            </w:pPr>
            <w:r w:rsidRPr="002E6F9F">
              <w:rPr>
                <w:rFonts w:ascii="Arial" w:hAnsi="Arial" w:cs="Arial"/>
                <w:b/>
                <w:bCs/>
                <w:color w:val="000000"/>
                <w:sz w:val="16"/>
                <w:szCs w:val="16"/>
              </w:rPr>
              <w:t>Gen</w:t>
            </w:r>
          </w:p>
        </w:tc>
        <w:tc>
          <w:tcPr>
            <w:tcW w:w="3844" w:type="dxa"/>
            <w:noWrap/>
            <w:vAlign w:val="center"/>
            <w:hideMark/>
          </w:tcPr>
          <w:p w14:paraId="5AF239D6" w14:textId="63C03783" w:rsidR="006A5517" w:rsidRPr="002E6F9F" w:rsidRDefault="006A5517" w:rsidP="00EC06DE">
            <w:pPr>
              <w:jc w:val="center"/>
              <w:rPr>
                <w:rFonts w:ascii="Arial" w:hAnsi="Arial" w:cs="Arial"/>
                <w:b/>
                <w:bCs/>
                <w:color w:val="000000"/>
                <w:sz w:val="16"/>
                <w:szCs w:val="16"/>
              </w:rPr>
            </w:pPr>
            <w:proofErr w:type="spellStart"/>
            <w:r w:rsidRPr="002E6F9F">
              <w:rPr>
                <w:rFonts w:ascii="Arial" w:hAnsi="Arial" w:cs="Arial"/>
                <w:b/>
                <w:bCs/>
                <w:color w:val="000000"/>
                <w:sz w:val="16"/>
                <w:szCs w:val="16"/>
              </w:rPr>
              <w:t>Descrip</w:t>
            </w:r>
            <w:r>
              <w:rPr>
                <w:rFonts w:ascii="Arial" w:hAnsi="Arial" w:cs="Arial"/>
                <w:b/>
                <w:bCs/>
                <w:color w:val="000000"/>
                <w:sz w:val="16"/>
                <w:szCs w:val="16"/>
              </w:rPr>
              <w:t>ción</w:t>
            </w:r>
            <w:proofErr w:type="spellEnd"/>
          </w:p>
        </w:tc>
        <w:tc>
          <w:tcPr>
            <w:tcW w:w="1535" w:type="dxa"/>
            <w:vAlign w:val="center"/>
          </w:tcPr>
          <w:p w14:paraId="19A1B02B" w14:textId="3128D302" w:rsidR="006A5517" w:rsidRPr="002E6F9F" w:rsidRDefault="006A5517" w:rsidP="00EC06DE">
            <w:pPr>
              <w:jc w:val="center"/>
              <w:rPr>
                <w:rFonts w:ascii="Arial" w:hAnsi="Arial" w:cs="Arial"/>
                <w:b/>
                <w:bCs/>
                <w:color w:val="000000"/>
                <w:sz w:val="16"/>
                <w:szCs w:val="16"/>
              </w:rPr>
            </w:pPr>
            <w:r>
              <w:rPr>
                <w:rFonts w:ascii="Arial" w:hAnsi="Arial" w:cs="Arial"/>
                <w:b/>
                <w:bCs/>
                <w:color w:val="000000"/>
                <w:sz w:val="16"/>
                <w:szCs w:val="16"/>
              </w:rPr>
              <w:t>Cepa</w:t>
            </w:r>
          </w:p>
        </w:tc>
        <w:tc>
          <w:tcPr>
            <w:tcW w:w="1997" w:type="dxa"/>
            <w:vAlign w:val="center"/>
          </w:tcPr>
          <w:p w14:paraId="6AF02AE6" w14:textId="20CC6382" w:rsidR="006A5517" w:rsidRPr="002E6F9F" w:rsidRDefault="006A5517" w:rsidP="00EC06DE">
            <w:pPr>
              <w:jc w:val="center"/>
              <w:rPr>
                <w:rFonts w:ascii="Arial" w:hAnsi="Arial" w:cs="Arial"/>
                <w:b/>
                <w:bCs/>
                <w:color w:val="000000"/>
                <w:sz w:val="16"/>
                <w:szCs w:val="16"/>
              </w:rPr>
            </w:pPr>
            <w:proofErr w:type="spellStart"/>
            <w:r>
              <w:rPr>
                <w:rFonts w:ascii="Arial" w:hAnsi="Arial" w:cs="Arial"/>
                <w:b/>
                <w:bCs/>
                <w:color w:val="000000"/>
                <w:sz w:val="16"/>
                <w:szCs w:val="16"/>
              </w:rPr>
              <w:t>Tratamiento</w:t>
            </w:r>
            <w:proofErr w:type="spellEnd"/>
          </w:p>
        </w:tc>
        <w:tc>
          <w:tcPr>
            <w:tcW w:w="1215" w:type="dxa"/>
            <w:noWrap/>
            <w:vAlign w:val="center"/>
            <w:hideMark/>
          </w:tcPr>
          <w:p w14:paraId="1AAAAC1F" w14:textId="324CB633" w:rsidR="006A5517" w:rsidRPr="002E6F9F" w:rsidRDefault="006A5517" w:rsidP="00EC06DE">
            <w:pPr>
              <w:jc w:val="center"/>
              <w:rPr>
                <w:rFonts w:ascii="Arial" w:hAnsi="Arial" w:cs="Arial"/>
                <w:b/>
                <w:bCs/>
                <w:color w:val="000000"/>
                <w:sz w:val="16"/>
                <w:szCs w:val="16"/>
              </w:rPr>
            </w:pPr>
            <w:proofErr w:type="spellStart"/>
            <w:r w:rsidRPr="002E6F9F">
              <w:rPr>
                <w:rFonts w:ascii="Arial" w:hAnsi="Arial" w:cs="Arial"/>
                <w:b/>
                <w:bCs/>
                <w:color w:val="000000"/>
                <w:sz w:val="16"/>
                <w:szCs w:val="16"/>
              </w:rPr>
              <w:t>Refe</w:t>
            </w:r>
            <w:r>
              <w:rPr>
                <w:rFonts w:ascii="Arial" w:hAnsi="Arial" w:cs="Arial"/>
                <w:b/>
                <w:bCs/>
                <w:color w:val="000000"/>
                <w:sz w:val="16"/>
                <w:szCs w:val="16"/>
              </w:rPr>
              <w:t>rencia</w:t>
            </w:r>
            <w:proofErr w:type="spellEnd"/>
          </w:p>
        </w:tc>
      </w:tr>
      <w:tr w:rsidR="006A5517" w:rsidRPr="00D44FBE" w14:paraId="4A341878" w14:textId="77777777" w:rsidTr="00EC06DE">
        <w:trPr>
          <w:trHeight w:val="285"/>
        </w:trPr>
        <w:tc>
          <w:tcPr>
            <w:tcW w:w="760" w:type="dxa"/>
            <w:noWrap/>
            <w:vAlign w:val="center"/>
            <w:hideMark/>
          </w:tcPr>
          <w:p w14:paraId="4CB637F7" w14:textId="77777777" w:rsidR="006A5517" w:rsidRPr="002E6F9F" w:rsidRDefault="006A5517" w:rsidP="00EC06DE">
            <w:pPr>
              <w:jc w:val="center"/>
              <w:rPr>
                <w:rFonts w:ascii="Arial" w:hAnsi="Arial" w:cs="Arial"/>
                <w:i/>
                <w:iCs/>
                <w:color w:val="000000"/>
                <w:sz w:val="16"/>
                <w:szCs w:val="16"/>
              </w:rPr>
            </w:pPr>
            <w:proofErr w:type="spellStart"/>
            <w:r w:rsidRPr="002E6F9F">
              <w:rPr>
                <w:rFonts w:ascii="Arial" w:hAnsi="Arial" w:cs="Arial"/>
                <w:i/>
                <w:iCs/>
                <w:color w:val="000000"/>
                <w:sz w:val="16"/>
                <w:szCs w:val="16"/>
              </w:rPr>
              <w:t>sarA</w:t>
            </w:r>
            <w:proofErr w:type="spellEnd"/>
          </w:p>
        </w:tc>
        <w:tc>
          <w:tcPr>
            <w:tcW w:w="3844" w:type="dxa"/>
            <w:noWrap/>
            <w:vAlign w:val="center"/>
            <w:hideMark/>
          </w:tcPr>
          <w:p w14:paraId="058DD161" w14:textId="6BD3272B" w:rsidR="006A5517" w:rsidRPr="006A5517" w:rsidRDefault="006A5517" w:rsidP="00EC06DE">
            <w:pPr>
              <w:jc w:val="center"/>
              <w:rPr>
                <w:rFonts w:ascii="Arial" w:hAnsi="Arial" w:cs="Arial"/>
                <w:color w:val="000000" w:themeColor="text1"/>
                <w:sz w:val="16"/>
                <w:szCs w:val="16"/>
                <w:lang w:val="es-PR"/>
              </w:rPr>
            </w:pPr>
            <w:r w:rsidRPr="006A5517">
              <w:rPr>
                <w:rFonts w:ascii="Arial" w:hAnsi="Arial" w:cs="Arial"/>
                <w:color w:val="000000" w:themeColor="text1"/>
                <w:sz w:val="16"/>
                <w:szCs w:val="16"/>
                <w:lang w:val="es-PR"/>
              </w:rPr>
              <w:t xml:space="preserve">Regulador transcripcional de </w:t>
            </w:r>
            <w:r>
              <w:rPr>
                <w:rFonts w:ascii="Arial" w:hAnsi="Arial" w:cs="Arial"/>
                <w:color w:val="000000" w:themeColor="text1"/>
                <w:sz w:val="16"/>
                <w:szCs w:val="16"/>
                <w:lang w:val="es-PR"/>
              </w:rPr>
              <w:t>r</w:t>
            </w:r>
            <w:r w:rsidRPr="006A5517">
              <w:rPr>
                <w:rFonts w:ascii="Arial" w:hAnsi="Arial" w:cs="Arial"/>
                <w:color w:val="000000" w:themeColor="text1"/>
                <w:sz w:val="16"/>
                <w:szCs w:val="16"/>
                <w:lang w:val="es-PR"/>
              </w:rPr>
              <w:t>esistencia a</w:t>
            </w:r>
            <w:r>
              <w:rPr>
                <w:rFonts w:ascii="Arial" w:hAnsi="Arial" w:cs="Arial"/>
                <w:color w:val="000000" w:themeColor="text1"/>
                <w:sz w:val="16"/>
                <w:szCs w:val="16"/>
                <w:lang w:val="es-PR"/>
              </w:rPr>
              <w:t xml:space="preserve"> antibióticos y virulencia</w:t>
            </w:r>
          </w:p>
        </w:tc>
        <w:tc>
          <w:tcPr>
            <w:tcW w:w="1535" w:type="dxa"/>
            <w:vAlign w:val="center"/>
          </w:tcPr>
          <w:p w14:paraId="2CA63721" w14:textId="77777777" w:rsidR="006A5517" w:rsidRPr="002E6F9F" w:rsidRDefault="006A5517" w:rsidP="00EC06DE">
            <w:pPr>
              <w:jc w:val="center"/>
              <w:rPr>
                <w:rFonts w:ascii="Arial" w:hAnsi="Arial" w:cs="Arial"/>
                <w:color w:val="000000"/>
                <w:sz w:val="16"/>
                <w:szCs w:val="16"/>
              </w:rPr>
            </w:pPr>
            <w:r w:rsidRPr="002E6F9F">
              <w:rPr>
                <w:rFonts w:ascii="Arial" w:hAnsi="Arial" w:cs="Arial"/>
                <w:color w:val="000000"/>
                <w:sz w:val="16"/>
                <w:szCs w:val="16"/>
              </w:rPr>
              <w:t>MW2</w:t>
            </w:r>
          </w:p>
        </w:tc>
        <w:tc>
          <w:tcPr>
            <w:tcW w:w="1997" w:type="dxa"/>
            <w:vAlign w:val="center"/>
          </w:tcPr>
          <w:p w14:paraId="7F9DAC00" w14:textId="77777777" w:rsidR="006A5517" w:rsidRPr="002E6F9F" w:rsidRDefault="006A5517" w:rsidP="00EC06DE">
            <w:pPr>
              <w:jc w:val="center"/>
              <w:rPr>
                <w:rFonts w:ascii="Arial" w:hAnsi="Arial" w:cs="Arial"/>
                <w:color w:val="000000"/>
                <w:sz w:val="16"/>
                <w:szCs w:val="16"/>
              </w:rPr>
            </w:pPr>
            <w:r w:rsidRPr="002E6F9F">
              <w:rPr>
                <w:rFonts w:ascii="Arial" w:hAnsi="Arial" w:cs="Arial"/>
                <w:color w:val="000000"/>
                <w:sz w:val="16"/>
                <w:szCs w:val="16"/>
              </w:rPr>
              <w:t>Evo2</w:t>
            </w:r>
          </w:p>
        </w:tc>
        <w:tc>
          <w:tcPr>
            <w:tcW w:w="1215" w:type="dxa"/>
            <w:noWrap/>
            <w:vAlign w:val="center"/>
            <w:hideMark/>
          </w:tcPr>
          <w:p w14:paraId="5EDC72FC" w14:textId="77777777" w:rsidR="006A5517" w:rsidRPr="00D44FBE" w:rsidRDefault="006A5517" w:rsidP="00EC06DE">
            <w:pPr>
              <w:jc w:val="center"/>
              <w:rPr>
                <w:rFonts w:ascii="Arial" w:hAnsi="Arial" w:cs="Arial"/>
                <w:color w:val="000000"/>
                <w:sz w:val="16"/>
                <w:szCs w:val="16"/>
                <w:lang w:val="es-PR"/>
              </w:rPr>
            </w:pPr>
            <w:r>
              <w:rPr>
                <w:rFonts w:ascii="Arial" w:hAnsi="Arial" w:cs="Arial"/>
                <w:color w:val="000000"/>
                <w:sz w:val="16"/>
                <w:szCs w:val="16"/>
              </w:rPr>
              <w:fldChar w:fldCharType="begin"/>
            </w:r>
            <w:r>
              <w:rPr>
                <w:rFonts w:ascii="Arial" w:hAnsi="Arial" w:cs="Arial"/>
                <w:color w:val="000000"/>
                <w:sz w:val="16"/>
                <w:szCs w:val="16"/>
              </w:rPr>
              <w:instrText xml:space="preserve"> ADDIN ZOTERO_ITEM CSL_CITATION {"citationID":"JTMKWXhC","properties":{"formattedCitation":"\\super 31,32\\nosupersub{}","plainCitation":"31,32","noteIndex":0},"citationItems":[{"id":3207,"uris":["http://zotero.org/users/9750378/items/7GX8D697"],"itemData":{"id":3207,"type":"article-journal","abstract":"Background. The global regulator sarA modulates virulence of methicillin-resistant Staphylococcus aureus (MRSA) via regulation of principal virulence factors (eg, adhesins and toxins) and bioﬁlm formation. Resistance of S. aureus strains to β-lactam antibiotics (eg, oxacillin) depends on the production of penicillin-binding protein 2a (PBP2a), encoded by mecA.\nMethods. In the present study, we investigated the impact of sarA on the phenotypic and genotypic characteristics of oxacillin resistance both in vitro and in an experimental endocarditis model, using prototypic healthcare- and community-associated MRSA parental and their respective sarA mutant strain sets.\nResults. All sarA mutants (vs respective MRSA parental controls) displayed signiﬁcant reductions in oxacillin resistance and bioﬁlm formation in vitro and oxacillin persistence in an experimental endocarditis model in vivo. These phenotypes corresponded to reduced mecA expression and PBP2a production and an interdependency of sarA and sigB regulators. Moreover, RNA sequencing analyses showed that sarA mutants exhibited signiﬁcantly increased levels of primary extracellular proteases and suppressed pyrimidine biosynthetic pathway, argininosuccinate lyase–encoding, and ABC transporter–related genes as compared to the parental strain.\nConclusions. These results suggested that sarA regulates oxacillin resistance in mecA-positive MRSA. Thus, abrogation of this regulator represents an attractive and novel drug target to potentiate efﬁcacy of existing antibiotic for MRSA therapy.","container-title":"Journal of Infectious Diseases","DOI":"10.1093/infdis/jiw386","ISSN":"0022-1899, 1537-6613","issue":"9","journalAbbreviation":"J Infect Dis.","language":"en","page":"1421-1429","source":"DOI.org (Crossref)","title":"The Global Regulon &lt;i&gt;sarA&lt;/i&gt; Regulates β-Lactam Antibiotic Resistance in Methicillin-Resistant &lt;i&gt;Staphylococcus aureus&lt;/i&gt; In Vitro and in Endovascular Infections","volume":"214","author":[{"family":"Li","given":"Liang"},{"family":"Cheung","given":"Ambrose"},{"family":"Bayer","given":"Arnold S."},{"family":"Chen","given":"Liang"},{"family":"Abdelhady","given":"Wessam"},{"family":"Kreiswirth","given":"Barry N."},{"family":"Yeaman","given":"Michael R."},{"family":"Xiong","given":"Yan Q."}],"issued":{"date-parts":[["2016",11,1]]}}},{"id":3290,"uris":["http://zotero.org/users/9750378/items/I46VCE38"],"itemData":{"id":3290,"type":"article-journal","abstract":"Summary\n            \n              Mutation of staphylococcal accessory regulator (\n              \n                sarA\n              \n              ) results in increased production of extracellular proteases in\n              \n                S\n                taphylococcus aureus\n              \n              , which has been correlated with decreased biofilm formation and decreased accumulation of extracellular toxins. We used murine models of implant</w:instrText>
            </w:r>
            <w:r>
              <w:rPr>
                <w:rFonts w:ascii="Cambria Math" w:hAnsi="Cambria Math" w:cs="Cambria Math"/>
                <w:color w:val="000000"/>
                <w:sz w:val="16"/>
                <w:szCs w:val="16"/>
              </w:rPr>
              <w:instrText>‐</w:instrText>
            </w:r>
            <w:r>
              <w:rPr>
                <w:rFonts w:ascii="Arial" w:hAnsi="Arial" w:cs="Arial"/>
                <w:color w:val="000000"/>
                <w:sz w:val="16"/>
                <w:szCs w:val="16"/>
              </w:rPr>
              <w:instrText>associated biofilm infection and\n              \n                S\n                . aureus\n              \n              bacteraemia (\n              SAB\n              ) to compare virulence of\n              USA\n              300 strain\n              LAC\n              , its isogenic\n              \n                sarA\n              \n              mutant, and derivatives of each of these strains with mutations in all 10 of the genes encoding recognized extracellular proteases. The\n              \n                sarA\n              \n              mutant was attenuated in both models, and this was reversed by eliminating production of extracellular proteases. To examine the mechanistic basis, we identified proteins impacted by\n              \n                sarA\n              \n              in a protease</w:instrText>
            </w:r>
            <w:r>
              <w:rPr>
                <w:rFonts w:ascii="Cambria Math" w:hAnsi="Cambria Math" w:cs="Cambria Math"/>
                <w:color w:val="000000"/>
                <w:sz w:val="16"/>
                <w:szCs w:val="16"/>
              </w:rPr>
              <w:instrText>‐</w:instrText>
            </w:r>
            <w:r>
              <w:rPr>
                <w:rFonts w:ascii="Arial" w:hAnsi="Arial" w:cs="Arial"/>
                <w:color w:val="000000"/>
                <w:sz w:val="16"/>
                <w:szCs w:val="16"/>
              </w:rPr>
              <w:instrText>dependent manner. We identified 253 proteins where accumulation was reduced in the\n              \n                sarA\n              \n              mutant compared with the parent strain, and was restored in the\n              \n                sarA\n              \n              /protease mutant. Additionally, in\n              SAB\n              , the\n              LAC\n              protease mutant exhibited a hypervirulent phenotype by comparison with the isogenic parent strain, demonstrating that\n              \n                sarA\n              \n              also positively regulates production of virulence factors, some of which are subje</w:instrText>
            </w:r>
            <w:r w:rsidRPr="00D44FBE">
              <w:rPr>
                <w:rFonts w:ascii="Arial" w:hAnsi="Arial" w:cs="Arial"/>
                <w:color w:val="000000"/>
                <w:sz w:val="16"/>
                <w:szCs w:val="16"/>
                <w:lang w:val="es-PR"/>
              </w:rPr>
              <w:instrText>ct to protease</w:instrText>
            </w:r>
            <w:r w:rsidRPr="00D44FBE">
              <w:rPr>
                <w:rFonts w:ascii="Cambria Math" w:hAnsi="Cambria Math" w:cs="Cambria Math"/>
                <w:color w:val="000000"/>
                <w:sz w:val="16"/>
                <w:szCs w:val="16"/>
                <w:lang w:val="es-PR"/>
              </w:rPr>
              <w:instrText>‐</w:instrText>
            </w:r>
            <w:r w:rsidRPr="00D44FBE">
              <w:rPr>
                <w:rFonts w:ascii="Arial" w:hAnsi="Arial" w:cs="Arial"/>
                <w:color w:val="000000"/>
                <w:sz w:val="16"/>
                <w:szCs w:val="16"/>
                <w:lang w:val="es-PR"/>
              </w:rPr>
              <w:instrText xml:space="preserve">mediated degradation. We propose a model in which attenuation of\n              \n                sarA\n              \n              mutants is defined by their inability to produce critical factors and simultaneously repress production of extracellular proteases that would otherwise limit accumulation of virulence factors.","container-title":"Molecular Microbiology","DOI":"10.1111/mmi.12048","ISSN":"0950-382X, 1365-2958","issue":"5","journalAbbreviation":"Molecular Microbiology","language":"en","license":"http://onlinelibrary.wiley.com/termsAndConditions#vor","page":"1183-1196","source":"DOI.org (Crossref)","title":"&lt;span style=\"font-variant:small-caps;\"&gt; &lt;i&gt;sarA&lt;/i&gt; &lt;/span&gt; </w:instrText>
            </w:r>
            <w:r w:rsidRPr="00D44FBE">
              <w:rPr>
                <w:rFonts w:ascii="Cambria Math" w:hAnsi="Cambria Math" w:cs="Cambria Math"/>
                <w:color w:val="000000"/>
                <w:sz w:val="16"/>
                <w:szCs w:val="16"/>
                <w:lang w:val="es-PR"/>
              </w:rPr>
              <w:instrText>‐</w:instrText>
            </w:r>
            <w:r w:rsidRPr="00D44FBE">
              <w:rPr>
                <w:rFonts w:ascii="Arial" w:hAnsi="Arial" w:cs="Arial"/>
                <w:color w:val="000000"/>
                <w:sz w:val="16"/>
                <w:szCs w:val="16"/>
                <w:lang w:val="es-PR"/>
              </w:rPr>
              <w:instrText xml:space="preserve">mediated repression of protease production plays a key role in the pathogenesis of &lt;i&gt; &lt;span style=\"font-variant:small-caps;\"&gt;S&lt;/span&gt; taphylococcus aureus &lt;/i&gt; &lt;span style=\"font-variant:small-caps;\"&gt;USA&lt;/span&gt; 300 isolates","title-short":"&lt;span style=\"font-variant","volume":"86","author":[{"family":"Zielinska","given":"Agnieszka K."},{"family":"Beenken","given":"Karen E."},{"family":"Mrak","given":"Lara N."},{"family":"Spencer","given":"Horace J."},{"family":"Post","given":"Ginell R."},{"family":"Skinner","given":"Robert A."},{"family":"Tackett","given":"Alan J."},{"family":"Horswill","given":"Alexander R."},{"family":"Smeltzer","given":"Mark S."}],"issued":{"date-parts":[["2012",12]]}}}],"schema":"https://github.com/citation-style-language/schema/raw/master/csl-citation.json"} </w:instrText>
            </w:r>
            <w:r>
              <w:rPr>
                <w:rFonts w:ascii="Arial" w:hAnsi="Arial" w:cs="Arial"/>
                <w:color w:val="000000"/>
                <w:sz w:val="16"/>
                <w:szCs w:val="16"/>
              </w:rPr>
              <w:fldChar w:fldCharType="separate"/>
            </w:r>
            <w:r w:rsidRPr="00D44FBE">
              <w:rPr>
                <w:rFonts w:ascii="Arial" w:hAnsi="Arial" w:cs="Arial"/>
                <w:color w:val="000000"/>
                <w:sz w:val="16"/>
                <w:vertAlign w:val="superscript"/>
                <w:lang w:val="es-PR"/>
              </w:rPr>
              <w:t>31,32</w:t>
            </w:r>
            <w:r>
              <w:rPr>
                <w:rFonts w:ascii="Arial" w:hAnsi="Arial" w:cs="Arial"/>
                <w:color w:val="000000"/>
                <w:sz w:val="16"/>
                <w:szCs w:val="16"/>
              </w:rPr>
              <w:fldChar w:fldCharType="end"/>
            </w:r>
          </w:p>
        </w:tc>
      </w:tr>
      <w:tr w:rsidR="006A5517" w:rsidRPr="002E6F9F" w14:paraId="09D25449" w14:textId="77777777" w:rsidTr="00EC06DE">
        <w:trPr>
          <w:trHeight w:val="285"/>
        </w:trPr>
        <w:tc>
          <w:tcPr>
            <w:tcW w:w="760" w:type="dxa"/>
            <w:noWrap/>
            <w:vAlign w:val="center"/>
            <w:hideMark/>
          </w:tcPr>
          <w:p w14:paraId="4B9B9526" w14:textId="77777777" w:rsidR="006A5517" w:rsidRPr="00D44FBE" w:rsidRDefault="006A5517" w:rsidP="00EC06DE">
            <w:pPr>
              <w:jc w:val="center"/>
              <w:rPr>
                <w:rFonts w:ascii="Arial" w:hAnsi="Arial" w:cs="Arial"/>
                <w:i/>
                <w:iCs/>
                <w:color w:val="000000"/>
                <w:sz w:val="16"/>
                <w:szCs w:val="16"/>
                <w:lang w:val="es-PR"/>
              </w:rPr>
            </w:pPr>
            <w:r w:rsidRPr="00D44FBE">
              <w:rPr>
                <w:rFonts w:ascii="Arial" w:hAnsi="Arial" w:cs="Arial"/>
                <w:i/>
                <w:iCs/>
                <w:color w:val="000000"/>
                <w:sz w:val="16"/>
                <w:szCs w:val="16"/>
                <w:lang w:val="es-PR"/>
              </w:rPr>
              <w:t>mgrA</w:t>
            </w:r>
          </w:p>
        </w:tc>
        <w:tc>
          <w:tcPr>
            <w:tcW w:w="3844" w:type="dxa"/>
            <w:noWrap/>
            <w:vAlign w:val="center"/>
            <w:hideMark/>
          </w:tcPr>
          <w:p w14:paraId="2AB5BFAD" w14:textId="7A23F5FC" w:rsidR="006A5517" w:rsidRPr="006A5517" w:rsidRDefault="006A5517" w:rsidP="00EC06DE">
            <w:pPr>
              <w:jc w:val="center"/>
              <w:rPr>
                <w:rFonts w:ascii="Arial" w:hAnsi="Arial" w:cs="Arial"/>
                <w:color w:val="000000" w:themeColor="text1"/>
                <w:sz w:val="16"/>
                <w:szCs w:val="16"/>
                <w:lang w:val="es-PR"/>
              </w:rPr>
            </w:pPr>
            <w:r w:rsidRPr="006A5517">
              <w:rPr>
                <w:rFonts w:ascii="Arial" w:hAnsi="Arial" w:cs="Arial"/>
                <w:color w:val="000000" w:themeColor="text1"/>
                <w:sz w:val="16"/>
                <w:szCs w:val="16"/>
                <w:lang w:val="es-PR"/>
              </w:rPr>
              <w:t xml:space="preserve">Regulador transcripcional de </w:t>
            </w:r>
            <w:r>
              <w:rPr>
                <w:rFonts w:ascii="Arial" w:hAnsi="Arial" w:cs="Arial"/>
                <w:color w:val="000000" w:themeColor="text1"/>
                <w:sz w:val="16"/>
                <w:szCs w:val="16"/>
                <w:lang w:val="es-PR"/>
              </w:rPr>
              <w:t>r</w:t>
            </w:r>
            <w:r w:rsidRPr="006A5517">
              <w:rPr>
                <w:rFonts w:ascii="Arial" w:hAnsi="Arial" w:cs="Arial"/>
                <w:color w:val="000000" w:themeColor="text1"/>
                <w:sz w:val="16"/>
                <w:szCs w:val="16"/>
                <w:lang w:val="es-PR"/>
              </w:rPr>
              <w:t>esistencia a</w:t>
            </w:r>
            <w:r>
              <w:rPr>
                <w:rFonts w:ascii="Arial" w:hAnsi="Arial" w:cs="Arial"/>
                <w:color w:val="000000" w:themeColor="text1"/>
                <w:sz w:val="16"/>
                <w:szCs w:val="16"/>
                <w:lang w:val="es-PR"/>
              </w:rPr>
              <w:t xml:space="preserve"> antibióticos y virulencia</w:t>
            </w:r>
          </w:p>
        </w:tc>
        <w:tc>
          <w:tcPr>
            <w:tcW w:w="1535" w:type="dxa"/>
            <w:vAlign w:val="center"/>
          </w:tcPr>
          <w:p w14:paraId="198726C4" w14:textId="77777777" w:rsidR="006A5517" w:rsidRPr="00D44FBE" w:rsidRDefault="006A5517" w:rsidP="00EC06DE">
            <w:pPr>
              <w:jc w:val="center"/>
              <w:rPr>
                <w:rFonts w:ascii="Arial" w:hAnsi="Arial" w:cs="Arial"/>
                <w:color w:val="000000"/>
                <w:sz w:val="16"/>
                <w:szCs w:val="16"/>
                <w:lang w:val="es-PR"/>
              </w:rPr>
            </w:pPr>
            <w:r w:rsidRPr="00D44FBE">
              <w:rPr>
                <w:rFonts w:ascii="Arial" w:hAnsi="Arial" w:cs="Arial"/>
                <w:color w:val="000000"/>
                <w:sz w:val="16"/>
                <w:szCs w:val="16"/>
                <w:lang w:val="es-PR"/>
              </w:rPr>
              <w:t>MW2</w:t>
            </w:r>
          </w:p>
        </w:tc>
        <w:tc>
          <w:tcPr>
            <w:tcW w:w="1997" w:type="dxa"/>
            <w:vAlign w:val="center"/>
          </w:tcPr>
          <w:p w14:paraId="70E6FBA6" w14:textId="77777777" w:rsidR="006A5517" w:rsidRPr="00D44FBE" w:rsidRDefault="006A5517" w:rsidP="00EC06DE">
            <w:pPr>
              <w:jc w:val="center"/>
              <w:rPr>
                <w:rFonts w:ascii="Arial" w:hAnsi="Arial" w:cs="Arial"/>
                <w:color w:val="000000"/>
                <w:sz w:val="16"/>
                <w:szCs w:val="16"/>
                <w:lang w:val="es-PR"/>
              </w:rPr>
            </w:pPr>
            <w:r w:rsidRPr="002E6F9F">
              <w:rPr>
                <w:rFonts w:ascii="Arial" w:hAnsi="Arial" w:cs="Arial"/>
                <w:sz w:val="16"/>
                <w:szCs w:val="16"/>
              </w:rPr>
              <w:t>Φ</w:t>
            </w:r>
            <w:r w:rsidRPr="00D44FBE">
              <w:rPr>
                <w:rFonts w:ascii="Arial" w:hAnsi="Arial" w:cs="Arial"/>
                <w:sz w:val="16"/>
                <w:szCs w:val="16"/>
                <w:lang w:val="es-PR"/>
              </w:rPr>
              <w:t xml:space="preserve">Staph1N, </w:t>
            </w:r>
            <w:r w:rsidRPr="00D44FBE">
              <w:rPr>
                <w:rFonts w:ascii="Arial" w:hAnsi="Arial" w:cs="Arial"/>
                <w:color w:val="000000"/>
                <w:sz w:val="16"/>
                <w:szCs w:val="16"/>
                <w:lang w:val="es-PR"/>
              </w:rPr>
              <w:t>Evo2</w:t>
            </w:r>
          </w:p>
        </w:tc>
        <w:tc>
          <w:tcPr>
            <w:tcW w:w="1215" w:type="dxa"/>
            <w:noWrap/>
            <w:vAlign w:val="center"/>
            <w:hideMark/>
          </w:tcPr>
          <w:p w14:paraId="68511653" w14:textId="77777777" w:rsidR="006A5517" w:rsidRPr="002E6F9F" w:rsidRDefault="006A5517" w:rsidP="00EC06DE">
            <w:pPr>
              <w:jc w:val="center"/>
              <w:rPr>
                <w:rFonts w:ascii="Arial" w:hAnsi="Arial" w:cs="Arial"/>
                <w:color w:val="000000"/>
                <w:sz w:val="16"/>
                <w:szCs w:val="16"/>
              </w:rPr>
            </w:pPr>
            <w:r>
              <w:rPr>
                <w:rFonts w:ascii="Arial" w:hAnsi="Arial" w:cs="Arial"/>
                <w:color w:val="000000"/>
                <w:sz w:val="16"/>
                <w:szCs w:val="16"/>
              </w:rPr>
              <w:fldChar w:fldCharType="begin"/>
            </w:r>
            <w:r w:rsidRPr="00D44FBE">
              <w:rPr>
                <w:rFonts w:ascii="Arial" w:hAnsi="Arial" w:cs="Arial"/>
                <w:color w:val="000000"/>
                <w:sz w:val="16"/>
                <w:szCs w:val="16"/>
                <w:lang w:val="es-PR"/>
              </w:rPr>
              <w:instrText xml:space="preserve"> ADDIN ZOTERO_ITEM CSL_CITATION {"citationID":"a6KjaiUK","properties":{"formattedCitation":"\\super 33,34\\nosupersub{}","plainCitation":"33,34","noteIndex":0},"citationItems":[{"id":3225,"uris":["http://zotero.org/users/9750378/items/RWATRMRH"],"itemData":{"id":3225,"type":"article-journal","container-title":"PLOS Pathogens","DOI":"10.1371/journal.ppat.1005604","ISSN":"1553-7374","issue":"5","journalAbbreviation":"PLoS Pathog","language":"en","page":"e1005604","source":"DOI.org (Crossref)","title":"The Staphylococcus aureus Global Regulator MgrA Modulates Clumping and Virulence by Controlling Surface Protein Expression","volume":"12","author":[{"family":"Crosby","given":"Heidi A."},{"family":"Schlievert","given":"Patrick M."},{"family":"Merriman","given":"Joseph A."},{"family":"King","given":"Jessica M."},{"family":"Salgado-Pabón","given":"Wilmara"},{"family":"Horswill","given":"Alexander R."}],"editor":[{"family":"Otto","given":"Michael"}],"issued":{"date-parts":[["2016",5,4]]}}},{"id":3224,"uris":["http://zotero.org/users/9750378/items/ZMZC4MED"],"itemData":{"id":3224,"type":"article-journal","abstract":"Skin is one of the most common sites of host immune response against Staphylococcus aureus infection. Here, through a combination of in vitro assays, mouse models, and intravital imaging, we </w:instrText>
            </w:r>
            <w:r>
              <w:rPr>
                <w:rFonts w:ascii="Arial" w:hAnsi="Arial" w:cs="Arial"/>
                <w:color w:val="000000"/>
                <w:sz w:val="16"/>
                <w:szCs w:val="16"/>
              </w:rPr>
              <w:instrText>ﬁ</w:instrText>
            </w:r>
            <w:r w:rsidRPr="00D44FBE">
              <w:rPr>
                <w:rFonts w:ascii="Arial" w:hAnsi="Arial" w:cs="Arial"/>
                <w:color w:val="000000"/>
                <w:sz w:val="16"/>
                <w:szCs w:val="16"/>
                <w:lang w:val="es-PR"/>
              </w:rPr>
              <w:instrText>nd that S. aureus immune evasion in skin is controlled by a cascade composed of t</w:instrText>
            </w:r>
            <w:r>
              <w:rPr>
                <w:rFonts w:ascii="Arial" w:hAnsi="Arial" w:cs="Arial"/>
                <w:color w:val="000000"/>
                <w:sz w:val="16"/>
                <w:szCs w:val="16"/>
              </w:rPr>
              <w:instrText xml:space="preserve">he ArlRS two-component regulatory system and its downstream effector, MgrA. S. aureus lacking either ArlRS or MgrA is less virulent and unable to form correct abscess structure due to de-repression of a giant surface protein, Ebh. These S. aureus mutants also have decreased expression of immune evasion factors (leukocidins, chemotaxisinhibitory protein of S. aureus [CHIPS], staphylococcal complement inhibitor [SCIN], and nuclease) and are unable to kill neutrophils, block their chemotaxis, degrade neutrophil extracellular traps, and survive direct neutrophil attack. The combination of disrupted abscess structure and reduced immune evasion factors makes S. aureus susceptible to host defenses. ArlRS and MgrA are therefore the main regulators of S. aureus immune evasion and promising treatment targets.","container-title":"Cell Reports","DOI":"10.1016/j.celrep.2021.109462","ISSN":"22111247","issue":"4","journalAbbreviation":"Cell Reports","language":"en","page":"109462","source":"DOI.org (Crossref)","title":"Staphylococcus aureus uses the ArlRS and MgrA cascade to regulate immune evasion during skin infection","volume":"36","author":[{"family":"Kwiecinski","given":"Jakub M."},{"family":"Kratofil","given":"Rachel M."},{"family":"Parlet","given":"Corey P."},{"family":"Surewaard","given":"Bas G.J."},{"family":"Kubes","given":"Paul"},{"family":"Horswill","given":"Alexander R."}],"issued":{"date-parts":[["2021",7]]}}}],"schema":"https://github.com/citation-style-language/schema/raw/master/csl-citation.json"} </w:instrText>
            </w:r>
            <w:r>
              <w:rPr>
                <w:rFonts w:ascii="Arial" w:hAnsi="Arial" w:cs="Arial"/>
                <w:color w:val="000000"/>
                <w:sz w:val="16"/>
                <w:szCs w:val="16"/>
              </w:rPr>
              <w:fldChar w:fldCharType="separate"/>
            </w:r>
            <w:r w:rsidRPr="005F1507">
              <w:rPr>
                <w:rFonts w:ascii="Arial" w:hAnsi="Arial" w:cs="Arial"/>
                <w:color w:val="000000"/>
                <w:sz w:val="16"/>
                <w:vertAlign w:val="superscript"/>
              </w:rPr>
              <w:t>33,34</w:t>
            </w:r>
            <w:r>
              <w:rPr>
                <w:rFonts w:ascii="Arial" w:hAnsi="Arial" w:cs="Arial"/>
                <w:color w:val="000000"/>
                <w:sz w:val="16"/>
                <w:szCs w:val="16"/>
              </w:rPr>
              <w:fldChar w:fldCharType="end"/>
            </w:r>
          </w:p>
        </w:tc>
      </w:tr>
      <w:tr w:rsidR="006A5517" w:rsidRPr="00D44FBE" w14:paraId="6CD99202" w14:textId="77777777" w:rsidTr="00EC06DE">
        <w:trPr>
          <w:trHeight w:val="285"/>
        </w:trPr>
        <w:tc>
          <w:tcPr>
            <w:tcW w:w="760" w:type="dxa"/>
            <w:noWrap/>
            <w:vAlign w:val="center"/>
            <w:hideMark/>
          </w:tcPr>
          <w:p w14:paraId="64F817BC" w14:textId="77777777" w:rsidR="006A5517" w:rsidRPr="002E6F9F" w:rsidRDefault="006A5517" w:rsidP="00EC06DE">
            <w:pPr>
              <w:jc w:val="center"/>
              <w:rPr>
                <w:rFonts w:ascii="Arial" w:hAnsi="Arial" w:cs="Arial"/>
                <w:i/>
                <w:iCs/>
                <w:color w:val="000000"/>
                <w:sz w:val="16"/>
                <w:szCs w:val="16"/>
              </w:rPr>
            </w:pPr>
            <w:proofErr w:type="spellStart"/>
            <w:r w:rsidRPr="5F873F12">
              <w:rPr>
                <w:rFonts w:ascii="Arial" w:hAnsi="Arial" w:cs="Arial"/>
                <w:i/>
                <w:color w:val="000000" w:themeColor="text1"/>
                <w:sz w:val="16"/>
                <w:szCs w:val="16"/>
              </w:rPr>
              <w:t>rpoB</w:t>
            </w:r>
            <w:proofErr w:type="spellEnd"/>
          </w:p>
        </w:tc>
        <w:tc>
          <w:tcPr>
            <w:tcW w:w="3844" w:type="dxa"/>
            <w:noWrap/>
            <w:vAlign w:val="center"/>
            <w:hideMark/>
          </w:tcPr>
          <w:p w14:paraId="1CB36F60" w14:textId="68F0269B" w:rsidR="006A5517" w:rsidRPr="006A5517" w:rsidRDefault="006A5517" w:rsidP="00EC06DE">
            <w:pPr>
              <w:jc w:val="center"/>
              <w:rPr>
                <w:rFonts w:ascii="Arial" w:hAnsi="Arial" w:cs="Arial"/>
                <w:color w:val="000000" w:themeColor="text1"/>
                <w:sz w:val="16"/>
                <w:szCs w:val="16"/>
                <w:lang w:val="es-PR"/>
              </w:rPr>
            </w:pPr>
            <w:r w:rsidRPr="006A5517">
              <w:rPr>
                <w:rFonts w:ascii="Arial" w:hAnsi="Arial" w:cs="Arial"/>
                <w:color w:val="000000" w:themeColor="text1"/>
                <w:sz w:val="16"/>
                <w:szCs w:val="16"/>
                <w:lang w:val="es-PR"/>
              </w:rPr>
              <w:t>Subunidad beta de la p</w:t>
            </w:r>
            <w:r>
              <w:rPr>
                <w:rFonts w:ascii="Arial" w:hAnsi="Arial" w:cs="Arial"/>
                <w:color w:val="000000" w:themeColor="text1"/>
                <w:sz w:val="16"/>
                <w:szCs w:val="16"/>
                <w:lang w:val="es-PR"/>
              </w:rPr>
              <w:t>olimerasa de ARN</w:t>
            </w:r>
          </w:p>
          <w:p w14:paraId="2AC474D1" w14:textId="41137DCF" w:rsidR="006A5517" w:rsidRPr="006A5517" w:rsidRDefault="006A5517" w:rsidP="00EC06DE">
            <w:pPr>
              <w:jc w:val="center"/>
              <w:rPr>
                <w:rFonts w:ascii="Arial" w:hAnsi="Arial" w:cs="Arial"/>
                <w:color w:val="000000" w:themeColor="text1"/>
                <w:sz w:val="16"/>
                <w:szCs w:val="16"/>
                <w:lang w:val="es-PR"/>
              </w:rPr>
            </w:pPr>
            <w:r w:rsidRPr="006A5517">
              <w:rPr>
                <w:rFonts w:ascii="Arial" w:hAnsi="Arial" w:cs="Arial"/>
                <w:color w:val="000000" w:themeColor="text1"/>
                <w:sz w:val="16"/>
                <w:szCs w:val="16"/>
                <w:lang w:val="es-PR"/>
              </w:rPr>
              <w:t xml:space="preserve">Regulador transcripcional de </w:t>
            </w:r>
            <w:r>
              <w:rPr>
                <w:rFonts w:ascii="Arial" w:hAnsi="Arial" w:cs="Arial"/>
                <w:color w:val="000000" w:themeColor="text1"/>
                <w:sz w:val="16"/>
                <w:szCs w:val="16"/>
                <w:lang w:val="es-PR"/>
              </w:rPr>
              <w:t>r</w:t>
            </w:r>
            <w:r w:rsidRPr="006A5517">
              <w:rPr>
                <w:rFonts w:ascii="Arial" w:hAnsi="Arial" w:cs="Arial"/>
                <w:color w:val="000000" w:themeColor="text1"/>
                <w:sz w:val="16"/>
                <w:szCs w:val="16"/>
                <w:lang w:val="es-PR"/>
              </w:rPr>
              <w:t>esistencia a</w:t>
            </w:r>
            <w:r>
              <w:rPr>
                <w:rFonts w:ascii="Arial" w:hAnsi="Arial" w:cs="Arial"/>
                <w:color w:val="000000" w:themeColor="text1"/>
                <w:sz w:val="16"/>
                <w:szCs w:val="16"/>
                <w:lang w:val="es-PR"/>
              </w:rPr>
              <w:t xml:space="preserve"> antibióticos</w:t>
            </w:r>
          </w:p>
        </w:tc>
        <w:tc>
          <w:tcPr>
            <w:tcW w:w="1535" w:type="dxa"/>
            <w:vAlign w:val="center"/>
          </w:tcPr>
          <w:p w14:paraId="4DC23F94" w14:textId="77777777" w:rsidR="006A5517" w:rsidRPr="002E6F9F" w:rsidRDefault="006A5517" w:rsidP="00EC06DE">
            <w:pPr>
              <w:jc w:val="center"/>
              <w:rPr>
                <w:rFonts w:ascii="Arial" w:hAnsi="Arial" w:cs="Arial"/>
                <w:color w:val="000000"/>
                <w:sz w:val="16"/>
                <w:szCs w:val="16"/>
              </w:rPr>
            </w:pPr>
            <w:r w:rsidRPr="002E6F9F">
              <w:rPr>
                <w:rFonts w:ascii="Arial" w:hAnsi="Arial" w:cs="Arial"/>
                <w:color w:val="000000"/>
                <w:sz w:val="16"/>
                <w:szCs w:val="16"/>
              </w:rPr>
              <w:t>LAC</w:t>
            </w:r>
          </w:p>
          <w:p w14:paraId="300DFFD0" w14:textId="77777777" w:rsidR="006A5517" w:rsidRPr="002E6F9F" w:rsidRDefault="006A5517" w:rsidP="00EC06DE">
            <w:pPr>
              <w:jc w:val="center"/>
              <w:rPr>
                <w:rFonts w:ascii="Arial" w:hAnsi="Arial" w:cs="Arial"/>
                <w:color w:val="000000"/>
                <w:sz w:val="16"/>
                <w:szCs w:val="16"/>
              </w:rPr>
            </w:pPr>
          </w:p>
        </w:tc>
        <w:tc>
          <w:tcPr>
            <w:tcW w:w="1997" w:type="dxa"/>
            <w:vAlign w:val="center"/>
          </w:tcPr>
          <w:p w14:paraId="241B8962" w14:textId="77777777" w:rsidR="006A5517" w:rsidRPr="002E6F9F" w:rsidRDefault="006A5517" w:rsidP="00EC06DE">
            <w:pPr>
              <w:jc w:val="center"/>
              <w:rPr>
                <w:rFonts w:ascii="Arial" w:hAnsi="Arial" w:cs="Arial"/>
                <w:color w:val="000000"/>
                <w:sz w:val="16"/>
                <w:szCs w:val="16"/>
              </w:rPr>
            </w:pPr>
            <w:r w:rsidRPr="002E6F9F">
              <w:rPr>
                <w:rFonts w:ascii="Arial" w:hAnsi="Arial" w:cs="Arial"/>
                <w:sz w:val="16"/>
                <w:szCs w:val="16"/>
              </w:rPr>
              <w:t xml:space="preserve">ΦStaph1N, </w:t>
            </w:r>
            <w:r w:rsidRPr="002E6F9F">
              <w:rPr>
                <w:rFonts w:ascii="Arial" w:hAnsi="Arial" w:cs="Arial"/>
                <w:color w:val="000000"/>
                <w:sz w:val="16"/>
                <w:szCs w:val="16"/>
              </w:rPr>
              <w:t>Evo2</w:t>
            </w:r>
          </w:p>
        </w:tc>
        <w:tc>
          <w:tcPr>
            <w:tcW w:w="1215" w:type="dxa"/>
            <w:noWrap/>
            <w:vAlign w:val="center"/>
            <w:hideMark/>
          </w:tcPr>
          <w:p w14:paraId="4F723EA1" w14:textId="77777777" w:rsidR="006A5517" w:rsidRPr="00D44FBE" w:rsidRDefault="006A5517" w:rsidP="00EC06DE">
            <w:pPr>
              <w:jc w:val="center"/>
              <w:rPr>
                <w:rFonts w:ascii="Arial" w:hAnsi="Arial" w:cs="Arial"/>
                <w:color w:val="000000"/>
                <w:sz w:val="16"/>
                <w:szCs w:val="16"/>
                <w:lang w:val="es-PR"/>
              </w:rPr>
            </w:pPr>
            <w:r w:rsidRPr="00776A34">
              <w:rPr>
                <w:rFonts w:ascii="Arial" w:hAnsi="Arial" w:cs="Arial"/>
                <w:color w:val="000000"/>
                <w:sz w:val="16"/>
                <w:szCs w:val="16"/>
              </w:rPr>
              <w:fldChar w:fldCharType="begin"/>
            </w:r>
            <w:r>
              <w:rPr>
                <w:rFonts w:ascii="Arial" w:hAnsi="Arial" w:cs="Arial"/>
                <w:color w:val="000000"/>
                <w:sz w:val="16"/>
                <w:szCs w:val="16"/>
              </w:rPr>
              <w:instrText xml:space="preserve"> ADDIN ZOTERO_ITEM CSL_CITATION {"citationID":"75njASAi","properties":{"formattedCitation":"\\super 35\\nosupersub{}","plainCitation":"35","noteIndex":0},"citationItems":[{"id":3206,"uris":["http://zotero.org/users/9750378/items/QNIQXQAE"],"itemData":{"id":3206,"type":"article-journal","abstract":"Most clinical MRSA (methicillin-resistant S. aureus) isolates exhibit low-level β-lactam resistance (oxacillin MIC 2–4 μg/ml) due to the acquisition of a novel penicillin binding protein (PBP2A), encoded by mecA. However, strains can evolve high-level resistance (oxacillin MIC �256 μg/ml) by an unknown mechanism. Here we have developed a robust system to explore the basis of the evolution of high-level resistance by inserting mecA into the chromosome of the methicillin-sensitive S. aureus SH1000. Low-level mecA-dependent oxacillin resistance was associated with increased expression of anaerobic respiratory and fermentative genes. High-level resistant derivatives had acquired mutations in either rpoB (RNA polymerase subunit β) or rpoC (RNA polymerase subunit β’) and these mutations were shown to be responsible for the observed resistance phenotype. Analysis of rpoB and rpoC mutants revealed decreased growth rates in the absence of antibiotic, and alterations to, transcription elongation. The rpoB and rpoC mutations resulted in decreased expression to parental levels, of anaerobic respiratory and fermentative genes and specific upregulation of 11 genes including mecA. There was however no direct correlation between resistance and the amount of PBP2A. A mutational analysis of the differentially expressed genes revealed that a member of the S. aureus Type VII secretion system is required for high level resistance. Interestingly, the genomes of two of the high level resistant</w:instrText>
            </w:r>
            <w:r w:rsidRPr="00D44FBE">
              <w:rPr>
                <w:rFonts w:ascii="Arial" w:hAnsi="Arial" w:cs="Arial"/>
                <w:color w:val="000000"/>
                <w:sz w:val="16"/>
                <w:szCs w:val="16"/>
                <w:lang w:val="es-PR"/>
              </w:rPr>
              <w:instrText xml:space="preserve"> evolved strains also contained missense mutations in this same locus. Finally, the set of genetically matched strains revealed that high level antibiotic resistance does not incur a significant fitness cost during pathogenesis. Our analysis demonstrates the complex interplay between antibiotic resistance mechanisms and core cell physiology, providing new insight into how such important resistance properties evolve.","container-title":"PLOS Pathogens","DOI":"10.1371/journal.ppat.1008672","ISSN":"1553-7374","issue":"7","journalAbbreviation":"PLoS Pathog","language":"en","page":"e1008672","source":"DOI.org (Crossref)","title":"Evolving MRSA: High-level </w:instrText>
            </w:r>
            <w:r>
              <w:rPr>
                <w:rFonts w:ascii="Arial" w:hAnsi="Arial" w:cs="Arial"/>
                <w:color w:val="000000"/>
                <w:sz w:val="16"/>
                <w:szCs w:val="16"/>
              </w:rPr>
              <w:instrText>β</w:instrText>
            </w:r>
            <w:r w:rsidRPr="00D44FBE">
              <w:rPr>
                <w:rFonts w:ascii="Arial" w:hAnsi="Arial" w:cs="Arial"/>
                <w:color w:val="000000"/>
                <w:sz w:val="16"/>
                <w:szCs w:val="16"/>
                <w:lang w:val="es-PR"/>
              </w:rPr>
              <w:instrText xml:space="preserve">-lactam resistance in Staphylococcus aureus is associated with RNA Polymerase alterations and fine tuning of gene expression","title-short":"Evolving MRSA","volume":"16","author":[{"family":"Panchal","given":"Viralkumar V."},{"family":"Griffiths","given":"Caitlin"},{"family":"Mosaei","given":"Hamed"},{"family":"Bilyk","given":"Bohdan"},{"family":"Sutton","given":"Joshua A. F."},{"family":"Carnell","given":"Oliver T."},{"family":"Hornby","given":"David P."},{"family":"Green","given":"Jeffrey"},{"family":"Hobbs","given":"Jamie K."},{"family":"Kelley","given":"William L."},{"family":"Zenkin","given":"Nikolay"},{"family":"Foster","given":"Simon J."}],"editor":[{"family":"Peschel","given":"Andreas"}],"issued":{"date-parts":[["2020",7,24]]}}}],"schema":"https://github.com/citation-style-language/schema/raw/master/csl-citation.json"} </w:instrText>
            </w:r>
            <w:r w:rsidRPr="00776A34">
              <w:rPr>
                <w:rFonts w:ascii="Arial" w:hAnsi="Arial" w:cs="Arial"/>
                <w:color w:val="000000"/>
                <w:sz w:val="16"/>
                <w:szCs w:val="16"/>
              </w:rPr>
              <w:fldChar w:fldCharType="separate"/>
            </w:r>
            <w:r w:rsidRPr="00D44FBE">
              <w:rPr>
                <w:rFonts w:ascii="Arial" w:hAnsi="Arial" w:cs="Arial"/>
                <w:color w:val="000000"/>
                <w:sz w:val="16"/>
                <w:vertAlign w:val="superscript"/>
                <w:lang w:val="es-PR"/>
              </w:rPr>
              <w:t>35</w:t>
            </w:r>
            <w:r w:rsidRPr="00776A34">
              <w:rPr>
                <w:rFonts w:ascii="Arial" w:hAnsi="Arial" w:cs="Arial"/>
                <w:color w:val="000000"/>
                <w:sz w:val="16"/>
                <w:szCs w:val="16"/>
              </w:rPr>
              <w:fldChar w:fldCharType="end"/>
            </w:r>
          </w:p>
        </w:tc>
      </w:tr>
      <w:tr w:rsidR="006A5517" w:rsidRPr="00D44FBE" w14:paraId="16EE5DBC" w14:textId="77777777" w:rsidTr="00EC06DE">
        <w:trPr>
          <w:trHeight w:val="285"/>
        </w:trPr>
        <w:tc>
          <w:tcPr>
            <w:tcW w:w="760" w:type="dxa"/>
            <w:noWrap/>
            <w:vAlign w:val="center"/>
            <w:hideMark/>
          </w:tcPr>
          <w:p w14:paraId="71C349AA" w14:textId="77777777" w:rsidR="006A5517" w:rsidRPr="00D44FBE" w:rsidRDefault="006A5517" w:rsidP="00EC06DE">
            <w:pPr>
              <w:jc w:val="center"/>
              <w:rPr>
                <w:rFonts w:ascii="Arial" w:hAnsi="Arial" w:cs="Arial"/>
                <w:i/>
                <w:iCs/>
                <w:color w:val="000000"/>
                <w:sz w:val="16"/>
                <w:szCs w:val="16"/>
                <w:lang w:val="es-PR"/>
              </w:rPr>
            </w:pPr>
            <w:r w:rsidRPr="00D44FBE">
              <w:rPr>
                <w:rFonts w:ascii="Arial" w:hAnsi="Arial" w:cs="Arial"/>
                <w:i/>
                <w:iCs/>
                <w:color w:val="000000"/>
                <w:sz w:val="16"/>
                <w:szCs w:val="16"/>
                <w:lang w:val="es-PR"/>
              </w:rPr>
              <w:t>arlR</w:t>
            </w:r>
          </w:p>
        </w:tc>
        <w:tc>
          <w:tcPr>
            <w:tcW w:w="3844" w:type="dxa"/>
            <w:noWrap/>
            <w:vAlign w:val="center"/>
            <w:hideMark/>
          </w:tcPr>
          <w:p w14:paraId="6BEDF12C" w14:textId="38CBBA8B" w:rsidR="006A5517" w:rsidRPr="006A5517" w:rsidRDefault="006A5517" w:rsidP="00EC06DE">
            <w:pPr>
              <w:jc w:val="center"/>
              <w:rPr>
                <w:rFonts w:ascii="Arial" w:hAnsi="Arial" w:cs="Arial"/>
                <w:color w:val="000000" w:themeColor="text1"/>
                <w:sz w:val="16"/>
                <w:szCs w:val="16"/>
                <w:lang w:val="es-PR"/>
              </w:rPr>
            </w:pPr>
            <w:r w:rsidRPr="006A5517">
              <w:rPr>
                <w:rFonts w:ascii="Arial" w:hAnsi="Arial" w:cs="Arial"/>
                <w:color w:val="000000" w:themeColor="text1"/>
                <w:sz w:val="16"/>
                <w:szCs w:val="16"/>
                <w:lang w:val="es-PR"/>
              </w:rPr>
              <w:t xml:space="preserve">Regulador transcripcional de </w:t>
            </w:r>
            <w:r>
              <w:rPr>
                <w:rFonts w:ascii="Arial" w:hAnsi="Arial" w:cs="Arial"/>
                <w:color w:val="000000" w:themeColor="text1"/>
                <w:sz w:val="16"/>
                <w:szCs w:val="16"/>
                <w:lang w:val="es-PR"/>
              </w:rPr>
              <w:t>r</w:t>
            </w:r>
            <w:r w:rsidRPr="006A5517">
              <w:rPr>
                <w:rFonts w:ascii="Arial" w:hAnsi="Arial" w:cs="Arial"/>
                <w:color w:val="000000" w:themeColor="text1"/>
                <w:sz w:val="16"/>
                <w:szCs w:val="16"/>
                <w:lang w:val="es-PR"/>
              </w:rPr>
              <w:t>esistencia a antibióticos y virulencia</w:t>
            </w:r>
          </w:p>
        </w:tc>
        <w:tc>
          <w:tcPr>
            <w:tcW w:w="1535" w:type="dxa"/>
            <w:vAlign w:val="center"/>
          </w:tcPr>
          <w:p w14:paraId="224A0CE9" w14:textId="77777777" w:rsidR="006A5517" w:rsidRPr="00D44FBE" w:rsidRDefault="006A5517" w:rsidP="00EC06DE">
            <w:pPr>
              <w:jc w:val="center"/>
              <w:rPr>
                <w:rFonts w:ascii="Arial" w:hAnsi="Arial" w:cs="Arial"/>
                <w:color w:val="000000"/>
                <w:sz w:val="16"/>
                <w:szCs w:val="16"/>
                <w:lang w:val="es-PR"/>
              </w:rPr>
            </w:pPr>
            <w:r w:rsidRPr="00D44FBE">
              <w:rPr>
                <w:rFonts w:ascii="Arial" w:hAnsi="Arial" w:cs="Arial"/>
                <w:color w:val="000000"/>
                <w:sz w:val="16"/>
                <w:szCs w:val="16"/>
                <w:lang w:val="es-PR"/>
              </w:rPr>
              <w:t>LAC</w:t>
            </w:r>
          </w:p>
        </w:tc>
        <w:tc>
          <w:tcPr>
            <w:tcW w:w="1997" w:type="dxa"/>
            <w:vAlign w:val="center"/>
          </w:tcPr>
          <w:p w14:paraId="0DDE1E17" w14:textId="77777777" w:rsidR="006A5517" w:rsidRPr="00D44FBE" w:rsidRDefault="006A5517" w:rsidP="00EC06DE">
            <w:pPr>
              <w:jc w:val="center"/>
              <w:rPr>
                <w:rFonts w:ascii="Arial" w:hAnsi="Arial" w:cs="Arial"/>
                <w:color w:val="000000"/>
                <w:sz w:val="16"/>
                <w:szCs w:val="16"/>
                <w:lang w:val="es-PR"/>
              </w:rPr>
            </w:pPr>
            <w:r w:rsidRPr="002E6F9F">
              <w:rPr>
                <w:rFonts w:ascii="Arial" w:hAnsi="Arial" w:cs="Arial"/>
                <w:sz w:val="16"/>
                <w:szCs w:val="16"/>
              </w:rPr>
              <w:t>Φ</w:t>
            </w:r>
            <w:r w:rsidRPr="00D44FBE">
              <w:rPr>
                <w:rFonts w:ascii="Arial" w:hAnsi="Arial" w:cs="Arial"/>
                <w:sz w:val="16"/>
                <w:szCs w:val="16"/>
                <w:lang w:val="es-PR"/>
              </w:rPr>
              <w:t xml:space="preserve">Staph1N, </w:t>
            </w:r>
            <w:r w:rsidRPr="00D44FBE">
              <w:rPr>
                <w:rFonts w:ascii="Arial" w:hAnsi="Arial" w:cs="Arial"/>
                <w:color w:val="000000"/>
                <w:sz w:val="16"/>
                <w:szCs w:val="16"/>
                <w:lang w:val="es-PR"/>
              </w:rPr>
              <w:t>Evo2</w:t>
            </w:r>
          </w:p>
        </w:tc>
        <w:tc>
          <w:tcPr>
            <w:tcW w:w="1215" w:type="dxa"/>
            <w:noWrap/>
            <w:vAlign w:val="center"/>
            <w:hideMark/>
          </w:tcPr>
          <w:p w14:paraId="1D350ADC" w14:textId="77777777" w:rsidR="006A5517" w:rsidRPr="00D44FBE" w:rsidRDefault="006A5517" w:rsidP="00EC06DE">
            <w:pPr>
              <w:jc w:val="center"/>
              <w:rPr>
                <w:rFonts w:ascii="Arial" w:hAnsi="Arial" w:cs="Arial"/>
                <w:color w:val="000000"/>
                <w:sz w:val="16"/>
                <w:szCs w:val="16"/>
                <w:lang w:val="es-PR"/>
              </w:rPr>
            </w:pPr>
            <w:r>
              <w:rPr>
                <w:rFonts w:ascii="Arial" w:hAnsi="Arial" w:cs="Arial"/>
                <w:color w:val="000000"/>
                <w:sz w:val="16"/>
                <w:szCs w:val="16"/>
              </w:rPr>
              <w:fldChar w:fldCharType="begin"/>
            </w:r>
            <w:r w:rsidRPr="00D44FBE">
              <w:rPr>
                <w:rFonts w:ascii="Arial" w:hAnsi="Arial" w:cs="Arial"/>
                <w:color w:val="000000"/>
                <w:sz w:val="16"/>
                <w:szCs w:val="16"/>
                <w:lang w:val="es-PR"/>
              </w:rPr>
              <w:instrText xml:space="preserve"> ADDIN ZOTERO_ITEM CSL_CITATION {"citationID":"XmeY9SM4","properties":{"formattedCitation":"\\super 34,36,37\\nosupersub{}","plainCitation":"34,36,37","noteIndex":0},"citationItems":[{"id":3224,"uris":["http://zotero.org/users/9750378/items/ZMZC4MED"],"itemData":{"id":3224,"type":"article-journal","abstract":"Skin is one of the most common sites of host immune response against Staphylococcus aureus infection. Here, through a combination of in vitro assays, mouse models, and intravital imaging, we </w:instrText>
            </w:r>
            <w:r>
              <w:rPr>
                <w:rFonts w:ascii="Arial" w:hAnsi="Arial" w:cs="Arial"/>
                <w:color w:val="000000"/>
                <w:sz w:val="16"/>
                <w:szCs w:val="16"/>
              </w:rPr>
              <w:instrText>ﬁ</w:instrText>
            </w:r>
            <w:r w:rsidRPr="00D44FBE">
              <w:rPr>
                <w:rFonts w:ascii="Arial" w:hAnsi="Arial" w:cs="Arial"/>
                <w:color w:val="000000"/>
                <w:sz w:val="16"/>
                <w:szCs w:val="16"/>
                <w:lang w:val="es-PR"/>
              </w:rPr>
              <w:instrText>nd that S. aureus immune evasion in skin is controlled by a cascade composed of the ArlRS two-component regulatory system and its downstream effector, MgrA. S. aureus lacking either ArlRS or MgrA is less virulent and unable to form correct abscess structure due to de-repression of a giant surface protein, Ebh. These S. aureus mutants also have decreased expression of immune evasion factors (leukocidins, chemotaxisinhibitory protein of S. aureus [CHIPS], staphylococcal complement inhibitor [SCIN], and nuclease) and are unable to kill neutrophils, block their chemotaxis, degrade neutrophil extracellular traps, and survive direct neutrophil attack. The combination of disrupted abscess structure and reduced immune evasion factors makes S. aureus susceptible to host defenses. ArlRS and MgrA are therefore the main regulators of S. aureus immune evasion and promising treatment targets.","cont</w:instrText>
            </w:r>
            <w:r>
              <w:rPr>
                <w:rFonts w:ascii="Arial" w:hAnsi="Arial" w:cs="Arial"/>
                <w:color w:val="000000"/>
                <w:sz w:val="16"/>
                <w:szCs w:val="16"/>
              </w:rPr>
              <w:instrText>ainer-title":"Cell Reports","DOI":"10.1016/j.celrep.2021.109462","ISSN":"22111247","issue":"4","journalAbbreviation":"Cell Reports","language":"en","page":"109462","source":"DOI.org (Crossref)","title":"Staphylococcus aureus uses the ArlRS and MgrA cascade to regulate immune evasion during skin infection","volume":"36","author":[{"family":"Kwiecinski","given":"Jakub M."},{"family":"Kratofil","given":"Rachel M."},{"family":"Parlet","given":"Corey P."},{"family":"Surewaard","given":"Bas G.J."},{"family":"Kubes","given":"Paul"},{"family":"Horswill","given":"Alexander R."}],"issued":{"date-parts":[["2021",7]]}}},{"id":3297,"uris":["http://zotero.org/users/9750378/items/RQT9C389"],"itemData":{"id":3297,"type":"article-journal","abstract":"Methicillin-resistant Staphylococcus aureus (MRSA), also known as oxacillin-resistant S. aureus, is a leading cause of community and hospital associated infections globally. In this work, we found that deletion of the arlRS twocomponent system genes in the USA300 and USA500 strains resulted in increased susceptibilities to oxacillin (8–16-fold decrease in minimal inhibitory concentrations). In USA300ΔarlRS, transcriptional levels of mecA or blaZ showed no obvious change, while mRNA levels of spx showed a 4-fold decrease at 4 h and a 6.3-fold decrease at 10 h. Overexpression of spx in ΔarlRS restored oxacillin resistance to a similar level in USA300. In addition, gel shift assay showed that the recombinant ArlR bound to spx promoter region. Furthermore, silencing of spx led to a signiﬁcant increase of oxacillin susceptibility in multiple MRSA isolates. Our results indicate that ArlRS plays a strong role in regulating oxacillin resistance in MRSA strains, which involves direct modulation of spx expression. Moreover, oritavancin showed inhibition to ATPase activity of the recombinant histidine kinase ArlS (IC50 = 5.47 μM). Oritavancin had synergy e</w:instrText>
            </w:r>
            <w:r>
              <w:rPr>
                <w:rFonts w:ascii="Cambria Math" w:hAnsi="Cambria Math" w:cs="Cambria Math"/>
                <w:color w:val="000000"/>
                <w:sz w:val="16"/>
                <w:szCs w:val="16"/>
              </w:rPr>
              <w:instrText>ﬀ</w:instrText>
            </w:r>
            <w:r>
              <w:rPr>
                <w:rFonts w:ascii="Arial" w:hAnsi="Arial" w:cs="Arial"/>
                <w:color w:val="000000"/>
                <w:sz w:val="16"/>
                <w:szCs w:val="16"/>
              </w:rPr>
              <w:instrText>ect on oxacillin activity against the MRSA strains in both planktonic and bioﬁlm state. Our data suggest that ArlRS is an attractive target for breaking antimicrobial resistance of MRSA.","container-title":"Emerging Microbes &amp; Infections","DOI":"10.1080/22221751.2019.1595984","ISSN":"2222-1751","issue":"1","journalAbbreviation":"Emerging Microbes &amp; Infections","language":"en","page":"503-515","source":"DOI.org (Crossref)","title":"The role of ArlRS in regulating oxacillin susceptibility in methicillin-resistant &lt;i&gt;Staphylococcus aureus&lt;/i&gt; indicates it is a potential target for antimicrobial resistance breakers","volume":"8","author":[{"family":"Bai","given":"Jinna"},{"family":"Zhu","given":"Xiaoyi"},{"family":"Zhao","given":"Keqing"},{"family":"Yan","given":"Yingjie"},{"family":"Xu","given":"Tao"},{"family":"Wang","given":"Jiaxue"},{"family":"Zheng","given":"Jinxing"},{"family":"Huang","given":"Wei"},{"family":"Shi","given":"Le"},{"family":"Shang","given":"Yongpeng"},{"family":"Lv","given":"Zhihui"},{"family":"Wang","given":"Xiaofei"},{"family":"Wu","given":"Yang"},{"family":"Qu","given":"Di"}],"issued":{"date-parts":[["2019",1]]}}},{"id":3298,"uris":["http://zotero.org/users/9750378/items/YPCQGV3C"],"itemData":{"id":3298,"type":"article-journal","abstract":"Staphylococcus aureus is a prominent bacterial pathogen that is known to agglutinate in the presence of human plasma to form stable clumps. There is increasing evidence that agglutination aids S. aureus pathogenesis, but the mechanisms of this process remain to be fully elucidated. To better define this process, we developed both tube based and flow cytometry methods to monitor clumping in the presence of extracellular matrix proteins. We discovered that the ArlRS twocomponent system regulates the agglutination mechanism during exposure to human plasma or fibrinogen. Using divergent S. aureus strains, we demonstrated that arlRS mutants are unable to agglutinate, and this phenotype can be complemented. We found that the ebh gene, encoding the Giant Staphylococcal Surface Protein (GSSP), was up-regulated in an arlRS mutant. By introducing an ebh complete deletion into an arlRS mutant, agglutination was restored. To assess whether GSSP is the primary effector, a constitutive promoter was inserted upstream of the ebh gene on the chromosome in a wildtype strain, which pre</w:instrText>
            </w:r>
            <w:r w:rsidRPr="00D44FBE">
              <w:rPr>
                <w:rFonts w:ascii="Arial" w:hAnsi="Arial" w:cs="Arial"/>
                <w:color w:val="000000"/>
                <w:sz w:val="16"/>
                <w:szCs w:val="16"/>
                <w:lang w:val="es-PR"/>
              </w:rPr>
              <w:instrText xml:space="preserve">vented clump formation and demonstrated that GSSP has a negative impact on the agglutination mechanism. Due to the parallels of agglutination with infective endocarditis development, we assessed the phenotype of an arlRS mutant in a rabbit combined model of sepsis and endocarditis. In this model the arlRS mutant displayed a large defect in vegetation formation and pathogenesis, and this phenotype was partially restored by removing GSSP. Altogether, we have discovered that the ArlRS system controls a novel mechanism through which S. aureus regulates agglutination and pathogenesis.","container-title":"PLoS Pathogens","DOI":"10.1371/journal.ppat.1003819","ISSN":"1553-7374","issue":"12","journalAbbreviation":"PLoS Pathog","language":"en","page":"e1003819","source":"DOI.org (Crossref)","title":"The Staphylococcus aureus ArlRS Two-Component System Is a Novel Regulator of Agglutination and Pathogenesis","volume":"9","author":[{"family":"Walker","given":"Jennifer N."},{"family":"Crosby","given":"Heidi A."},{"family":"Spaulding","given":"Adam R."},{"family":"Salgado-Pabón","given":"Wilmara"},{"family":"Malone","given":"Cheryl L."},{"family":"Rosenthal","given":"Carolyn B."},{"family":"Schlievert","given":"Patrick M."},{"family":"Boyd","given":"Jeffrey M."},{"family":"Horswill","given":"Alexander R."}],"editor":[{"family":"Peschel","given":"Andreas"}],"issued":{"date-parts":[["2013",12,19]]}}}],"schema":"https://github.com/citation-style-language/schema/raw/master/csl-citation.json"} </w:instrText>
            </w:r>
            <w:r>
              <w:rPr>
                <w:rFonts w:ascii="Arial" w:hAnsi="Arial" w:cs="Arial"/>
                <w:color w:val="000000"/>
                <w:sz w:val="16"/>
                <w:szCs w:val="16"/>
              </w:rPr>
              <w:fldChar w:fldCharType="separate"/>
            </w:r>
            <w:r w:rsidRPr="00D44FBE">
              <w:rPr>
                <w:rFonts w:ascii="Arial" w:hAnsi="Arial" w:cs="Arial"/>
                <w:color w:val="000000"/>
                <w:sz w:val="16"/>
                <w:vertAlign w:val="superscript"/>
                <w:lang w:val="es-PR"/>
              </w:rPr>
              <w:t>34,36,37</w:t>
            </w:r>
            <w:r>
              <w:rPr>
                <w:rFonts w:ascii="Arial" w:hAnsi="Arial" w:cs="Arial"/>
                <w:color w:val="000000"/>
                <w:sz w:val="16"/>
                <w:szCs w:val="16"/>
              </w:rPr>
              <w:fldChar w:fldCharType="end"/>
            </w:r>
          </w:p>
        </w:tc>
      </w:tr>
      <w:tr w:rsidR="006A5517" w:rsidRPr="00D44FBE" w14:paraId="4050E26A" w14:textId="77777777" w:rsidTr="00EC06DE">
        <w:trPr>
          <w:trHeight w:val="285"/>
        </w:trPr>
        <w:tc>
          <w:tcPr>
            <w:tcW w:w="760" w:type="dxa"/>
            <w:noWrap/>
            <w:vAlign w:val="center"/>
            <w:hideMark/>
          </w:tcPr>
          <w:p w14:paraId="518EB788" w14:textId="77777777" w:rsidR="006A5517" w:rsidRPr="00D44FBE" w:rsidRDefault="006A5517" w:rsidP="00EC06DE">
            <w:pPr>
              <w:jc w:val="center"/>
              <w:rPr>
                <w:rFonts w:ascii="Arial" w:hAnsi="Arial" w:cs="Arial"/>
                <w:i/>
                <w:iCs/>
                <w:color w:val="000000"/>
                <w:sz w:val="16"/>
                <w:szCs w:val="16"/>
                <w:lang w:val="es-PR"/>
              </w:rPr>
            </w:pPr>
            <w:r w:rsidRPr="00D44FBE">
              <w:rPr>
                <w:rFonts w:ascii="Arial" w:hAnsi="Arial" w:cs="Arial"/>
                <w:i/>
                <w:iCs/>
                <w:color w:val="000000"/>
                <w:sz w:val="16"/>
                <w:szCs w:val="16"/>
                <w:lang w:val="es-PR"/>
              </w:rPr>
              <w:t>spoVG</w:t>
            </w:r>
          </w:p>
        </w:tc>
        <w:tc>
          <w:tcPr>
            <w:tcW w:w="3844" w:type="dxa"/>
            <w:noWrap/>
            <w:vAlign w:val="center"/>
            <w:hideMark/>
          </w:tcPr>
          <w:p w14:paraId="6B23CC1F" w14:textId="3A1DEFAF" w:rsidR="006A5517" w:rsidRPr="006A5517" w:rsidRDefault="006A5517" w:rsidP="00EC06DE">
            <w:pPr>
              <w:jc w:val="center"/>
              <w:rPr>
                <w:rFonts w:ascii="Arial" w:hAnsi="Arial" w:cs="Arial"/>
                <w:color w:val="000000" w:themeColor="text1"/>
                <w:sz w:val="16"/>
                <w:szCs w:val="16"/>
                <w:lang w:val="es-PR"/>
              </w:rPr>
            </w:pPr>
            <w:r w:rsidRPr="006A5517">
              <w:rPr>
                <w:rFonts w:ascii="Arial" w:hAnsi="Arial" w:cs="Arial"/>
                <w:color w:val="000000" w:themeColor="text1"/>
                <w:sz w:val="16"/>
                <w:szCs w:val="16"/>
                <w:lang w:val="es-PR"/>
              </w:rPr>
              <w:t xml:space="preserve">Regulador transcripcional de </w:t>
            </w:r>
            <w:r>
              <w:rPr>
                <w:rFonts w:ascii="Arial" w:hAnsi="Arial" w:cs="Arial"/>
                <w:color w:val="000000" w:themeColor="text1"/>
                <w:sz w:val="16"/>
                <w:szCs w:val="16"/>
                <w:lang w:val="es-PR"/>
              </w:rPr>
              <w:t>r</w:t>
            </w:r>
            <w:r w:rsidRPr="006A5517">
              <w:rPr>
                <w:rFonts w:ascii="Arial" w:hAnsi="Arial" w:cs="Arial"/>
                <w:color w:val="000000" w:themeColor="text1"/>
                <w:sz w:val="16"/>
                <w:szCs w:val="16"/>
                <w:lang w:val="es-PR"/>
              </w:rPr>
              <w:t>esistencia a antibióticos y virulencia</w:t>
            </w:r>
          </w:p>
        </w:tc>
        <w:tc>
          <w:tcPr>
            <w:tcW w:w="1535" w:type="dxa"/>
            <w:vAlign w:val="center"/>
          </w:tcPr>
          <w:p w14:paraId="575ABACB" w14:textId="77777777" w:rsidR="006A5517" w:rsidRPr="00D44FBE" w:rsidRDefault="006A5517" w:rsidP="00EC06DE">
            <w:pPr>
              <w:jc w:val="center"/>
              <w:rPr>
                <w:rFonts w:ascii="Arial" w:hAnsi="Arial" w:cs="Arial"/>
                <w:color w:val="000000"/>
                <w:sz w:val="16"/>
                <w:szCs w:val="16"/>
                <w:lang w:val="es-PR"/>
              </w:rPr>
            </w:pPr>
            <w:r w:rsidRPr="00D44FBE">
              <w:rPr>
                <w:rFonts w:ascii="Arial" w:hAnsi="Arial" w:cs="Arial"/>
                <w:color w:val="000000"/>
                <w:sz w:val="16"/>
                <w:szCs w:val="16"/>
                <w:lang w:val="es-PR"/>
              </w:rPr>
              <w:t>LAC</w:t>
            </w:r>
          </w:p>
          <w:p w14:paraId="4EBCEF90" w14:textId="77777777" w:rsidR="006A5517" w:rsidRPr="00D44FBE" w:rsidRDefault="006A5517" w:rsidP="00EC06DE">
            <w:pPr>
              <w:jc w:val="center"/>
              <w:rPr>
                <w:rFonts w:ascii="Arial" w:hAnsi="Arial" w:cs="Arial"/>
                <w:color w:val="000000"/>
                <w:sz w:val="16"/>
                <w:szCs w:val="16"/>
                <w:lang w:val="es-PR"/>
              </w:rPr>
            </w:pPr>
          </w:p>
        </w:tc>
        <w:tc>
          <w:tcPr>
            <w:tcW w:w="1997" w:type="dxa"/>
            <w:vAlign w:val="center"/>
          </w:tcPr>
          <w:p w14:paraId="413F3DC8" w14:textId="77777777" w:rsidR="006A5517" w:rsidRPr="00D44FBE" w:rsidRDefault="006A5517" w:rsidP="00EC06DE">
            <w:pPr>
              <w:jc w:val="center"/>
              <w:rPr>
                <w:rFonts w:ascii="Arial" w:hAnsi="Arial" w:cs="Arial"/>
                <w:color w:val="000000"/>
                <w:sz w:val="16"/>
                <w:szCs w:val="16"/>
                <w:lang w:val="es-PR"/>
              </w:rPr>
            </w:pPr>
            <w:r w:rsidRPr="002E6F9F">
              <w:rPr>
                <w:rFonts w:ascii="Arial" w:hAnsi="Arial" w:cs="Arial"/>
                <w:sz w:val="16"/>
                <w:szCs w:val="16"/>
              </w:rPr>
              <w:t>Φ</w:t>
            </w:r>
            <w:r w:rsidRPr="00D44FBE">
              <w:rPr>
                <w:rFonts w:ascii="Arial" w:hAnsi="Arial" w:cs="Arial"/>
                <w:sz w:val="16"/>
                <w:szCs w:val="16"/>
                <w:lang w:val="es-PR"/>
              </w:rPr>
              <w:t xml:space="preserve">Staph1N, </w:t>
            </w:r>
            <w:r w:rsidRPr="00D44FBE">
              <w:rPr>
                <w:rFonts w:ascii="Arial" w:hAnsi="Arial" w:cs="Arial"/>
                <w:color w:val="000000"/>
                <w:sz w:val="16"/>
                <w:szCs w:val="16"/>
                <w:lang w:val="es-PR"/>
              </w:rPr>
              <w:t>Evo2</w:t>
            </w:r>
          </w:p>
        </w:tc>
        <w:tc>
          <w:tcPr>
            <w:tcW w:w="1215" w:type="dxa"/>
            <w:noWrap/>
            <w:vAlign w:val="center"/>
            <w:hideMark/>
          </w:tcPr>
          <w:p w14:paraId="3231ECA9" w14:textId="77777777" w:rsidR="006A5517" w:rsidRPr="00D44FBE" w:rsidRDefault="006A5517" w:rsidP="00EC06DE">
            <w:pPr>
              <w:jc w:val="center"/>
              <w:rPr>
                <w:rFonts w:ascii="Arial" w:hAnsi="Arial" w:cs="Arial"/>
                <w:color w:val="000000"/>
                <w:sz w:val="16"/>
                <w:szCs w:val="16"/>
                <w:lang w:val="es-PR"/>
              </w:rPr>
            </w:pPr>
            <w:r>
              <w:rPr>
                <w:rFonts w:ascii="Arial" w:hAnsi="Arial" w:cs="Arial"/>
                <w:color w:val="000000"/>
                <w:sz w:val="16"/>
                <w:szCs w:val="16"/>
              </w:rPr>
              <w:fldChar w:fldCharType="begin"/>
            </w:r>
            <w:r w:rsidRPr="00D44FBE">
              <w:rPr>
                <w:rFonts w:ascii="Arial" w:hAnsi="Arial" w:cs="Arial"/>
                <w:color w:val="000000"/>
                <w:sz w:val="16"/>
                <w:szCs w:val="16"/>
                <w:lang w:val="es-PR"/>
              </w:rPr>
              <w:instrText xml:space="preserve"> ADDIN ZOTERO_ITEM CSL_CITATION {"citationID":"GjxGTcKi","properties":{"formattedCitation":"\\super 38,39\\nosupersub{}","plainCitation":"38,39","noteIndex":0},"citationItems":[{"id":3271,"uris":["http://zotero.org/users/9750378/items/LQRUB4UR"],"itemData":{"id":3271,"type":"article-journal","abstract":"ABSTRACT\n            \n              The alternative sigma factor </w:instrText>
            </w:r>
            <w:r>
              <w:rPr>
                <w:rFonts w:ascii="Arial" w:hAnsi="Arial" w:cs="Arial"/>
                <w:color w:val="000000"/>
                <w:sz w:val="16"/>
                <w:szCs w:val="16"/>
              </w:rPr>
              <w:instrText>σ</w:instrText>
            </w:r>
            <w:r w:rsidRPr="00D44FBE">
              <w:rPr>
                <w:rFonts w:ascii="Arial" w:hAnsi="Arial" w:cs="Arial"/>
                <w:color w:val="000000"/>
                <w:sz w:val="16"/>
                <w:szCs w:val="16"/>
                <w:lang w:val="es-PR"/>
              </w:rPr>
              <w:instrText xml:space="preserve">\n              B\n              of\n              Staphylococcus aureus\n              is involved in the coordination of the general stress response, expression of virulence determinants, and modulation of antibiotic resistance levels. It controls a large regulon, either directly by recognizing conserved </w:instrText>
            </w:r>
            <w:r>
              <w:rPr>
                <w:rFonts w:ascii="Arial" w:hAnsi="Arial" w:cs="Arial"/>
                <w:color w:val="000000"/>
                <w:sz w:val="16"/>
                <w:szCs w:val="16"/>
              </w:rPr>
              <w:instrText>σ</w:instrText>
            </w:r>
            <w:r w:rsidRPr="00D44FBE">
              <w:rPr>
                <w:rFonts w:ascii="Arial" w:hAnsi="Arial" w:cs="Arial"/>
                <w:color w:val="000000"/>
                <w:sz w:val="16"/>
                <w:szCs w:val="16"/>
                <w:lang w:val="es-PR"/>
              </w:rPr>
              <w:instrText xml:space="preserve">\n              B\n              promoter sequences or indirectly via </w:instrText>
            </w:r>
            <w:r>
              <w:rPr>
                <w:rFonts w:ascii="Arial" w:hAnsi="Arial" w:cs="Arial"/>
                <w:color w:val="000000"/>
                <w:sz w:val="16"/>
                <w:szCs w:val="16"/>
              </w:rPr>
              <w:instrText>σ</w:instrText>
            </w:r>
            <w:r w:rsidRPr="00D44FBE">
              <w:rPr>
                <w:rFonts w:ascii="Arial" w:hAnsi="Arial" w:cs="Arial"/>
                <w:color w:val="000000"/>
                <w:sz w:val="16"/>
                <w:szCs w:val="16"/>
                <w:lang w:val="es-PR"/>
              </w:rPr>
              <w:instrText xml:space="preserve">\n              B\n              -dependent elements. The </w:instrText>
            </w:r>
            <w:r>
              <w:rPr>
                <w:rFonts w:ascii="Arial" w:hAnsi="Arial" w:cs="Arial"/>
                <w:color w:val="000000"/>
                <w:sz w:val="16"/>
                <w:szCs w:val="16"/>
              </w:rPr>
              <w:instrText>σ</w:instrText>
            </w:r>
            <w:r w:rsidRPr="00D44FBE">
              <w:rPr>
                <w:rFonts w:ascii="Arial" w:hAnsi="Arial" w:cs="Arial"/>
                <w:color w:val="000000"/>
                <w:sz w:val="16"/>
                <w:szCs w:val="16"/>
                <w:lang w:val="es-PR"/>
              </w:rPr>
              <w:instrText xml:space="preserve">\n              B\n              -controlled\n              yabJ-spoVG\n              operon encodes two such putative downstream elements. We report here transcriptome analysis in\n              S. aureus\n              Newman, showing that inactivation of the\n              yabJ-spoVG\n              operon had primarily a repressing effect on a small subregulon encoding mainly virulence factors, including a nuclease (\n              nuc\n              ), a protease (\n              splE\n              ) and a lipase (\n              lip\n              ). As a consequence, </w:instrText>
            </w:r>
            <w:r>
              <w:rPr>
                <w:rFonts w:ascii="Arial" w:hAnsi="Arial" w:cs="Arial"/>
                <w:color w:val="000000"/>
                <w:sz w:val="16"/>
                <w:szCs w:val="16"/>
              </w:rPr>
              <w:instrText>extracellular nuclease, protease, and lipase activities were reduced in a Δ\n              yabJ\n              -\n              spoVG\n              mutant.\n              trans\n              -complementation by SpoVG was sufficient to restore their reduced phenotypic expression and lowered transcription due to the\n              yabJ-spoVG\n              deletion. It did not restore, however, the changes triggered by σ\n              B\n              inactivation, indicating that both regulons only partially overlap, despite the σ\n              B\n              dependency of the\n              yabJ-spoVG\n              expression. Thus, σ\n              B\n              is likely to control additional, SpoVG-independent factors affecting the expression of numerous hydrolytic enzymes. SpoVG, on the other hand, seems to fine-tune the σ\n              B\n              -dependent regulation of a subset of virulence factors by antagonizing the σ\n              B\n              effect.","container-title":"Journal of Bacteriology","DOI":"10.1128/JB.05362-11","ISSN":"0021-9193, 1098-5530","issue":"18","journalAbbreviation":"J Bacteriol","language":"en","page":"4954-4962","source":"DOI.org (Crossref)","title":"The σ &lt;sup&gt;B&lt;/sup&gt; -Dependent &lt;i&gt;yabJ-spoVG&lt;/i&gt; Operon Is Involved in the Regulation of Extracellular Nuclease, Lipase, and Protease Expression in Staphylococcus aureus","volume":"193","author":[{"family":"Schulthess","given":"Bettina"},{"family":"Bloes","given":"Dominik A."},{"family":"François","given":"Patrice"},{"family":"Girard","given":"Myriam"},{"family":"Schrenzel","given":"Jacques"},{"family":"Bischoff","given":"Markus"},{"family":"Berger-Bächi","given":"Brigitte"}],"issued":{"date-parts":[["2011",9,15]]}}},{"id":3269,"uris":["http://zotero.org/users/9750378/items/C2QZ8BG7"],"itemData":{"id":3269,"type":"article-journal","abstract":"ABSTRACT\n            \n              Increasing cases of infections caused by methicillin-resistant\n              Staphylococcus aureus\n              (MRSA) strains in healthy individuals have raised concerns worldwide. MRSA strains are resistant to almost the entire family of β-lactam antibiotics due to the acquisition of an extra penicillin-binding protein, PBP2a. Studies have shown that\n              spoVG\n              is involved in oxacillin resistance, while the regulatory mechanism remains elusive. In this study, we have found that SpoVG plays a positive role in oxacillin resistance through promoting cell wall synthesis and inhibiti</w:instrText>
            </w:r>
            <w:r w:rsidRPr="00D44FBE">
              <w:rPr>
                <w:rFonts w:ascii="Arial" w:hAnsi="Arial" w:cs="Arial"/>
                <w:color w:val="000000"/>
                <w:sz w:val="16"/>
                <w:szCs w:val="16"/>
                <w:lang w:val="es-PR"/>
              </w:rPr>
              <w:instrText xml:space="preserve">ng cell wall degradation in MRSA strain N315. Deletion of\n              spoVG\n              in strain N315 led to a significant decrease in oxacillin resistance and a dramatic increase in Triton X-100-induced autolytic activity simultaneously. Real-time quantitative reverse transcription-PCR revealed that the expression of 8 genes related to cell wall metabolism or oxacillin resistance was altered in the\n              spoVG\n              mutant. Electrophoretic mobility shift assay indicated that SpoVG can directly bind to the putative promoter regions of\n              lytN\n              (murein hydrolase),\n              femA\n              , and\n              lytSR\n              (the two-component system). These findings suggest a molecular mechanism in which SpoVG modulates oxacillin resistance by regulating cell wall metabolism in MRSA.","container-title":"Antimicrobial Agents and Chemotherapy","DOI":"10.1128/AAC.00026-16","ISSN":"0066-4804, 1098-6596","issue":"6","journalAbbreviation":"Antimicrob Agents Chemother","language":"en","page":"3455-3461","source":"DOI.org (Crossref)","title":"SpoVG Regulates Cell Wall Metabolism and Oxacillin Resistance in Methicillin-Resistant Staphylococcus aureus Strain N315","volume":"60","author":[{"family":"Liu","given":"Xiaoyu"},{"family":"Zhang","given":"Shijie"},{"family":"Sun","given":"Baolin"}],"issued":{"date-parts":[["2016",6]]}}}],"schema":"https://github.com/citation-style-language/schema/raw/master/csl-citation.json"} </w:instrText>
            </w:r>
            <w:r>
              <w:rPr>
                <w:rFonts w:ascii="Arial" w:hAnsi="Arial" w:cs="Arial"/>
                <w:color w:val="000000"/>
                <w:sz w:val="16"/>
                <w:szCs w:val="16"/>
              </w:rPr>
              <w:fldChar w:fldCharType="separate"/>
            </w:r>
            <w:r w:rsidRPr="00D44FBE">
              <w:rPr>
                <w:rFonts w:ascii="Arial" w:hAnsi="Arial" w:cs="Arial"/>
                <w:color w:val="000000"/>
                <w:sz w:val="16"/>
                <w:vertAlign w:val="superscript"/>
                <w:lang w:val="es-PR"/>
              </w:rPr>
              <w:t>38,39</w:t>
            </w:r>
            <w:r>
              <w:rPr>
                <w:rFonts w:ascii="Arial" w:hAnsi="Arial" w:cs="Arial"/>
                <w:color w:val="000000"/>
                <w:sz w:val="16"/>
                <w:szCs w:val="16"/>
              </w:rPr>
              <w:fldChar w:fldCharType="end"/>
            </w:r>
          </w:p>
        </w:tc>
      </w:tr>
      <w:tr w:rsidR="006A5517" w:rsidRPr="002E6F9F" w14:paraId="739EE174" w14:textId="77777777" w:rsidTr="00EC06DE">
        <w:trPr>
          <w:trHeight w:val="285"/>
        </w:trPr>
        <w:tc>
          <w:tcPr>
            <w:tcW w:w="760" w:type="dxa"/>
            <w:noWrap/>
            <w:vAlign w:val="center"/>
            <w:hideMark/>
          </w:tcPr>
          <w:p w14:paraId="7A0AE03C" w14:textId="77777777" w:rsidR="006A5517" w:rsidRPr="00D44FBE" w:rsidRDefault="006A5517" w:rsidP="00EC06DE">
            <w:pPr>
              <w:jc w:val="center"/>
              <w:rPr>
                <w:rFonts w:ascii="Arial" w:hAnsi="Arial" w:cs="Arial"/>
                <w:i/>
                <w:iCs/>
                <w:color w:val="000000"/>
                <w:sz w:val="16"/>
                <w:szCs w:val="16"/>
                <w:lang w:val="es-PR"/>
              </w:rPr>
            </w:pPr>
            <w:r w:rsidRPr="00D44FBE">
              <w:rPr>
                <w:rFonts w:ascii="Arial" w:hAnsi="Arial" w:cs="Arial"/>
                <w:i/>
                <w:color w:val="000000" w:themeColor="text1"/>
                <w:sz w:val="16"/>
                <w:szCs w:val="16"/>
                <w:lang w:val="es-PR"/>
              </w:rPr>
              <w:t>cysE</w:t>
            </w:r>
          </w:p>
        </w:tc>
        <w:tc>
          <w:tcPr>
            <w:tcW w:w="3844" w:type="dxa"/>
            <w:noWrap/>
            <w:vAlign w:val="center"/>
            <w:hideMark/>
          </w:tcPr>
          <w:p w14:paraId="0E4954F0" w14:textId="06A85C69" w:rsidR="006A5517" w:rsidRPr="006A5517" w:rsidRDefault="006A5517" w:rsidP="00EC06DE">
            <w:pPr>
              <w:jc w:val="center"/>
              <w:rPr>
                <w:rFonts w:ascii="Arial" w:eastAsia="Arial" w:hAnsi="Arial" w:cs="Arial"/>
                <w:color w:val="000000" w:themeColor="text1"/>
                <w:sz w:val="16"/>
                <w:szCs w:val="16"/>
                <w:lang w:val="es-PR"/>
              </w:rPr>
            </w:pPr>
            <w:r w:rsidRPr="006A5517">
              <w:rPr>
                <w:rFonts w:ascii="Arial" w:hAnsi="Arial" w:cs="Arial"/>
                <w:color w:val="000000" w:themeColor="text1"/>
                <w:sz w:val="16"/>
                <w:szCs w:val="16"/>
                <w:lang w:val="es-PR"/>
              </w:rPr>
              <w:t>S</w:t>
            </w:r>
            <w:r>
              <w:rPr>
                <w:rFonts w:ascii="Arial" w:hAnsi="Arial" w:cs="Arial"/>
                <w:color w:val="000000" w:themeColor="text1"/>
                <w:sz w:val="16"/>
                <w:szCs w:val="16"/>
                <w:lang w:val="es-PR"/>
              </w:rPr>
              <w:t>í</w:t>
            </w:r>
            <w:r w:rsidRPr="006A5517">
              <w:rPr>
                <w:rFonts w:ascii="Arial" w:hAnsi="Arial" w:cs="Arial"/>
                <w:color w:val="000000" w:themeColor="text1"/>
                <w:sz w:val="16"/>
                <w:szCs w:val="16"/>
                <w:lang w:val="es-PR"/>
              </w:rPr>
              <w:t>ntesis de ciste</w:t>
            </w:r>
            <w:r>
              <w:rPr>
                <w:rFonts w:ascii="Arial" w:hAnsi="Arial" w:cs="Arial"/>
                <w:color w:val="000000" w:themeColor="text1"/>
                <w:sz w:val="16"/>
                <w:szCs w:val="16"/>
                <w:lang w:val="es-PR"/>
              </w:rPr>
              <w:t>í</w:t>
            </w:r>
            <w:r w:rsidRPr="006A5517">
              <w:rPr>
                <w:rFonts w:ascii="Arial" w:hAnsi="Arial" w:cs="Arial"/>
                <w:color w:val="000000" w:themeColor="text1"/>
                <w:sz w:val="16"/>
                <w:szCs w:val="16"/>
                <w:lang w:val="es-PR"/>
              </w:rPr>
              <w:t xml:space="preserve">na y metionina, </w:t>
            </w:r>
            <w:r w:rsidRPr="006A5517">
              <w:rPr>
                <w:rFonts w:ascii="Arial" w:eastAsia="Arial" w:hAnsi="Arial" w:cs="Arial"/>
                <w:color w:val="000000" w:themeColor="text1"/>
                <w:sz w:val="16"/>
                <w:szCs w:val="16"/>
                <w:lang w:val="es-PR"/>
              </w:rPr>
              <w:t>serin</w:t>
            </w:r>
            <w:r>
              <w:rPr>
                <w:rFonts w:ascii="Arial" w:eastAsia="Arial" w:hAnsi="Arial" w:cs="Arial"/>
                <w:color w:val="000000" w:themeColor="text1"/>
                <w:sz w:val="16"/>
                <w:szCs w:val="16"/>
                <w:lang w:val="es-PR"/>
              </w:rPr>
              <w:t>a</w:t>
            </w:r>
            <w:r w:rsidRPr="006A5517">
              <w:rPr>
                <w:rFonts w:ascii="Arial" w:eastAsia="Arial" w:hAnsi="Arial" w:cs="Arial"/>
                <w:color w:val="000000" w:themeColor="text1"/>
                <w:sz w:val="16"/>
                <w:szCs w:val="16"/>
                <w:lang w:val="es-PR"/>
              </w:rPr>
              <w:t xml:space="preserve"> O-acet</w:t>
            </w:r>
            <w:r>
              <w:rPr>
                <w:rFonts w:ascii="Arial" w:eastAsia="Arial" w:hAnsi="Arial" w:cs="Arial"/>
                <w:color w:val="000000" w:themeColor="text1"/>
                <w:sz w:val="16"/>
                <w:szCs w:val="16"/>
                <w:lang w:val="es-PR"/>
              </w:rPr>
              <w:t>i</w:t>
            </w:r>
            <w:r w:rsidRPr="006A5517">
              <w:rPr>
                <w:rFonts w:ascii="Arial" w:eastAsia="Arial" w:hAnsi="Arial" w:cs="Arial"/>
                <w:color w:val="000000" w:themeColor="text1"/>
                <w:sz w:val="16"/>
                <w:szCs w:val="16"/>
                <w:lang w:val="es-PR"/>
              </w:rPr>
              <w:t>ltransferas</w:t>
            </w:r>
            <w:r>
              <w:rPr>
                <w:rFonts w:ascii="Arial" w:eastAsia="Arial" w:hAnsi="Arial" w:cs="Arial"/>
                <w:color w:val="000000" w:themeColor="text1"/>
                <w:sz w:val="16"/>
                <w:szCs w:val="16"/>
                <w:lang w:val="es-PR"/>
              </w:rPr>
              <w:t>a</w:t>
            </w:r>
          </w:p>
        </w:tc>
        <w:tc>
          <w:tcPr>
            <w:tcW w:w="1535" w:type="dxa"/>
            <w:vAlign w:val="center"/>
          </w:tcPr>
          <w:p w14:paraId="2E4C2779" w14:textId="77777777" w:rsidR="006A5517" w:rsidRPr="00D44FBE" w:rsidRDefault="006A5517" w:rsidP="00EC06DE">
            <w:pPr>
              <w:jc w:val="center"/>
              <w:rPr>
                <w:rFonts w:ascii="Arial" w:hAnsi="Arial" w:cs="Arial"/>
                <w:color w:val="000000"/>
                <w:sz w:val="16"/>
                <w:szCs w:val="16"/>
                <w:lang w:val="es-PR"/>
              </w:rPr>
            </w:pPr>
            <w:r w:rsidRPr="00D44FBE">
              <w:rPr>
                <w:rFonts w:ascii="Arial" w:hAnsi="Arial" w:cs="Arial"/>
                <w:color w:val="000000"/>
                <w:sz w:val="16"/>
                <w:szCs w:val="16"/>
                <w:lang w:val="es-PR"/>
              </w:rPr>
              <w:t>MW2</w:t>
            </w:r>
          </w:p>
        </w:tc>
        <w:tc>
          <w:tcPr>
            <w:tcW w:w="1997" w:type="dxa"/>
            <w:vAlign w:val="center"/>
          </w:tcPr>
          <w:p w14:paraId="3A930DD8" w14:textId="77777777" w:rsidR="006A5517" w:rsidRPr="00D44FBE" w:rsidRDefault="006A5517" w:rsidP="00EC06DE">
            <w:pPr>
              <w:jc w:val="center"/>
              <w:rPr>
                <w:rFonts w:ascii="Arial" w:hAnsi="Arial" w:cs="Arial"/>
                <w:color w:val="000000"/>
                <w:sz w:val="16"/>
                <w:szCs w:val="16"/>
                <w:lang w:val="es-PR"/>
              </w:rPr>
            </w:pPr>
            <w:r w:rsidRPr="00D44FBE">
              <w:rPr>
                <w:rFonts w:ascii="Arial" w:hAnsi="Arial" w:cs="Arial"/>
                <w:color w:val="000000"/>
                <w:sz w:val="16"/>
                <w:szCs w:val="16"/>
                <w:lang w:val="es-PR"/>
              </w:rPr>
              <w:t>Evo2</w:t>
            </w:r>
          </w:p>
        </w:tc>
        <w:tc>
          <w:tcPr>
            <w:tcW w:w="1215" w:type="dxa"/>
            <w:noWrap/>
            <w:vAlign w:val="center"/>
            <w:hideMark/>
          </w:tcPr>
          <w:p w14:paraId="3686FCD9" w14:textId="77777777" w:rsidR="006A5517" w:rsidRPr="007C19EC" w:rsidRDefault="006A5517" w:rsidP="00EC06DE">
            <w:pPr>
              <w:jc w:val="center"/>
              <w:rPr>
                <w:rFonts w:ascii="Arial" w:hAnsi="Arial" w:cs="Arial"/>
                <w:color w:val="000000"/>
                <w:sz w:val="16"/>
                <w:szCs w:val="16"/>
              </w:rPr>
            </w:pPr>
            <w:r w:rsidRPr="007C19EC">
              <w:rPr>
                <w:rFonts w:ascii="Arial" w:hAnsi="Arial" w:cs="Arial"/>
                <w:color w:val="000000"/>
                <w:sz w:val="16"/>
                <w:szCs w:val="16"/>
              </w:rPr>
              <w:fldChar w:fldCharType="begin"/>
            </w:r>
            <w:r w:rsidRPr="00D44FBE">
              <w:rPr>
                <w:rFonts w:ascii="Arial" w:hAnsi="Arial" w:cs="Arial"/>
                <w:color w:val="000000"/>
                <w:sz w:val="16"/>
                <w:szCs w:val="16"/>
                <w:lang w:val="es-PR"/>
              </w:rPr>
              <w:instrText xml:space="preserve"> ADDIN ZOTERO_ITEM CSL_CITATION {"citationID":"N9WBATfp","properties":{"formattedCitation":"\\super 40\\nosupersub{}","plainCitation":"40","noteIndex":0},"citationItems":[{"id":3302,"uris":["http://zotero.org/users/9750378/items/F8WP6E4S"],"itemData":{"id":3302,"type":"article-journal","abstract":"Methicillin-resistant Staphylococcus aureus (MRSA) is a major hospital-acquired infective pathogen that has developed resistance to many antibiotics. It is imperious to develop novel anti-MRSA drugs to control the emergence of drug resistance. The biosynthesis of cysteine in bacteria is catalyzed by CysE and CysK. CysE was predicted to be important for bacterial viability, it could be a potential drug target. The serine acetyltransferase activity of CysE was detected and its catalytic properties were also determined. CysE homology model was built to investigate interaction sites between CysE and substrate L-Ser or inhibitors by molecular docking. Docking data showed that residues Asp94 and His95 were essential for serine acetyltransferase activity of CysE, which were con</w:instrText>
            </w:r>
            <w:r>
              <w:rPr>
                <w:rFonts w:ascii="Arial" w:hAnsi="Arial" w:cs="Arial"/>
                <w:color w:val="000000"/>
                <w:sz w:val="16"/>
                <w:szCs w:val="16"/>
              </w:rPr>
              <w:instrText>ﬁ</w:instrText>
            </w:r>
            <w:r w:rsidRPr="00D44FBE">
              <w:rPr>
                <w:rFonts w:ascii="Arial" w:hAnsi="Arial" w:cs="Arial"/>
                <w:color w:val="000000"/>
                <w:sz w:val="16"/>
                <w:szCs w:val="16"/>
                <w:lang w:val="es-PR"/>
              </w:rPr>
              <w:instrText xml:space="preserve">rmed by site-directed mutagenesis. Colorimetric assay was used to screen natural products and six compounds which inhibited CysE activity (IC50 ranging from 29.83 </w:instrText>
            </w:r>
            <w:r>
              <w:rPr>
                <w:rFonts w:ascii="Arial" w:hAnsi="Arial" w:cs="Arial"/>
                <w:color w:val="000000"/>
                <w:sz w:val="16"/>
                <w:szCs w:val="16"/>
              </w:rPr>
              <w:instrText>μ</w:instrText>
            </w:r>
            <w:r w:rsidRPr="00D44FBE">
              <w:rPr>
                <w:rFonts w:ascii="Arial" w:hAnsi="Arial" w:cs="Arial"/>
                <w:color w:val="000000"/>
                <w:sz w:val="16"/>
                <w:szCs w:val="16"/>
                <w:lang w:val="es-PR"/>
              </w:rPr>
              <w:instrText xml:space="preserve">M to 203.13 </w:instrText>
            </w:r>
            <w:r>
              <w:rPr>
                <w:rFonts w:ascii="Arial" w:hAnsi="Arial" w:cs="Arial"/>
                <w:color w:val="000000"/>
                <w:sz w:val="16"/>
                <w:szCs w:val="16"/>
              </w:rPr>
              <w:instrText>μ</w:instrText>
            </w:r>
            <w:r w:rsidRPr="00D44FBE">
              <w:rPr>
                <w:rFonts w:ascii="Arial" w:hAnsi="Arial" w:cs="Arial"/>
                <w:color w:val="000000"/>
                <w:sz w:val="16"/>
                <w:szCs w:val="16"/>
                <w:lang w:val="es-PR"/>
              </w:rPr>
              <w:instrText>M) were found. Inhibition types of two compounds 4 (11-oxo-ebracteolatanolide B) and 30 ((4R,4aR)-dihydroxy-3-hydroxymethyl-7,7,10atrimethyl-2,4,4a,5,6,6a,7,8</w:instrText>
            </w:r>
            <w:r>
              <w:rPr>
                <w:rFonts w:ascii="Arial" w:hAnsi="Arial" w:cs="Arial"/>
                <w:color w:val="000000"/>
                <w:sz w:val="16"/>
                <w:szCs w:val="16"/>
              </w:rPr>
              <w:instrText>,9,10,10a,l0b-dodecahydrophenanthro[3,2-b]furan-2-one) on CysE were determined. Compounds 4 and 30 showed inhibitory e</w:instrText>
            </w:r>
            <w:r>
              <w:rPr>
                <w:rFonts w:ascii="Cambria Math" w:hAnsi="Cambria Math" w:cs="Cambria Math"/>
                <w:color w:val="000000"/>
                <w:sz w:val="16"/>
                <w:szCs w:val="16"/>
              </w:rPr>
              <w:instrText>ﬀ</w:instrText>
            </w:r>
            <w:r>
              <w:rPr>
                <w:rFonts w:ascii="Arial" w:hAnsi="Arial" w:cs="Arial"/>
                <w:color w:val="000000"/>
                <w:sz w:val="16"/>
                <w:szCs w:val="16"/>
              </w:rPr>
              <w:instrText>ect on MRSA growth (MIC at 12.5 μg/ml and 25 μg/ml) and mature bioﬁlm. The established colorimetric assay will facilitate further high-throughput screening of CysE inhibitors from di</w:instrText>
            </w:r>
            <w:r>
              <w:rPr>
                <w:rFonts w:ascii="Cambria Math" w:hAnsi="Cambria Math" w:cs="Cambria Math"/>
                <w:color w:val="000000"/>
                <w:sz w:val="16"/>
                <w:szCs w:val="16"/>
              </w:rPr>
              <w:instrText>ﬀ</w:instrText>
            </w:r>
            <w:r>
              <w:rPr>
                <w:rFonts w:ascii="Arial" w:hAnsi="Arial" w:cs="Arial"/>
                <w:color w:val="000000"/>
                <w:sz w:val="16"/>
                <w:szCs w:val="16"/>
              </w:rPr>
              <w:instrText>erent compound libraries. The compounds 4 and 30 may o</w:instrText>
            </w:r>
            <w:r>
              <w:rPr>
                <w:rFonts w:ascii="Cambria Math" w:hAnsi="Cambria Math" w:cs="Cambria Math"/>
                <w:color w:val="000000"/>
                <w:sz w:val="16"/>
                <w:szCs w:val="16"/>
              </w:rPr>
              <w:instrText>ﬀ</w:instrText>
            </w:r>
            <w:r>
              <w:rPr>
                <w:rFonts w:ascii="Arial" w:hAnsi="Arial" w:cs="Arial"/>
                <w:color w:val="000000"/>
                <w:sz w:val="16"/>
                <w:szCs w:val="16"/>
              </w:rPr>
              <w:instrText xml:space="preserve">er structural basis for developing new antiMRSA drugs.","container-title":"Microbial Pathogenesis","DOI":"10.1016/j.micpath.2019.04.002","ISSN":"08824010","journalAbbreviation":"Microbial Pathogenesis","language":"en","page":"218-226","source":"DOI.org (Crossref)","title":"Characterization of serine acetyltransferase (CysE) from methicillin-resistant Staphylococcus aureus and inhibitory effect of two natural products on CysE","volume":"131","author":[{"family":"Chen","given":"Changming"},{"family":"Yan","given":"Qiulong"},{"family":"Tao","given":"Mengxing"},{"family":"Shi","given":"Huaying"},{"family":"Han","given":"Xiuyan"},{"family":"Jia","given":"Liqiu"},{"family":"Huang","given":"Yukun"},{"family":"Zhao","given":"Lizhe"},{"family":"Wang","given":"Chao"},{"family":"Ma","given":"Xiaochi"},{"family":"Ma","given":"Yufang"}],"issued":{"date-parts":[["2019",6]]}}}],"schema":"https://github.com/citation-style-language/schema/raw/master/csl-citation.json"} </w:instrText>
            </w:r>
            <w:r w:rsidRPr="007C19EC">
              <w:rPr>
                <w:rFonts w:ascii="Arial" w:hAnsi="Arial" w:cs="Arial"/>
                <w:color w:val="000000"/>
                <w:sz w:val="16"/>
                <w:szCs w:val="16"/>
              </w:rPr>
              <w:fldChar w:fldCharType="separate"/>
            </w:r>
            <w:r w:rsidRPr="005F1507">
              <w:rPr>
                <w:rFonts w:ascii="Arial" w:hAnsi="Arial" w:cs="Arial"/>
                <w:color w:val="000000"/>
                <w:sz w:val="16"/>
                <w:vertAlign w:val="superscript"/>
              </w:rPr>
              <w:t>40</w:t>
            </w:r>
            <w:r w:rsidRPr="007C19EC">
              <w:rPr>
                <w:rFonts w:ascii="Arial" w:hAnsi="Arial" w:cs="Arial"/>
                <w:color w:val="000000"/>
                <w:sz w:val="16"/>
                <w:szCs w:val="16"/>
              </w:rPr>
              <w:fldChar w:fldCharType="end"/>
            </w:r>
          </w:p>
        </w:tc>
      </w:tr>
      <w:tr w:rsidR="006A5517" w:rsidRPr="002E6F9F" w14:paraId="7A42AEE1" w14:textId="77777777" w:rsidTr="00EC06DE">
        <w:trPr>
          <w:trHeight w:val="285"/>
        </w:trPr>
        <w:tc>
          <w:tcPr>
            <w:tcW w:w="760" w:type="dxa"/>
            <w:noWrap/>
            <w:vAlign w:val="center"/>
            <w:hideMark/>
          </w:tcPr>
          <w:p w14:paraId="313C0A11" w14:textId="77777777" w:rsidR="006A5517" w:rsidRPr="002E6F9F" w:rsidRDefault="006A5517" w:rsidP="00EC06DE">
            <w:pPr>
              <w:jc w:val="center"/>
              <w:rPr>
                <w:rFonts w:ascii="Arial" w:hAnsi="Arial" w:cs="Arial"/>
                <w:i/>
                <w:iCs/>
                <w:color w:val="000000"/>
                <w:sz w:val="16"/>
                <w:szCs w:val="16"/>
              </w:rPr>
            </w:pPr>
            <w:proofErr w:type="spellStart"/>
            <w:r w:rsidRPr="3D69AA52">
              <w:rPr>
                <w:rFonts w:ascii="Arial" w:hAnsi="Arial" w:cs="Arial"/>
                <w:i/>
                <w:iCs/>
                <w:color w:val="000000" w:themeColor="text1"/>
                <w:sz w:val="16"/>
                <w:szCs w:val="16"/>
              </w:rPr>
              <w:t>metK</w:t>
            </w:r>
            <w:proofErr w:type="spellEnd"/>
          </w:p>
        </w:tc>
        <w:tc>
          <w:tcPr>
            <w:tcW w:w="3844" w:type="dxa"/>
            <w:noWrap/>
            <w:vAlign w:val="center"/>
            <w:hideMark/>
          </w:tcPr>
          <w:p w14:paraId="675AE971" w14:textId="54434E8C" w:rsidR="006A5517" w:rsidRPr="006A5517" w:rsidRDefault="006A5517" w:rsidP="00EC06DE">
            <w:pPr>
              <w:jc w:val="center"/>
              <w:rPr>
                <w:rFonts w:ascii="Arial" w:eastAsia="Arial" w:hAnsi="Arial" w:cs="Arial"/>
                <w:color w:val="000000" w:themeColor="text1"/>
                <w:sz w:val="16"/>
                <w:szCs w:val="16"/>
                <w:lang w:val="es-PR"/>
              </w:rPr>
            </w:pPr>
            <w:r w:rsidRPr="006A5517">
              <w:rPr>
                <w:rFonts w:ascii="Arial" w:hAnsi="Arial" w:cs="Arial"/>
                <w:color w:val="000000" w:themeColor="text1"/>
                <w:sz w:val="16"/>
                <w:szCs w:val="16"/>
                <w:lang w:val="es-PR"/>
              </w:rPr>
              <w:t>S</w:t>
            </w:r>
            <w:r>
              <w:rPr>
                <w:rFonts w:ascii="Arial" w:hAnsi="Arial" w:cs="Arial"/>
                <w:color w:val="000000" w:themeColor="text1"/>
                <w:sz w:val="16"/>
                <w:szCs w:val="16"/>
                <w:lang w:val="es-PR"/>
              </w:rPr>
              <w:t>í</w:t>
            </w:r>
            <w:r w:rsidRPr="006A5517">
              <w:rPr>
                <w:rFonts w:ascii="Arial" w:hAnsi="Arial" w:cs="Arial"/>
                <w:color w:val="000000" w:themeColor="text1"/>
                <w:sz w:val="16"/>
                <w:szCs w:val="16"/>
                <w:lang w:val="es-PR"/>
              </w:rPr>
              <w:t>ntesis de ciste</w:t>
            </w:r>
            <w:r>
              <w:rPr>
                <w:rFonts w:ascii="Arial" w:hAnsi="Arial" w:cs="Arial"/>
                <w:color w:val="000000" w:themeColor="text1"/>
                <w:sz w:val="16"/>
                <w:szCs w:val="16"/>
                <w:lang w:val="es-PR"/>
              </w:rPr>
              <w:t>í</w:t>
            </w:r>
            <w:r w:rsidRPr="006A5517">
              <w:rPr>
                <w:rFonts w:ascii="Arial" w:hAnsi="Arial" w:cs="Arial"/>
                <w:color w:val="000000" w:themeColor="text1"/>
                <w:sz w:val="16"/>
                <w:szCs w:val="16"/>
                <w:lang w:val="es-PR"/>
              </w:rPr>
              <w:t>na y metionina,</w:t>
            </w:r>
            <w:r w:rsidR="009E74C0">
              <w:rPr>
                <w:rFonts w:ascii="Arial" w:hAnsi="Arial" w:cs="Arial"/>
                <w:color w:val="000000" w:themeColor="text1"/>
                <w:sz w:val="16"/>
                <w:szCs w:val="16"/>
                <w:lang w:val="es-PR"/>
              </w:rPr>
              <w:t xml:space="preserve"> sintetasa</w:t>
            </w:r>
          </w:p>
          <w:p w14:paraId="25BA87E4" w14:textId="493EF4A7" w:rsidR="006A5517" w:rsidRPr="006A5517" w:rsidRDefault="006A5517" w:rsidP="00EC06DE">
            <w:pPr>
              <w:jc w:val="center"/>
              <w:rPr>
                <w:rFonts w:ascii="Arial" w:eastAsia="Arial" w:hAnsi="Arial" w:cs="Arial"/>
                <w:color w:val="000000" w:themeColor="text1"/>
                <w:sz w:val="16"/>
                <w:szCs w:val="16"/>
                <w:lang w:val="es-PR"/>
              </w:rPr>
            </w:pPr>
            <w:r w:rsidRPr="006A5517">
              <w:rPr>
                <w:rFonts w:ascii="Arial" w:eastAsia="Arial" w:hAnsi="Arial" w:cs="Arial"/>
                <w:color w:val="000000" w:themeColor="text1"/>
                <w:sz w:val="16"/>
                <w:szCs w:val="16"/>
                <w:lang w:val="es-PR"/>
              </w:rPr>
              <w:t xml:space="preserve">S-adenosilmetionina (SAM) </w:t>
            </w:r>
          </w:p>
        </w:tc>
        <w:tc>
          <w:tcPr>
            <w:tcW w:w="1535" w:type="dxa"/>
            <w:vAlign w:val="center"/>
          </w:tcPr>
          <w:p w14:paraId="7FFC089F" w14:textId="77777777" w:rsidR="006A5517" w:rsidRPr="002E6F9F" w:rsidRDefault="006A5517" w:rsidP="00EC06DE">
            <w:pPr>
              <w:jc w:val="center"/>
              <w:rPr>
                <w:rFonts w:ascii="Arial" w:hAnsi="Arial" w:cs="Arial"/>
                <w:color w:val="000000"/>
                <w:sz w:val="16"/>
                <w:szCs w:val="16"/>
              </w:rPr>
            </w:pPr>
            <w:r w:rsidRPr="002E6F9F">
              <w:rPr>
                <w:rFonts w:ascii="Arial" w:hAnsi="Arial" w:cs="Arial"/>
                <w:color w:val="000000"/>
                <w:sz w:val="16"/>
                <w:szCs w:val="16"/>
              </w:rPr>
              <w:t>MW2</w:t>
            </w:r>
          </w:p>
        </w:tc>
        <w:tc>
          <w:tcPr>
            <w:tcW w:w="1997" w:type="dxa"/>
            <w:vAlign w:val="center"/>
          </w:tcPr>
          <w:p w14:paraId="02E3B0F4" w14:textId="77777777" w:rsidR="006A5517" w:rsidRPr="002E6F9F" w:rsidRDefault="006A5517" w:rsidP="00EC06DE">
            <w:pPr>
              <w:jc w:val="center"/>
              <w:rPr>
                <w:rFonts w:ascii="Arial" w:hAnsi="Arial" w:cs="Arial"/>
                <w:color w:val="000000"/>
                <w:sz w:val="16"/>
                <w:szCs w:val="16"/>
              </w:rPr>
            </w:pPr>
            <w:r w:rsidRPr="002E6F9F">
              <w:rPr>
                <w:rFonts w:ascii="Arial" w:hAnsi="Arial" w:cs="Arial"/>
                <w:sz w:val="16"/>
                <w:szCs w:val="16"/>
              </w:rPr>
              <w:t xml:space="preserve">ΦStaph1N, </w:t>
            </w:r>
            <w:r w:rsidRPr="002E6F9F">
              <w:rPr>
                <w:rFonts w:ascii="Arial" w:hAnsi="Arial" w:cs="Arial"/>
                <w:color w:val="000000"/>
                <w:sz w:val="16"/>
                <w:szCs w:val="16"/>
              </w:rPr>
              <w:t>Evo2</w:t>
            </w:r>
          </w:p>
        </w:tc>
        <w:tc>
          <w:tcPr>
            <w:tcW w:w="1215" w:type="dxa"/>
            <w:noWrap/>
            <w:vAlign w:val="center"/>
            <w:hideMark/>
          </w:tcPr>
          <w:p w14:paraId="74083769" w14:textId="77777777" w:rsidR="006A5517" w:rsidRPr="002E6F9F" w:rsidRDefault="006A5517" w:rsidP="00EC06DE">
            <w:pPr>
              <w:jc w:val="center"/>
              <w:rPr>
                <w:rFonts w:ascii="Arial" w:hAnsi="Arial" w:cs="Arial"/>
                <w:color w:val="000000"/>
                <w:sz w:val="16"/>
                <w:szCs w:val="16"/>
              </w:rPr>
            </w:pPr>
            <w:r>
              <w:rPr>
                <w:rFonts w:ascii="Arial" w:hAnsi="Arial" w:cs="Arial"/>
                <w:color w:val="000000"/>
                <w:sz w:val="16"/>
                <w:szCs w:val="16"/>
              </w:rPr>
              <w:fldChar w:fldCharType="begin"/>
            </w:r>
            <w:r>
              <w:rPr>
                <w:rFonts w:ascii="Arial" w:hAnsi="Arial" w:cs="Arial"/>
                <w:color w:val="000000"/>
                <w:sz w:val="16"/>
                <w:szCs w:val="16"/>
              </w:rPr>
              <w:instrText xml:space="preserve"> ADDIN ZOTERO_ITEM CSL_CITATION {"citationID":"4vLGQuOM","properties":{"formattedCitation":"\\super 41\\nosupersub{}","plainCitation":"41","noteIndex":0},"citationItems":[{"id":3316,"uris":["http://zotero.org/users/9750378/items/IXRUBF8R"],"itemData":{"id":3316,"type":"article-journal","container-title":"Journal of Biological Chemistry","DOI":"10.1016/S0021-9258(17)42628-7","ISSN":"00219258","issue":"23","journalAbbreviation":"Journal of Biological Chemistry","language":"en","license":"https://www.elsevier.com/tdm/userlicense/1.0/","page":"14505-14507","source":"DOI.org (Crossref)","title":"The sequence of metK, the structural gene for S-adenosylmethionine synthetase in Escherichia coli.","volume":"259","author":[{"family":"Markham","given":"G D"},{"family":"DeParasis","given":"J"},{"family":"Gatmaitan","given":"J"}],"issued":{"date-parts":[["1984",12]]}}}],"schema":"https://github.com/citation-style-language/schema/raw/master/csl-citation.json"} </w:instrText>
            </w:r>
            <w:r>
              <w:rPr>
                <w:rFonts w:ascii="Arial" w:hAnsi="Arial" w:cs="Arial"/>
                <w:color w:val="000000"/>
                <w:sz w:val="16"/>
                <w:szCs w:val="16"/>
              </w:rPr>
              <w:fldChar w:fldCharType="separate"/>
            </w:r>
            <w:r w:rsidRPr="005F1507">
              <w:rPr>
                <w:rFonts w:ascii="Arial" w:hAnsi="Arial" w:cs="Arial"/>
                <w:color w:val="000000"/>
                <w:sz w:val="16"/>
                <w:vertAlign w:val="superscript"/>
              </w:rPr>
              <w:t>41</w:t>
            </w:r>
            <w:r>
              <w:rPr>
                <w:rFonts w:ascii="Arial" w:hAnsi="Arial" w:cs="Arial"/>
                <w:color w:val="000000"/>
                <w:sz w:val="16"/>
                <w:szCs w:val="16"/>
              </w:rPr>
              <w:fldChar w:fldCharType="end"/>
            </w:r>
          </w:p>
        </w:tc>
      </w:tr>
      <w:tr w:rsidR="006A5517" w:rsidRPr="002E6F9F" w14:paraId="3D9F7F21" w14:textId="77777777" w:rsidTr="00EC06DE">
        <w:trPr>
          <w:trHeight w:val="285"/>
        </w:trPr>
        <w:tc>
          <w:tcPr>
            <w:tcW w:w="760" w:type="dxa"/>
            <w:noWrap/>
            <w:vAlign w:val="center"/>
            <w:hideMark/>
          </w:tcPr>
          <w:p w14:paraId="6B3BE8B1" w14:textId="77777777" w:rsidR="006A5517" w:rsidRPr="002E6F9F" w:rsidRDefault="006A5517" w:rsidP="00EC06DE">
            <w:pPr>
              <w:jc w:val="center"/>
              <w:rPr>
                <w:rFonts w:ascii="Arial" w:hAnsi="Arial" w:cs="Arial"/>
                <w:i/>
                <w:iCs/>
                <w:color w:val="000000"/>
                <w:sz w:val="16"/>
                <w:szCs w:val="16"/>
              </w:rPr>
            </w:pPr>
            <w:proofErr w:type="spellStart"/>
            <w:r w:rsidRPr="7F360120">
              <w:rPr>
                <w:rFonts w:ascii="Arial" w:hAnsi="Arial" w:cs="Arial"/>
                <w:i/>
                <w:iCs/>
                <w:color w:val="000000" w:themeColor="text1"/>
                <w:sz w:val="16"/>
                <w:szCs w:val="16"/>
              </w:rPr>
              <w:t>trpF</w:t>
            </w:r>
            <w:proofErr w:type="spellEnd"/>
          </w:p>
        </w:tc>
        <w:tc>
          <w:tcPr>
            <w:tcW w:w="3844" w:type="dxa"/>
            <w:noWrap/>
            <w:vAlign w:val="center"/>
            <w:hideMark/>
          </w:tcPr>
          <w:p w14:paraId="745AD159" w14:textId="778B425D" w:rsidR="006A5517" w:rsidRPr="009E74C0" w:rsidRDefault="006A5517" w:rsidP="00EC06DE">
            <w:pPr>
              <w:jc w:val="center"/>
              <w:rPr>
                <w:rFonts w:ascii="Arial" w:eastAsia="Arial" w:hAnsi="Arial" w:cs="Arial"/>
                <w:color w:val="000000" w:themeColor="text1"/>
                <w:sz w:val="16"/>
                <w:szCs w:val="16"/>
                <w:lang w:val="es-PR"/>
              </w:rPr>
            </w:pPr>
            <w:r w:rsidRPr="009E74C0">
              <w:rPr>
                <w:rFonts w:ascii="Arial" w:hAnsi="Arial" w:cs="Arial"/>
                <w:color w:val="000000" w:themeColor="text1"/>
                <w:sz w:val="16"/>
                <w:szCs w:val="16"/>
                <w:lang w:val="es-PR"/>
              </w:rPr>
              <w:t>S</w:t>
            </w:r>
            <w:r w:rsidR="009E74C0" w:rsidRPr="009E74C0">
              <w:rPr>
                <w:rFonts w:ascii="Arial" w:hAnsi="Arial" w:cs="Arial"/>
                <w:color w:val="000000" w:themeColor="text1"/>
                <w:sz w:val="16"/>
                <w:szCs w:val="16"/>
                <w:lang w:val="es-PR"/>
              </w:rPr>
              <w:t>í</w:t>
            </w:r>
            <w:r w:rsidRPr="009E74C0">
              <w:rPr>
                <w:rFonts w:ascii="Arial" w:hAnsi="Arial" w:cs="Arial"/>
                <w:color w:val="000000" w:themeColor="text1"/>
                <w:sz w:val="16"/>
                <w:szCs w:val="16"/>
                <w:lang w:val="es-PR"/>
              </w:rPr>
              <w:t>ntesis de fenilalanina, tirosina and tript</w:t>
            </w:r>
            <w:r w:rsidR="009E74C0" w:rsidRPr="009E74C0">
              <w:rPr>
                <w:rFonts w:ascii="Arial" w:hAnsi="Arial" w:cs="Arial"/>
                <w:color w:val="000000" w:themeColor="text1"/>
                <w:sz w:val="16"/>
                <w:szCs w:val="16"/>
                <w:lang w:val="es-PR"/>
              </w:rPr>
              <w:t>ó</w:t>
            </w:r>
            <w:r w:rsidRPr="009E74C0">
              <w:rPr>
                <w:rFonts w:ascii="Arial" w:hAnsi="Arial" w:cs="Arial"/>
                <w:color w:val="000000" w:themeColor="text1"/>
                <w:sz w:val="16"/>
                <w:szCs w:val="16"/>
                <w:lang w:val="es-PR"/>
              </w:rPr>
              <w:t xml:space="preserve">fano, </w:t>
            </w:r>
            <w:r w:rsidR="009E74C0" w:rsidRPr="009E74C0">
              <w:rPr>
                <w:rFonts w:ascii="Arial" w:hAnsi="Arial" w:cs="Arial"/>
                <w:color w:val="000000" w:themeColor="text1"/>
                <w:sz w:val="16"/>
                <w:szCs w:val="16"/>
                <w:lang w:val="es-PR"/>
              </w:rPr>
              <w:t xml:space="preserve">isomerasa </w:t>
            </w:r>
            <w:r w:rsidR="009E74C0" w:rsidRPr="009E74C0">
              <w:rPr>
                <w:rFonts w:ascii="Arial" w:eastAsia="Arial" w:hAnsi="Arial" w:cs="Arial"/>
                <w:color w:val="000000" w:themeColor="text1"/>
                <w:sz w:val="16"/>
                <w:szCs w:val="16"/>
                <w:lang w:val="es-PR"/>
              </w:rPr>
              <w:t>f</w:t>
            </w:r>
            <w:r w:rsidRPr="009E74C0">
              <w:rPr>
                <w:rFonts w:ascii="Arial" w:eastAsia="Arial" w:hAnsi="Arial" w:cs="Arial"/>
                <w:color w:val="000000" w:themeColor="text1"/>
                <w:sz w:val="16"/>
                <w:szCs w:val="16"/>
                <w:lang w:val="es-PR"/>
              </w:rPr>
              <w:t>os</w:t>
            </w:r>
            <w:r w:rsidR="009E74C0">
              <w:rPr>
                <w:rFonts w:ascii="Arial" w:eastAsia="Arial" w:hAnsi="Arial" w:cs="Arial"/>
                <w:color w:val="000000" w:themeColor="text1"/>
                <w:sz w:val="16"/>
                <w:szCs w:val="16"/>
                <w:lang w:val="es-PR"/>
              </w:rPr>
              <w:t>f</w:t>
            </w:r>
            <w:r w:rsidRPr="009E74C0">
              <w:rPr>
                <w:rFonts w:ascii="Arial" w:eastAsia="Arial" w:hAnsi="Arial" w:cs="Arial"/>
                <w:color w:val="000000" w:themeColor="text1"/>
                <w:sz w:val="16"/>
                <w:szCs w:val="16"/>
                <w:lang w:val="es-PR"/>
              </w:rPr>
              <w:t>oribos</w:t>
            </w:r>
            <w:r w:rsidR="009E74C0">
              <w:rPr>
                <w:rFonts w:ascii="Arial" w:eastAsia="Arial" w:hAnsi="Arial" w:cs="Arial"/>
                <w:color w:val="000000" w:themeColor="text1"/>
                <w:sz w:val="16"/>
                <w:szCs w:val="16"/>
                <w:lang w:val="es-PR"/>
              </w:rPr>
              <w:t>i</w:t>
            </w:r>
            <w:r w:rsidRPr="009E74C0">
              <w:rPr>
                <w:rFonts w:ascii="Arial" w:eastAsia="Arial" w:hAnsi="Arial" w:cs="Arial"/>
                <w:color w:val="000000" w:themeColor="text1"/>
                <w:sz w:val="16"/>
                <w:szCs w:val="16"/>
                <w:lang w:val="es-PR"/>
              </w:rPr>
              <w:t>lantranilat</w:t>
            </w:r>
            <w:r w:rsidR="009E74C0">
              <w:rPr>
                <w:rFonts w:ascii="Arial" w:eastAsia="Arial" w:hAnsi="Arial" w:cs="Arial"/>
                <w:color w:val="000000" w:themeColor="text1"/>
                <w:sz w:val="16"/>
                <w:szCs w:val="16"/>
                <w:lang w:val="es-PR"/>
              </w:rPr>
              <w:t>o</w:t>
            </w:r>
          </w:p>
        </w:tc>
        <w:tc>
          <w:tcPr>
            <w:tcW w:w="1535" w:type="dxa"/>
            <w:vAlign w:val="center"/>
          </w:tcPr>
          <w:p w14:paraId="5B1E37B2" w14:textId="77777777" w:rsidR="006A5517" w:rsidRPr="002E6F9F" w:rsidRDefault="006A5517" w:rsidP="00EC06DE">
            <w:pPr>
              <w:jc w:val="center"/>
              <w:rPr>
                <w:rFonts w:ascii="Arial" w:hAnsi="Arial" w:cs="Arial"/>
                <w:color w:val="000000"/>
                <w:sz w:val="16"/>
                <w:szCs w:val="16"/>
              </w:rPr>
            </w:pPr>
            <w:r w:rsidRPr="002E6F9F">
              <w:rPr>
                <w:rFonts w:ascii="Arial" w:hAnsi="Arial" w:cs="Arial"/>
                <w:color w:val="000000"/>
                <w:sz w:val="16"/>
                <w:szCs w:val="16"/>
              </w:rPr>
              <w:t>LAC</w:t>
            </w:r>
          </w:p>
        </w:tc>
        <w:tc>
          <w:tcPr>
            <w:tcW w:w="1997" w:type="dxa"/>
            <w:vAlign w:val="center"/>
          </w:tcPr>
          <w:p w14:paraId="314B84F3" w14:textId="77777777" w:rsidR="006A5517" w:rsidRPr="002E6F9F" w:rsidRDefault="006A5517" w:rsidP="00EC06DE">
            <w:pPr>
              <w:jc w:val="center"/>
              <w:rPr>
                <w:rFonts w:ascii="Arial" w:hAnsi="Arial" w:cs="Arial"/>
                <w:color w:val="000000"/>
                <w:sz w:val="16"/>
                <w:szCs w:val="16"/>
              </w:rPr>
            </w:pPr>
            <w:r w:rsidRPr="002E6F9F">
              <w:rPr>
                <w:rFonts w:ascii="Arial" w:hAnsi="Arial" w:cs="Arial"/>
                <w:sz w:val="16"/>
                <w:szCs w:val="16"/>
              </w:rPr>
              <w:t xml:space="preserve">ΦStaph1N, </w:t>
            </w:r>
            <w:r w:rsidRPr="002E6F9F">
              <w:rPr>
                <w:rFonts w:ascii="Arial" w:hAnsi="Arial" w:cs="Arial"/>
                <w:color w:val="000000"/>
                <w:sz w:val="16"/>
                <w:szCs w:val="16"/>
              </w:rPr>
              <w:t>Evo2</w:t>
            </w:r>
          </w:p>
        </w:tc>
        <w:tc>
          <w:tcPr>
            <w:tcW w:w="1215" w:type="dxa"/>
            <w:noWrap/>
            <w:vAlign w:val="center"/>
            <w:hideMark/>
          </w:tcPr>
          <w:p w14:paraId="39383D96" w14:textId="77777777" w:rsidR="006A5517" w:rsidRPr="00633AF0" w:rsidRDefault="006A5517" w:rsidP="00EC06DE">
            <w:pPr>
              <w:jc w:val="center"/>
              <w:rPr>
                <w:rFonts w:ascii="Arial" w:hAnsi="Arial" w:cs="Arial"/>
                <w:color w:val="000000"/>
                <w:sz w:val="16"/>
                <w:szCs w:val="16"/>
              </w:rPr>
            </w:pPr>
            <w:r>
              <w:rPr>
                <w:rFonts w:ascii="Arial" w:hAnsi="Arial" w:cs="Arial"/>
                <w:color w:val="000000"/>
                <w:sz w:val="16"/>
                <w:szCs w:val="16"/>
              </w:rPr>
              <w:fldChar w:fldCharType="begin"/>
            </w:r>
            <w:r>
              <w:rPr>
                <w:rFonts w:ascii="Arial" w:hAnsi="Arial" w:cs="Arial"/>
                <w:color w:val="000000"/>
                <w:sz w:val="16"/>
                <w:szCs w:val="16"/>
              </w:rPr>
              <w:instrText xml:space="preserve"> ADDIN ZOTERO_ITEM CSL_CITATION {"citationID":"2FHMvPUT","properties":{"formattedCitation":"\\super 42\\nosupersub{}","plainCitation":"42","noteIndex":0},"citationItems":[{"id":3304,"uris":["http://zotero.org/users/9750378/items/LA3ESAQC"],"itemData":{"id":3304,"type":"article-journal","abstract":"Tryptophan biosynthetic enzymes were assayed in various tryptophan mutants of\n              Staphylococcus aureus\n              strain 655 and the wild-type parent. All mutants, except\n              trpB\n              mutants, lacked only the activity corresponding to the particular biosynthetic block, as suggested previously by analysis of accumulated intermediates and auxonography. Tryptophan synthetase A was not detected in extracts of either\n              trpA\n              or\n              trpB\n              mutants but appeared normal in other mutants. Mutants in certain other classes exhibited partial loss of another particular tryptophan enzyme activity. Tryptophan synthetase B activity was not detected in cell extract preparations but was detected in whole cells. The original map order proposed for the\n              S. aureus\n              tryptophan gene cluster was clarified by the definition of\n              trpD\n              (phosphoribosyl transferase\n              −\n              ) and\n              trpF\n              (phosphoribosyl anthranilate isomerase\n              −\n              ) mutants. These mutants were previously unresolved and designated as\n              trp\n              (\n              DF\n              ) mutants (anthranilate accumulators). Phosphoribosyl anthranilate isomerase and indole-3-glycerol phosphate synthetase enzymes were separable by molecular sieve chromatography, suggesting that these functions are coded by separate loci. Molecular sieve chromatography failed to reveal aggregates involving anthranilate synthetase, phosphoribosyl transferase, phosphoribosyl anthranilate isomerase, and indole-3-glycerol phosphate synthetase, and this procedure provided an estimate of the molecular weights of these enzymes. Tryptophan was shown to repress synthesis of all six tryptophan biosynthetic enzymes, and derepression of all six activities was incident upon tryptophan starvation. Tryptophan inhibited the activity of anthranilate synthetase, the first enzyme of the pathway.","container-title":"Journal of Bacteriology","DOI":"10.1128/jb.114.1.169-177.1973","ISSN":"0021-9193, 1098-5530","issue":"1","journalAbbreviation":"J Bacteriol","language":"en","page":"169-177","source":"DOI.org (Crossref)","title":"Tryptophan Biosynthetic Enzymes of &lt;i&gt;Staphylococcus aureus&lt;/i&gt;","volume":"114","author":[{"family":"Proctor","given":"Alan R."},{"family":"Kloos","given":"Wesley E."}],"issued":{"date-parts":[["1973",4]]}}}],"schema":"https://github.com/citation-style-language/schema/raw/master/csl-citation.json"} </w:instrText>
            </w:r>
            <w:r>
              <w:rPr>
                <w:rFonts w:ascii="Arial" w:hAnsi="Arial" w:cs="Arial"/>
                <w:color w:val="000000"/>
                <w:sz w:val="16"/>
                <w:szCs w:val="16"/>
              </w:rPr>
              <w:fldChar w:fldCharType="separate"/>
            </w:r>
            <w:r w:rsidRPr="005F1507">
              <w:rPr>
                <w:rFonts w:ascii="Arial" w:hAnsi="Arial" w:cs="Arial"/>
                <w:color w:val="000000"/>
                <w:sz w:val="16"/>
                <w:vertAlign w:val="superscript"/>
              </w:rPr>
              <w:t>42</w:t>
            </w:r>
            <w:r>
              <w:rPr>
                <w:rFonts w:ascii="Arial" w:hAnsi="Arial" w:cs="Arial"/>
                <w:color w:val="000000"/>
                <w:sz w:val="16"/>
                <w:szCs w:val="16"/>
              </w:rPr>
              <w:fldChar w:fldCharType="end"/>
            </w:r>
          </w:p>
        </w:tc>
      </w:tr>
      <w:tr w:rsidR="006A5517" w:rsidRPr="00D44FBE" w14:paraId="70AAE688" w14:textId="77777777" w:rsidTr="00EC06DE">
        <w:trPr>
          <w:trHeight w:val="285"/>
        </w:trPr>
        <w:tc>
          <w:tcPr>
            <w:tcW w:w="760" w:type="dxa"/>
            <w:noWrap/>
            <w:vAlign w:val="center"/>
            <w:hideMark/>
          </w:tcPr>
          <w:p w14:paraId="2ADCF473" w14:textId="77777777" w:rsidR="006A5517" w:rsidRPr="002E6F9F" w:rsidRDefault="006A5517" w:rsidP="00EC06DE">
            <w:pPr>
              <w:jc w:val="center"/>
              <w:rPr>
                <w:rFonts w:ascii="Arial" w:hAnsi="Arial" w:cs="Arial"/>
                <w:i/>
                <w:iCs/>
                <w:color w:val="000000"/>
                <w:sz w:val="16"/>
                <w:szCs w:val="16"/>
              </w:rPr>
            </w:pPr>
            <w:proofErr w:type="spellStart"/>
            <w:r w:rsidRPr="002E6F9F">
              <w:rPr>
                <w:rFonts w:ascii="Arial" w:hAnsi="Arial" w:cs="Arial"/>
                <w:i/>
                <w:iCs/>
                <w:color w:val="000000"/>
                <w:sz w:val="16"/>
                <w:szCs w:val="16"/>
              </w:rPr>
              <w:t>femA</w:t>
            </w:r>
            <w:proofErr w:type="spellEnd"/>
          </w:p>
        </w:tc>
        <w:tc>
          <w:tcPr>
            <w:tcW w:w="3844" w:type="dxa"/>
            <w:noWrap/>
            <w:vAlign w:val="center"/>
            <w:hideMark/>
          </w:tcPr>
          <w:p w14:paraId="799AA2FC" w14:textId="3349F296" w:rsidR="006A5517" w:rsidRPr="009E74C0" w:rsidRDefault="009E74C0" w:rsidP="00EC06DE">
            <w:pPr>
              <w:jc w:val="center"/>
              <w:rPr>
                <w:rFonts w:ascii="Arial" w:hAnsi="Arial" w:cs="Arial"/>
                <w:color w:val="000000" w:themeColor="text1"/>
                <w:sz w:val="16"/>
                <w:szCs w:val="16"/>
                <w:lang w:val="es-PR"/>
              </w:rPr>
            </w:pPr>
            <w:r w:rsidRPr="009E74C0">
              <w:rPr>
                <w:rFonts w:ascii="Arial" w:hAnsi="Arial" w:cs="Arial"/>
                <w:color w:val="000000" w:themeColor="text1"/>
                <w:sz w:val="16"/>
                <w:szCs w:val="16"/>
                <w:lang w:val="es-PR"/>
              </w:rPr>
              <w:t>Síntesis de peptidogl</w:t>
            </w:r>
            <w:r>
              <w:rPr>
                <w:rFonts w:ascii="Arial" w:hAnsi="Arial" w:cs="Arial"/>
                <w:color w:val="000000" w:themeColor="text1"/>
                <w:sz w:val="16"/>
                <w:szCs w:val="16"/>
                <w:lang w:val="es-PR"/>
              </w:rPr>
              <w:t>í</w:t>
            </w:r>
            <w:r w:rsidRPr="009E74C0">
              <w:rPr>
                <w:rFonts w:ascii="Arial" w:hAnsi="Arial" w:cs="Arial"/>
                <w:color w:val="000000" w:themeColor="text1"/>
                <w:sz w:val="16"/>
                <w:szCs w:val="16"/>
                <w:lang w:val="es-PR"/>
              </w:rPr>
              <w:t>cano</w:t>
            </w:r>
            <w:r w:rsidR="006A5517" w:rsidRPr="009E74C0">
              <w:rPr>
                <w:rFonts w:ascii="Arial" w:hAnsi="Arial" w:cs="Arial"/>
                <w:color w:val="000000" w:themeColor="text1"/>
                <w:sz w:val="16"/>
                <w:szCs w:val="16"/>
                <w:lang w:val="es-PR"/>
              </w:rPr>
              <w:t>,</w:t>
            </w:r>
            <w:r w:rsidRPr="009E74C0">
              <w:rPr>
                <w:rFonts w:ascii="Arial" w:hAnsi="Arial" w:cs="Arial"/>
                <w:color w:val="000000" w:themeColor="text1"/>
                <w:sz w:val="16"/>
                <w:szCs w:val="16"/>
                <w:lang w:val="es-PR"/>
              </w:rPr>
              <w:t xml:space="preserve"> síntesis d</w:t>
            </w:r>
            <w:r>
              <w:rPr>
                <w:rFonts w:ascii="Arial" w:hAnsi="Arial" w:cs="Arial"/>
                <w:color w:val="000000" w:themeColor="text1"/>
                <w:sz w:val="16"/>
                <w:szCs w:val="16"/>
                <w:lang w:val="es-PR"/>
              </w:rPr>
              <w:t>e pentaglicina</w:t>
            </w:r>
          </w:p>
          <w:p w14:paraId="3C6B9B21" w14:textId="77777777" w:rsidR="006A5517" w:rsidRPr="009E74C0" w:rsidRDefault="006A5517" w:rsidP="00EC06DE">
            <w:pPr>
              <w:jc w:val="center"/>
              <w:rPr>
                <w:rFonts w:ascii="Arial" w:hAnsi="Arial" w:cs="Arial"/>
                <w:color w:val="000000" w:themeColor="text1"/>
                <w:sz w:val="16"/>
                <w:szCs w:val="16"/>
                <w:lang w:val="es-PR"/>
              </w:rPr>
            </w:pPr>
          </w:p>
        </w:tc>
        <w:tc>
          <w:tcPr>
            <w:tcW w:w="1535" w:type="dxa"/>
            <w:vAlign w:val="center"/>
          </w:tcPr>
          <w:p w14:paraId="072B04F4" w14:textId="77777777" w:rsidR="006A5517" w:rsidRPr="002E6F9F" w:rsidRDefault="006A5517" w:rsidP="00EC06DE">
            <w:pPr>
              <w:jc w:val="center"/>
              <w:rPr>
                <w:rFonts w:ascii="Arial" w:hAnsi="Arial" w:cs="Arial"/>
                <w:color w:val="000000"/>
                <w:sz w:val="16"/>
                <w:szCs w:val="16"/>
              </w:rPr>
            </w:pPr>
            <w:r w:rsidRPr="002E6F9F">
              <w:rPr>
                <w:rFonts w:ascii="Arial" w:hAnsi="Arial" w:cs="Arial"/>
                <w:color w:val="000000"/>
                <w:sz w:val="16"/>
                <w:szCs w:val="16"/>
              </w:rPr>
              <w:t>MRSA252</w:t>
            </w:r>
          </w:p>
        </w:tc>
        <w:tc>
          <w:tcPr>
            <w:tcW w:w="1997" w:type="dxa"/>
            <w:vAlign w:val="center"/>
          </w:tcPr>
          <w:p w14:paraId="1869AE74" w14:textId="77777777" w:rsidR="006A5517" w:rsidRPr="002E6F9F" w:rsidRDefault="006A5517" w:rsidP="00EC06DE">
            <w:pPr>
              <w:jc w:val="center"/>
              <w:rPr>
                <w:rFonts w:ascii="Arial" w:hAnsi="Arial" w:cs="Arial"/>
                <w:color w:val="000000"/>
                <w:sz w:val="16"/>
                <w:szCs w:val="16"/>
              </w:rPr>
            </w:pPr>
            <w:r w:rsidRPr="002E6F9F">
              <w:rPr>
                <w:rFonts w:ascii="Arial" w:hAnsi="Arial" w:cs="Arial"/>
                <w:sz w:val="16"/>
                <w:szCs w:val="16"/>
              </w:rPr>
              <w:t xml:space="preserve">ΦStaph1N, </w:t>
            </w:r>
            <w:r w:rsidRPr="002E6F9F">
              <w:rPr>
                <w:rFonts w:ascii="Arial" w:hAnsi="Arial" w:cs="Arial"/>
                <w:color w:val="000000"/>
                <w:sz w:val="16"/>
                <w:szCs w:val="16"/>
              </w:rPr>
              <w:t>Evo2</w:t>
            </w:r>
          </w:p>
        </w:tc>
        <w:tc>
          <w:tcPr>
            <w:tcW w:w="1215" w:type="dxa"/>
            <w:noWrap/>
            <w:vAlign w:val="center"/>
            <w:hideMark/>
          </w:tcPr>
          <w:p w14:paraId="29565941" w14:textId="77777777" w:rsidR="006A5517" w:rsidRPr="00D44FBE" w:rsidRDefault="006A5517" w:rsidP="00EC06DE">
            <w:pPr>
              <w:jc w:val="center"/>
              <w:rPr>
                <w:rFonts w:ascii="Arial" w:hAnsi="Arial" w:cs="Arial"/>
                <w:color w:val="000000"/>
                <w:sz w:val="16"/>
                <w:szCs w:val="16"/>
                <w:lang w:val="es-PR"/>
              </w:rPr>
            </w:pPr>
            <w:r>
              <w:rPr>
                <w:rFonts w:ascii="Arial" w:hAnsi="Arial" w:cs="Arial"/>
                <w:color w:val="000000"/>
                <w:sz w:val="16"/>
                <w:szCs w:val="16"/>
              </w:rPr>
              <w:fldChar w:fldCharType="begin"/>
            </w:r>
            <w:r>
              <w:rPr>
                <w:rFonts w:ascii="Arial" w:hAnsi="Arial" w:cs="Arial"/>
                <w:color w:val="000000"/>
                <w:sz w:val="16"/>
                <w:szCs w:val="16"/>
              </w:rPr>
              <w:instrText xml:space="preserve"> ADDIN ZOTERO_ITEM CSL_CITATION {"citationID":"Dycu15Da","properties":{"formattedCitation":"\\super 43,44\\nosupersub{}","plainCitation":"43,44","noteIndex":0},"citationItems":[{"id":3103,"uris":["http://zotero.org/users/9750378/items/BAELL5MB"],"itemData":{"id":3103,"type":"article-journal","abstract":"femA is a chromosomally encoded factor, occurring naturally in Staphylococcus aureus, which is essential for the expression of high-level methicillin resistance in this organism. The production of a low-affinity penicillin-binding protein, PBP2a or PBP2', which is intimately involved with methicillin resistance in S. aureus, is not influenced by femA. To elucidate a possible physiological function of the 48-kDa protein encoded by femA, several related methicillin-resistant, methicillin-susceptible, and Tn551 insertionally inactivated femA mutants were analyzed for possible changes in cell wall structure and metabolism. Independent of the presence of mec, the methicillin resistance determinant, all femA mutants had a reduced peptidoglycan (PG) glycine content (up to 60% in the molar ratio of glycine/glutamic acid) compared to that of related femA+ parent strains. Additional effects of femA inactivation and the subsequent decrease in PG-associated glycine were (i) reduced digestion of PG by recombinant lysostaphin, (ii) unaltered digestion of PG by Chalaropsis B-muramidase, (iii) reduced cell wall turnover, (iv) reduced whole-cell autolysis, and (v) increased sensitivity towards beta-lactam antibiotics. Also, the PG-associated glycine content of a femA::Tn551 methicillin-susceptible strain was restored concomitantly with the methicillin resistance to a level almost equal to that of its femA+ methicillin-resistant parent strain by introduction of plasmid pBBB31, encoding femA.","container-title":"Journal of B</w:instrText>
            </w:r>
            <w:r w:rsidRPr="00D44FBE">
              <w:rPr>
                <w:rFonts w:ascii="Arial" w:hAnsi="Arial" w:cs="Arial"/>
                <w:color w:val="000000"/>
                <w:sz w:val="16"/>
                <w:szCs w:val="16"/>
                <w:lang w:val="es-PR"/>
              </w:rPr>
              <w:instrText xml:space="preserve">acteriology","DOI":"10.1128/jb.173.11.3507-3513.1991","ISSN":"0021-9193, 1098-5530","issue":"11","journalAbbreviation":"J Bacteriol","language":"en","page":"3507-3513","source":"DOI.org (Crossref)","title":"femA, which encodes a factor essential for expression of methicillin resistance, affects glycine content of peptidoglycan in methicillin-resistant and methicillin-susceptible Staphylococcus aureus strains","volume":"173","author":[{"family":"Maidhof","given":"H"},{"family":"Reinicke","given":"B"},{"family":"Blümel","given":"P"},{"family":"Berger-Bächi","given":"B"},{"family":"Labischinski","given":"H"}],"issued":{"date-parts":[["1991",6]]}}},{"id":3104,"uris":["http://zotero.org/users/9750378/items/ZRMJPPAD"],"itemData":{"id":3104,"type":"article-journal","container-title":"Journal of the American Chemical Society","DOI":"10.1021/jacs.7b04881","ISSN":"0002-7863","issue":"29","journalAbbreviation":"J. Am. Chem. Soc.","note":"publisher: American Chemical Society","page":"9791-9794","title":"Peptidoglycan Cross-Linking Preferences of Staphylococcus aureus Penicillin-Binding Proteins Have Implications for Treating MRSA Infections","volume":"139","author":[{"family":"Srisuknimit","given":"Veerasak"},{"family":"Qiao","given":"Yuan"},{"family":"Schaefer","given":"Kaitlin"},{"family":"Kahne","given":"Daniel"},{"family":"Walker","given":"Suzanne"}],"issued":{"date-parts":[["2017",7,26]]}}}],"schema":"https://github.com/citation-style-language/schema/raw/master/csl-citation.json"} </w:instrText>
            </w:r>
            <w:r>
              <w:rPr>
                <w:rFonts w:ascii="Arial" w:hAnsi="Arial" w:cs="Arial"/>
                <w:color w:val="000000"/>
                <w:sz w:val="16"/>
                <w:szCs w:val="16"/>
              </w:rPr>
              <w:fldChar w:fldCharType="separate"/>
            </w:r>
            <w:r w:rsidRPr="00D44FBE">
              <w:rPr>
                <w:rFonts w:ascii="Arial" w:hAnsi="Arial" w:cs="Arial"/>
                <w:color w:val="000000"/>
                <w:sz w:val="16"/>
                <w:vertAlign w:val="superscript"/>
                <w:lang w:val="es-PR"/>
              </w:rPr>
              <w:t>43,44</w:t>
            </w:r>
            <w:r>
              <w:rPr>
                <w:rFonts w:ascii="Arial" w:hAnsi="Arial" w:cs="Arial"/>
                <w:color w:val="000000"/>
                <w:sz w:val="16"/>
                <w:szCs w:val="16"/>
              </w:rPr>
              <w:fldChar w:fldCharType="end"/>
            </w:r>
          </w:p>
        </w:tc>
      </w:tr>
      <w:tr w:rsidR="006A5517" w:rsidRPr="00D44FBE" w14:paraId="601FEABD" w14:textId="77777777" w:rsidTr="00EC06DE">
        <w:trPr>
          <w:trHeight w:val="285"/>
        </w:trPr>
        <w:tc>
          <w:tcPr>
            <w:tcW w:w="760" w:type="dxa"/>
            <w:noWrap/>
            <w:vAlign w:val="center"/>
            <w:hideMark/>
          </w:tcPr>
          <w:p w14:paraId="675ADA07" w14:textId="77777777" w:rsidR="006A5517" w:rsidRPr="00D44FBE" w:rsidRDefault="006A5517" w:rsidP="00EC06DE">
            <w:pPr>
              <w:jc w:val="center"/>
              <w:rPr>
                <w:rFonts w:ascii="Arial" w:hAnsi="Arial" w:cs="Arial"/>
                <w:i/>
                <w:iCs/>
                <w:color w:val="000000"/>
                <w:sz w:val="16"/>
                <w:szCs w:val="16"/>
                <w:lang w:val="es-PR"/>
              </w:rPr>
            </w:pPr>
            <w:r w:rsidRPr="00D44FBE">
              <w:rPr>
                <w:rFonts w:ascii="Arial" w:hAnsi="Arial" w:cs="Arial"/>
                <w:i/>
                <w:color w:val="000000" w:themeColor="text1"/>
                <w:sz w:val="16"/>
                <w:szCs w:val="16"/>
                <w:lang w:val="es-PR"/>
              </w:rPr>
              <w:t>murE</w:t>
            </w:r>
          </w:p>
        </w:tc>
        <w:tc>
          <w:tcPr>
            <w:tcW w:w="3844" w:type="dxa"/>
            <w:noWrap/>
            <w:vAlign w:val="center"/>
            <w:hideMark/>
          </w:tcPr>
          <w:p w14:paraId="236B2AAB" w14:textId="3A7711A5" w:rsidR="006A5517" w:rsidRPr="009E74C0" w:rsidRDefault="009E74C0" w:rsidP="00EC06DE">
            <w:pPr>
              <w:jc w:val="center"/>
              <w:rPr>
                <w:rFonts w:ascii="Arial" w:hAnsi="Arial" w:cs="Arial"/>
                <w:color w:val="000000" w:themeColor="text1"/>
                <w:sz w:val="16"/>
                <w:szCs w:val="16"/>
                <w:lang w:val="es-PR"/>
              </w:rPr>
            </w:pPr>
            <w:r w:rsidRPr="009E74C0">
              <w:rPr>
                <w:rFonts w:ascii="Arial" w:hAnsi="Arial" w:cs="Arial"/>
                <w:color w:val="000000" w:themeColor="text1"/>
                <w:sz w:val="16"/>
                <w:szCs w:val="16"/>
                <w:lang w:val="es-PR"/>
              </w:rPr>
              <w:t>Síntesis de peptidogl</w:t>
            </w:r>
            <w:r>
              <w:rPr>
                <w:rFonts w:ascii="Arial" w:hAnsi="Arial" w:cs="Arial"/>
                <w:color w:val="000000" w:themeColor="text1"/>
                <w:sz w:val="16"/>
                <w:szCs w:val="16"/>
                <w:lang w:val="es-PR"/>
              </w:rPr>
              <w:t>í</w:t>
            </w:r>
            <w:r w:rsidRPr="009E74C0">
              <w:rPr>
                <w:rFonts w:ascii="Arial" w:hAnsi="Arial" w:cs="Arial"/>
                <w:color w:val="000000" w:themeColor="text1"/>
                <w:sz w:val="16"/>
                <w:szCs w:val="16"/>
                <w:lang w:val="es-PR"/>
              </w:rPr>
              <w:t>cano</w:t>
            </w:r>
            <w:r w:rsidR="006A5517" w:rsidRPr="009E74C0">
              <w:rPr>
                <w:rFonts w:ascii="Arial" w:hAnsi="Arial" w:cs="Arial"/>
                <w:color w:val="000000" w:themeColor="text1"/>
                <w:sz w:val="16"/>
                <w:szCs w:val="16"/>
                <w:lang w:val="es-PR"/>
              </w:rPr>
              <w:t xml:space="preserve">, </w:t>
            </w:r>
            <w:r>
              <w:rPr>
                <w:rFonts w:ascii="Arial" w:hAnsi="Arial" w:cs="Arial"/>
                <w:color w:val="000000" w:themeColor="text1"/>
                <w:sz w:val="16"/>
                <w:szCs w:val="16"/>
                <w:lang w:val="es-PR"/>
              </w:rPr>
              <w:t xml:space="preserve">síntesis del tripéptido </w:t>
            </w:r>
            <w:r w:rsidR="006A5517" w:rsidRPr="009E74C0">
              <w:rPr>
                <w:rFonts w:ascii="Arial" w:hAnsi="Arial" w:cs="Arial"/>
                <w:color w:val="000000" w:themeColor="text1"/>
                <w:sz w:val="16"/>
                <w:szCs w:val="16"/>
                <w:lang w:val="es-PR"/>
              </w:rPr>
              <w:t xml:space="preserve">UDP-MurNAc </w:t>
            </w:r>
          </w:p>
        </w:tc>
        <w:tc>
          <w:tcPr>
            <w:tcW w:w="1535" w:type="dxa"/>
            <w:vAlign w:val="center"/>
          </w:tcPr>
          <w:p w14:paraId="615099B7" w14:textId="77777777" w:rsidR="006A5517" w:rsidRPr="00D44FBE" w:rsidRDefault="006A5517" w:rsidP="00EC06DE">
            <w:pPr>
              <w:jc w:val="center"/>
              <w:rPr>
                <w:rFonts w:ascii="Arial" w:hAnsi="Arial" w:cs="Arial"/>
                <w:color w:val="000000"/>
                <w:sz w:val="16"/>
                <w:szCs w:val="16"/>
                <w:lang w:val="es-PR"/>
              </w:rPr>
            </w:pPr>
            <w:r w:rsidRPr="00D44FBE">
              <w:rPr>
                <w:rFonts w:ascii="Arial" w:hAnsi="Arial" w:cs="Arial"/>
                <w:color w:val="000000"/>
                <w:sz w:val="16"/>
                <w:szCs w:val="16"/>
                <w:lang w:val="es-PR"/>
              </w:rPr>
              <w:t>MW2</w:t>
            </w:r>
          </w:p>
        </w:tc>
        <w:tc>
          <w:tcPr>
            <w:tcW w:w="1997" w:type="dxa"/>
            <w:vAlign w:val="center"/>
          </w:tcPr>
          <w:p w14:paraId="6C25F923" w14:textId="77777777" w:rsidR="006A5517" w:rsidRPr="00D44FBE" w:rsidRDefault="006A5517" w:rsidP="00EC06DE">
            <w:pPr>
              <w:jc w:val="center"/>
              <w:rPr>
                <w:rFonts w:ascii="Arial" w:hAnsi="Arial" w:cs="Arial"/>
                <w:color w:val="000000"/>
                <w:sz w:val="16"/>
                <w:szCs w:val="16"/>
                <w:lang w:val="es-PR"/>
              </w:rPr>
            </w:pPr>
            <w:r w:rsidRPr="002E6F9F">
              <w:rPr>
                <w:rFonts w:ascii="Arial" w:hAnsi="Arial" w:cs="Arial"/>
                <w:sz w:val="16"/>
                <w:szCs w:val="16"/>
              </w:rPr>
              <w:t>Φ</w:t>
            </w:r>
            <w:r w:rsidRPr="00D44FBE">
              <w:rPr>
                <w:rFonts w:ascii="Arial" w:hAnsi="Arial" w:cs="Arial"/>
                <w:sz w:val="16"/>
                <w:szCs w:val="16"/>
                <w:lang w:val="es-PR"/>
              </w:rPr>
              <w:t xml:space="preserve">Staph1N, </w:t>
            </w:r>
            <w:r w:rsidRPr="00D44FBE">
              <w:rPr>
                <w:rFonts w:ascii="Arial" w:hAnsi="Arial" w:cs="Arial"/>
                <w:color w:val="000000"/>
                <w:sz w:val="16"/>
                <w:szCs w:val="16"/>
                <w:lang w:val="es-PR"/>
              </w:rPr>
              <w:t>Evo2</w:t>
            </w:r>
          </w:p>
        </w:tc>
        <w:tc>
          <w:tcPr>
            <w:tcW w:w="1215" w:type="dxa"/>
            <w:noWrap/>
            <w:vAlign w:val="center"/>
            <w:hideMark/>
          </w:tcPr>
          <w:p w14:paraId="07D3B6FE" w14:textId="77777777" w:rsidR="006A5517" w:rsidRPr="00D44FBE" w:rsidRDefault="006A5517" w:rsidP="00EC06DE">
            <w:pPr>
              <w:jc w:val="center"/>
              <w:rPr>
                <w:rFonts w:ascii="Arial" w:hAnsi="Arial" w:cs="Arial"/>
                <w:color w:val="000000"/>
                <w:sz w:val="16"/>
                <w:szCs w:val="16"/>
                <w:lang w:val="es-PR"/>
              </w:rPr>
            </w:pPr>
            <w:r w:rsidRPr="00F5482F">
              <w:rPr>
                <w:rFonts w:ascii="Arial" w:hAnsi="Arial" w:cs="Arial"/>
                <w:color w:val="000000"/>
                <w:sz w:val="16"/>
                <w:szCs w:val="16"/>
              </w:rPr>
              <w:fldChar w:fldCharType="begin"/>
            </w:r>
            <w:r w:rsidRPr="00D44FBE">
              <w:rPr>
                <w:rFonts w:ascii="Arial" w:hAnsi="Arial" w:cs="Arial"/>
                <w:color w:val="000000"/>
                <w:sz w:val="16"/>
                <w:szCs w:val="16"/>
                <w:lang w:val="es-PR"/>
              </w:rPr>
              <w:instrText xml:space="preserve"> ADDIN ZOTERO_ITEM CSL_CITATION {"citationID":"BG9Lncj3","properties":{"formattedCitation":"\\super 45\\nosupersub{}","plainCitation":"45","noteIndex":0},"citationItems":[{"id":3306,"uris":["http://zotero.org/users/9750378/items/IQVKLL6X"],"itemData":{"id":3306,"type":"article-journal","abstract":"ABSTRACT\n            \n              It was shown earlier that Tn\n              551\n              inserted into the C-terminal region of\n              murE\n              of parental methicillin-resistant\n              Staphylococcus aureus\n              strain COL causes a drastic reduction in methicillin resistance, accompanied by accumulation of UDP-MurNAc dipeptide in the cell wall precursor pool and incorporation of these abnormal muropeptides into the peptidoglycan of the mutant. Methicillin resistance was recovered in a suppressor mutant. The\n              murE\n              gene of the same strain was then put under the control of the isopropyl-</w:instrText>
            </w:r>
            <w:r>
              <w:rPr>
                <w:rFonts w:ascii="Arial" w:hAnsi="Arial" w:cs="Arial"/>
                <w:color w:val="000000"/>
                <w:sz w:val="16"/>
                <w:szCs w:val="16"/>
              </w:rPr>
              <w:instrText>β</w:instrText>
            </w:r>
            <w:r w:rsidRPr="00D44FBE">
              <w:rPr>
                <w:rFonts w:ascii="Arial" w:hAnsi="Arial" w:cs="Arial"/>
                <w:color w:val="000000"/>
                <w:sz w:val="16"/>
                <w:szCs w:val="16"/>
                <w:lang w:val="es-PR"/>
              </w:rPr>
              <w:instrText>-\n              d\n              -thiogalactopyranoside (IPTG)-inducible promoter P\n              \n                spac\n              \n              . Bacteria grown in the presence of suboptimal concentrations of IPTG accumulated UDP-MurNAc dipeptide in the cell wall precursor pool. Both growth rates and methicillin resistance levels (but not resistance to other antibiotics) were a function of the IPTG concentration. Norther</w:instrText>
            </w:r>
            <w:r>
              <w:rPr>
                <w:rFonts w:ascii="Arial" w:hAnsi="Arial" w:cs="Arial"/>
                <w:color w:val="000000"/>
                <w:sz w:val="16"/>
                <w:szCs w:val="16"/>
              </w:rPr>
              <w:instrText xml:space="preserve">n analysis showed a gradual increase in the transcription of\n              murE\n              and also in the transcription of\n              pbpB\n     </w:instrText>
            </w:r>
            <w:r w:rsidRPr="00D44FBE">
              <w:rPr>
                <w:rFonts w:ascii="Arial" w:hAnsi="Arial" w:cs="Arial"/>
                <w:color w:val="000000"/>
                <w:sz w:val="16"/>
                <w:szCs w:val="16"/>
                <w:lang w:val="es-PR"/>
              </w:rPr>
              <w:instrText xml:space="preserve">         and\n              mecA\n              , parallel with the increasing concentrations of IPTG in the medium. A similar increase in the transcription of\n              pbpB\n              and\n              mecA\n              , the structural genes of penicillin-binding protein 2 (PBP2) and PBP2A, was also detected in the suppressor mutant. The expression of these two proteins, which are known to play critical roles in the mechanism of staphylococcal methicillin resistance, appears to be—directly or indirectly—under the control of the\n              murE\n              gene. Our data suggest that the drastic reduction of the methicillin MIC seen in the\n              murE\n              mutant may be caused by the insufficient cellular amounts of these two PBPs.","container-title":"Journal of Bacteriology","DOI":"10.1128/JB.186.6.1705-1713.2004","ISSN":"0021-9193, 1098-5530","issue":"6","journalAbbreviation":"J Bacteriol","language":"en","page":"1705-1713","source":"DOI.org (Crossref)","title":"Role of &lt;i&gt;murE&lt;/i&gt; in the Expression of </w:instrText>
            </w:r>
            <w:r>
              <w:rPr>
                <w:rFonts w:ascii="Arial" w:hAnsi="Arial" w:cs="Arial"/>
                <w:color w:val="000000"/>
                <w:sz w:val="16"/>
                <w:szCs w:val="16"/>
              </w:rPr>
              <w:instrText>β</w:instrText>
            </w:r>
            <w:r w:rsidRPr="00D44FBE">
              <w:rPr>
                <w:rFonts w:ascii="Arial" w:hAnsi="Arial" w:cs="Arial"/>
                <w:color w:val="000000"/>
                <w:sz w:val="16"/>
                <w:szCs w:val="16"/>
                <w:lang w:val="es-PR"/>
              </w:rPr>
              <w:instrText xml:space="preserve">-Lactam Antibiotic Resistance in &lt;i&gt;Staphylococcus aureus&lt;/i&gt;","volume":"186","author":[{"family":"Gardete","given":"S."},{"family":"Ludovice","given":"A. M."},{"family":"Sobral","given":"R. G."},{"family":"Filipe","given":"S. R."},{"family":"De Lencastre","given":"H."},{"family":"Tomasz","given":"A."}],"issued":{"date-parts":[["2004",3,15]]}}}],"schema":"https://github.com/citation-style-language/schema/raw/master/csl-citation.json"} </w:instrText>
            </w:r>
            <w:r w:rsidRPr="00F5482F">
              <w:rPr>
                <w:rFonts w:ascii="Arial" w:hAnsi="Arial" w:cs="Arial"/>
                <w:color w:val="000000"/>
                <w:sz w:val="16"/>
                <w:szCs w:val="16"/>
              </w:rPr>
              <w:fldChar w:fldCharType="separate"/>
            </w:r>
            <w:r w:rsidRPr="00D44FBE">
              <w:rPr>
                <w:rFonts w:ascii="Arial" w:hAnsi="Arial" w:cs="Arial"/>
                <w:color w:val="000000"/>
                <w:sz w:val="16"/>
                <w:vertAlign w:val="superscript"/>
                <w:lang w:val="es-PR"/>
              </w:rPr>
              <w:t>45</w:t>
            </w:r>
            <w:r w:rsidRPr="00F5482F">
              <w:rPr>
                <w:rFonts w:ascii="Arial" w:hAnsi="Arial" w:cs="Arial"/>
                <w:color w:val="000000"/>
                <w:sz w:val="16"/>
                <w:szCs w:val="16"/>
              </w:rPr>
              <w:fldChar w:fldCharType="end"/>
            </w:r>
          </w:p>
        </w:tc>
      </w:tr>
      <w:tr w:rsidR="006A5517" w:rsidRPr="00D44FBE" w14:paraId="70D62687" w14:textId="77777777" w:rsidTr="00EC06DE">
        <w:trPr>
          <w:trHeight w:val="285"/>
        </w:trPr>
        <w:tc>
          <w:tcPr>
            <w:tcW w:w="760" w:type="dxa"/>
            <w:noWrap/>
            <w:vAlign w:val="center"/>
            <w:hideMark/>
          </w:tcPr>
          <w:p w14:paraId="437D44E7" w14:textId="77777777" w:rsidR="006A5517" w:rsidRPr="00D44FBE" w:rsidRDefault="006A5517" w:rsidP="00EC06DE">
            <w:pPr>
              <w:jc w:val="center"/>
              <w:rPr>
                <w:rFonts w:ascii="Arial" w:hAnsi="Arial" w:cs="Arial"/>
                <w:i/>
                <w:iCs/>
                <w:color w:val="000000"/>
                <w:sz w:val="16"/>
                <w:szCs w:val="16"/>
                <w:lang w:val="es-PR"/>
              </w:rPr>
            </w:pPr>
            <w:r w:rsidRPr="00D44FBE">
              <w:rPr>
                <w:rFonts w:ascii="Arial" w:hAnsi="Arial" w:cs="Arial"/>
                <w:i/>
                <w:color w:val="000000" w:themeColor="text1"/>
                <w:sz w:val="16"/>
                <w:szCs w:val="16"/>
                <w:lang w:val="es-PR"/>
              </w:rPr>
              <w:t>trpS</w:t>
            </w:r>
          </w:p>
        </w:tc>
        <w:tc>
          <w:tcPr>
            <w:tcW w:w="3844" w:type="dxa"/>
            <w:noWrap/>
            <w:vAlign w:val="center"/>
            <w:hideMark/>
          </w:tcPr>
          <w:p w14:paraId="37C92F81" w14:textId="378E940E" w:rsidR="006A5517" w:rsidRPr="009E74C0" w:rsidRDefault="009E74C0" w:rsidP="00EC06DE">
            <w:pPr>
              <w:jc w:val="center"/>
              <w:rPr>
                <w:rFonts w:ascii="Arial" w:hAnsi="Arial" w:cs="Arial"/>
                <w:color w:val="000000" w:themeColor="text1"/>
                <w:sz w:val="16"/>
                <w:szCs w:val="16"/>
                <w:lang w:val="es-PR"/>
              </w:rPr>
            </w:pPr>
            <w:r w:rsidRPr="009E74C0">
              <w:rPr>
                <w:rFonts w:ascii="Arial" w:hAnsi="Arial" w:cs="Arial"/>
                <w:color w:val="000000" w:themeColor="text1"/>
                <w:sz w:val="16"/>
                <w:szCs w:val="16"/>
                <w:lang w:val="es-PR"/>
              </w:rPr>
              <w:t>Síntesis de a</w:t>
            </w:r>
            <w:r w:rsidR="006A5517" w:rsidRPr="009E74C0">
              <w:rPr>
                <w:rFonts w:ascii="Arial" w:hAnsi="Arial" w:cs="Arial"/>
                <w:color w:val="000000" w:themeColor="text1"/>
                <w:sz w:val="16"/>
                <w:szCs w:val="16"/>
                <w:lang w:val="es-PR"/>
              </w:rPr>
              <w:t>minoac</w:t>
            </w:r>
            <w:r w:rsidRPr="009E74C0">
              <w:rPr>
                <w:rFonts w:ascii="Arial" w:hAnsi="Arial" w:cs="Arial"/>
                <w:color w:val="000000" w:themeColor="text1"/>
                <w:sz w:val="16"/>
                <w:szCs w:val="16"/>
                <w:lang w:val="es-PR"/>
              </w:rPr>
              <w:t>i</w:t>
            </w:r>
            <w:r w:rsidR="006A5517" w:rsidRPr="009E74C0">
              <w:rPr>
                <w:rFonts w:ascii="Arial" w:hAnsi="Arial" w:cs="Arial"/>
                <w:color w:val="000000" w:themeColor="text1"/>
                <w:sz w:val="16"/>
                <w:szCs w:val="16"/>
                <w:lang w:val="es-PR"/>
              </w:rPr>
              <w:t>l-</w:t>
            </w:r>
            <w:r w:rsidRPr="009E74C0">
              <w:rPr>
                <w:rFonts w:ascii="Arial" w:hAnsi="Arial" w:cs="Arial"/>
                <w:color w:val="000000" w:themeColor="text1"/>
                <w:sz w:val="16"/>
                <w:szCs w:val="16"/>
                <w:lang w:val="es-PR"/>
              </w:rPr>
              <w:t>ARNt</w:t>
            </w:r>
            <w:r w:rsidR="006A5517" w:rsidRPr="009E74C0">
              <w:rPr>
                <w:rFonts w:ascii="Arial" w:hAnsi="Arial" w:cs="Arial"/>
                <w:color w:val="000000" w:themeColor="text1"/>
                <w:sz w:val="16"/>
                <w:szCs w:val="16"/>
                <w:lang w:val="es-PR"/>
              </w:rPr>
              <w:t xml:space="preserve">, </w:t>
            </w:r>
            <w:r w:rsidRPr="009E74C0">
              <w:rPr>
                <w:rFonts w:ascii="Arial" w:hAnsi="Arial" w:cs="Arial"/>
                <w:color w:val="000000" w:themeColor="text1"/>
                <w:sz w:val="16"/>
                <w:szCs w:val="16"/>
                <w:lang w:val="es-PR"/>
              </w:rPr>
              <w:t>síntesis d</w:t>
            </w:r>
            <w:r>
              <w:rPr>
                <w:rFonts w:ascii="Arial" w:hAnsi="Arial" w:cs="Arial"/>
                <w:color w:val="000000" w:themeColor="text1"/>
                <w:sz w:val="16"/>
                <w:szCs w:val="16"/>
                <w:lang w:val="es-PR"/>
              </w:rPr>
              <w:t xml:space="preserve">e </w:t>
            </w:r>
            <w:r w:rsidR="006A5517" w:rsidRPr="009E74C0">
              <w:rPr>
                <w:rFonts w:ascii="Arial" w:hAnsi="Arial" w:cs="Arial"/>
                <w:color w:val="000000" w:themeColor="text1"/>
                <w:sz w:val="16"/>
                <w:szCs w:val="16"/>
                <w:lang w:val="es-PR"/>
              </w:rPr>
              <w:t>tr</w:t>
            </w:r>
            <w:r>
              <w:rPr>
                <w:rFonts w:ascii="Arial" w:hAnsi="Arial" w:cs="Arial"/>
                <w:color w:val="000000" w:themeColor="text1"/>
                <w:sz w:val="16"/>
                <w:szCs w:val="16"/>
                <w:lang w:val="es-PR"/>
              </w:rPr>
              <w:t>i</w:t>
            </w:r>
            <w:r w:rsidR="006A5517" w:rsidRPr="009E74C0">
              <w:rPr>
                <w:rFonts w:ascii="Arial" w:hAnsi="Arial" w:cs="Arial"/>
                <w:color w:val="000000" w:themeColor="text1"/>
                <w:sz w:val="16"/>
                <w:szCs w:val="16"/>
                <w:lang w:val="es-PR"/>
              </w:rPr>
              <w:t>pto</w:t>
            </w:r>
            <w:r>
              <w:rPr>
                <w:rFonts w:ascii="Arial" w:hAnsi="Arial" w:cs="Arial"/>
                <w:color w:val="000000" w:themeColor="text1"/>
                <w:sz w:val="16"/>
                <w:szCs w:val="16"/>
                <w:lang w:val="es-PR"/>
              </w:rPr>
              <w:t>f</w:t>
            </w:r>
            <w:r w:rsidR="006A5517" w:rsidRPr="009E74C0">
              <w:rPr>
                <w:rFonts w:ascii="Arial" w:hAnsi="Arial" w:cs="Arial"/>
                <w:color w:val="000000" w:themeColor="text1"/>
                <w:sz w:val="16"/>
                <w:szCs w:val="16"/>
                <w:lang w:val="es-PR"/>
              </w:rPr>
              <w:t>an</w:t>
            </w:r>
            <w:r>
              <w:rPr>
                <w:rFonts w:ascii="Arial" w:hAnsi="Arial" w:cs="Arial"/>
                <w:color w:val="000000" w:themeColor="text1"/>
                <w:sz w:val="16"/>
                <w:szCs w:val="16"/>
                <w:lang w:val="es-PR"/>
              </w:rPr>
              <w:t>i</w:t>
            </w:r>
            <w:r w:rsidR="006A5517" w:rsidRPr="009E74C0">
              <w:rPr>
                <w:rFonts w:ascii="Arial" w:hAnsi="Arial" w:cs="Arial"/>
                <w:color w:val="000000" w:themeColor="text1"/>
                <w:sz w:val="16"/>
                <w:szCs w:val="16"/>
                <w:lang w:val="es-PR"/>
              </w:rPr>
              <w:t>l-</w:t>
            </w:r>
            <w:r>
              <w:rPr>
                <w:rFonts w:ascii="Arial" w:hAnsi="Arial" w:cs="Arial"/>
                <w:color w:val="000000" w:themeColor="text1"/>
                <w:sz w:val="16"/>
                <w:szCs w:val="16"/>
                <w:lang w:val="es-PR"/>
              </w:rPr>
              <w:t>ARNt</w:t>
            </w:r>
            <w:r w:rsidR="006A5517" w:rsidRPr="009E74C0">
              <w:rPr>
                <w:rFonts w:ascii="Arial" w:hAnsi="Arial" w:cs="Arial"/>
                <w:color w:val="000000" w:themeColor="text1"/>
                <w:sz w:val="16"/>
                <w:szCs w:val="16"/>
                <w:lang w:val="es-PR"/>
              </w:rPr>
              <w:t xml:space="preserve"> </w:t>
            </w:r>
          </w:p>
        </w:tc>
        <w:tc>
          <w:tcPr>
            <w:tcW w:w="1535" w:type="dxa"/>
            <w:vAlign w:val="center"/>
          </w:tcPr>
          <w:p w14:paraId="3C303CAF" w14:textId="77777777" w:rsidR="006A5517" w:rsidRPr="00D44FBE" w:rsidRDefault="006A5517" w:rsidP="00EC06DE">
            <w:pPr>
              <w:jc w:val="center"/>
              <w:rPr>
                <w:rFonts w:ascii="Arial" w:hAnsi="Arial" w:cs="Arial"/>
                <w:color w:val="000000"/>
                <w:sz w:val="16"/>
                <w:szCs w:val="16"/>
                <w:lang w:val="es-PR"/>
              </w:rPr>
            </w:pPr>
            <w:r w:rsidRPr="00D44FBE">
              <w:rPr>
                <w:rFonts w:ascii="Arial" w:hAnsi="Arial" w:cs="Arial"/>
                <w:color w:val="000000"/>
                <w:sz w:val="16"/>
                <w:szCs w:val="16"/>
                <w:lang w:val="es-PR"/>
              </w:rPr>
              <w:t>MW2</w:t>
            </w:r>
          </w:p>
        </w:tc>
        <w:tc>
          <w:tcPr>
            <w:tcW w:w="1997" w:type="dxa"/>
            <w:vAlign w:val="center"/>
          </w:tcPr>
          <w:p w14:paraId="2194D0BB" w14:textId="77777777" w:rsidR="006A5517" w:rsidRPr="00D44FBE" w:rsidRDefault="006A5517" w:rsidP="00EC06DE">
            <w:pPr>
              <w:jc w:val="center"/>
              <w:rPr>
                <w:rFonts w:ascii="Arial" w:hAnsi="Arial" w:cs="Arial"/>
                <w:color w:val="000000"/>
                <w:sz w:val="16"/>
                <w:szCs w:val="16"/>
                <w:lang w:val="es-PR"/>
              </w:rPr>
            </w:pPr>
            <w:r w:rsidRPr="002E6F9F">
              <w:rPr>
                <w:rFonts w:ascii="Arial" w:hAnsi="Arial" w:cs="Arial"/>
                <w:sz w:val="16"/>
                <w:szCs w:val="16"/>
              </w:rPr>
              <w:t>Φ</w:t>
            </w:r>
            <w:r w:rsidRPr="00D44FBE">
              <w:rPr>
                <w:rFonts w:ascii="Arial" w:hAnsi="Arial" w:cs="Arial"/>
                <w:sz w:val="16"/>
                <w:szCs w:val="16"/>
                <w:lang w:val="es-PR"/>
              </w:rPr>
              <w:t xml:space="preserve">Staph1N, </w:t>
            </w:r>
            <w:r w:rsidRPr="00D44FBE">
              <w:rPr>
                <w:rFonts w:ascii="Arial" w:hAnsi="Arial" w:cs="Arial"/>
                <w:color w:val="000000"/>
                <w:sz w:val="16"/>
                <w:szCs w:val="16"/>
                <w:lang w:val="es-PR"/>
              </w:rPr>
              <w:t>Evo2</w:t>
            </w:r>
          </w:p>
        </w:tc>
        <w:tc>
          <w:tcPr>
            <w:tcW w:w="1215" w:type="dxa"/>
            <w:noWrap/>
            <w:vAlign w:val="center"/>
            <w:hideMark/>
          </w:tcPr>
          <w:p w14:paraId="65185087" w14:textId="77777777" w:rsidR="006A5517" w:rsidRPr="00D44FBE" w:rsidRDefault="006A5517" w:rsidP="00EC06DE">
            <w:pPr>
              <w:jc w:val="center"/>
              <w:rPr>
                <w:rFonts w:ascii="Arial" w:hAnsi="Arial" w:cs="Arial"/>
                <w:color w:val="000000"/>
                <w:sz w:val="16"/>
                <w:szCs w:val="16"/>
                <w:lang w:val="es-PR"/>
              </w:rPr>
            </w:pPr>
            <w:r>
              <w:rPr>
                <w:rFonts w:ascii="Arial" w:hAnsi="Arial" w:cs="Arial"/>
                <w:color w:val="000000"/>
                <w:sz w:val="16"/>
                <w:szCs w:val="16"/>
              </w:rPr>
              <w:fldChar w:fldCharType="begin"/>
            </w:r>
            <w:r w:rsidRPr="00D44FBE">
              <w:rPr>
                <w:rFonts w:ascii="Arial" w:hAnsi="Arial" w:cs="Arial"/>
                <w:color w:val="000000"/>
                <w:sz w:val="16"/>
                <w:szCs w:val="16"/>
                <w:lang w:val="es-PR"/>
              </w:rPr>
              <w:instrText xml:space="preserve"> ADDIN ZOTERO_ITEM CSL_CITATION {"citationID":"ZMWTu0bE","properties":{"formattedCitation":"\\super 46\\nosupersub{}","plainCitation":"46","noteIndex":0},"citationItems":[{"id":3318,"uris":["http://zotero.org/users/9750378/items/2L8RU4H3"],"itemData":{"id":3318,"type":"article-journal","container-title":"Journal of Biological Chemistry","DOI":"10.1016/S0021-9258(18)83740-1","ISSN":"00219258","issue":"8","journalAbbreviation":"Journal of Biological Chemistry","language":"en","license":"https://www.elsevier.com/tdm/userlicense/1.0/","page":"4304-4311","source":"DOI.org (Crossref)","title":"Tryptophanyl-tRNA synthetase from Bacillus subtilis","volume":"264","author":[{"family":"Xu","given":"Z J"},{"family":"Love","given":"M L"},{"family":"Ma","given":"L Y"},{"family":"Blum","given":"M"},{"family":"Bronskill","given":"P M"},{"family":"Bernstein","given":"J"},{"family":"Grey","given":"A A"},{"family":"Hofmann","given":"T"},{"family":"Camerman","given":"N"},{"family":"Wong","given":"J T"}],"issued":{"date-parts":[["1989",3]]}}}],"schema":"https://github.com/citation-style-language/schema/raw/master/csl-citation.json"} </w:instrText>
            </w:r>
            <w:r>
              <w:rPr>
                <w:rFonts w:ascii="Arial" w:hAnsi="Arial" w:cs="Arial"/>
                <w:color w:val="000000"/>
                <w:sz w:val="16"/>
                <w:szCs w:val="16"/>
              </w:rPr>
              <w:fldChar w:fldCharType="separate"/>
            </w:r>
            <w:r w:rsidRPr="00D44FBE">
              <w:rPr>
                <w:rFonts w:ascii="Arial" w:hAnsi="Arial" w:cs="Arial"/>
                <w:color w:val="000000"/>
                <w:sz w:val="16"/>
                <w:vertAlign w:val="superscript"/>
                <w:lang w:val="es-PR"/>
              </w:rPr>
              <w:t>46</w:t>
            </w:r>
            <w:r>
              <w:rPr>
                <w:rFonts w:ascii="Arial" w:hAnsi="Arial" w:cs="Arial"/>
                <w:color w:val="000000"/>
                <w:sz w:val="16"/>
                <w:szCs w:val="16"/>
              </w:rPr>
              <w:fldChar w:fldCharType="end"/>
            </w:r>
          </w:p>
        </w:tc>
      </w:tr>
      <w:tr w:rsidR="006A5517" w:rsidRPr="002E6F9F" w14:paraId="6073997E" w14:textId="77777777" w:rsidTr="00EC06DE">
        <w:trPr>
          <w:trHeight w:val="285"/>
        </w:trPr>
        <w:tc>
          <w:tcPr>
            <w:tcW w:w="760" w:type="dxa"/>
            <w:noWrap/>
            <w:vAlign w:val="center"/>
            <w:hideMark/>
          </w:tcPr>
          <w:p w14:paraId="629100ED" w14:textId="77777777" w:rsidR="006A5517" w:rsidRPr="00D44FBE" w:rsidRDefault="006A5517" w:rsidP="00EC06DE">
            <w:pPr>
              <w:jc w:val="center"/>
              <w:rPr>
                <w:rFonts w:ascii="Arial" w:hAnsi="Arial" w:cs="Arial"/>
                <w:i/>
                <w:iCs/>
                <w:color w:val="000000" w:themeColor="text1"/>
                <w:sz w:val="16"/>
                <w:szCs w:val="16"/>
                <w:lang w:val="es-PR"/>
              </w:rPr>
            </w:pPr>
            <w:r w:rsidRPr="00D44FBE">
              <w:rPr>
                <w:rFonts w:ascii="Arial" w:hAnsi="Arial" w:cs="Arial"/>
                <w:i/>
                <w:iCs/>
                <w:color w:val="000000" w:themeColor="text1"/>
                <w:sz w:val="16"/>
                <w:szCs w:val="16"/>
                <w:lang w:val="es-PR"/>
              </w:rPr>
              <w:t>ytqA</w:t>
            </w:r>
          </w:p>
        </w:tc>
        <w:tc>
          <w:tcPr>
            <w:tcW w:w="3844" w:type="dxa"/>
            <w:noWrap/>
            <w:vAlign w:val="center"/>
            <w:hideMark/>
          </w:tcPr>
          <w:p w14:paraId="6FDD75E9" w14:textId="5434DA38" w:rsidR="006A5517" w:rsidRPr="009E74C0" w:rsidRDefault="009E74C0" w:rsidP="00EC06DE">
            <w:pPr>
              <w:jc w:val="center"/>
              <w:rPr>
                <w:rFonts w:ascii="Arial" w:eastAsia="Arial" w:hAnsi="Arial" w:cs="Arial"/>
                <w:color w:val="000000" w:themeColor="text1"/>
                <w:sz w:val="16"/>
                <w:szCs w:val="16"/>
                <w:lang w:val="es-PR"/>
              </w:rPr>
            </w:pPr>
            <w:r w:rsidRPr="009E74C0">
              <w:rPr>
                <w:rFonts w:ascii="Arial" w:eastAsia="Arial" w:hAnsi="Arial" w:cs="Arial"/>
                <w:color w:val="000000" w:themeColor="text1"/>
                <w:sz w:val="16"/>
                <w:szCs w:val="16"/>
                <w:lang w:val="es-PR"/>
              </w:rPr>
              <w:t>Modificaciones de ARNt</w:t>
            </w:r>
            <w:r w:rsidR="006A5517" w:rsidRPr="009E74C0">
              <w:rPr>
                <w:rFonts w:ascii="Arial" w:eastAsia="Arial" w:hAnsi="Arial" w:cs="Arial"/>
                <w:color w:val="000000" w:themeColor="text1"/>
                <w:sz w:val="16"/>
                <w:szCs w:val="16"/>
                <w:lang w:val="es-PR"/>
              </w:rPr>
              <w:t xml:space="preserve">, </w:t>
            </w:r>
            <w:r w:rsidRPr="009E74C0">
              <w:rPr>
                <w:rFonts w:ascii="Arial" w:eastAsia="Arial" w:hAnsi="Arial" w:cs="Arial"/>
                <w:color w:val="000000" w:themeColor="text1"/>
                <w:sz w:val="16"/>
                <w:szCs w:val="16"/>
                <w:lang w:val="es-PR"/>
              </w:rPr>
              <w:t xml:space="preserve">síntesis de </w:t>
            </w:r>
            <w:r w:rsidR="006A5517" w:rsidRPr="009E74C0">
              <w:rPr>
                <w:rFonts w:ascii="Arial" w:eastAsia="Arial" w:hAnsi="Arial" w:cs="Arial"/>
                <w:color w:val="000000" w:themeColor="text1"/>
                <w:sz w:val="16"/>
                <w:szCs w:val="16"/>
                <w:lang w:val="es-PR"/>
              </w:rPr>
              <w:t>mnm</w:t>
            </w:r>
            <w:r w:rsidR="006A5517" w:rsidRPr="009E74C0">
              <w:rPr>
                <w:rFonts w:ascii="Arial" w:eastAsia="Arial" w:hAnsi="Arial" w:cs="Arial"/>
                <w:color w:val="000000" w:themeColor="text1"/>
                <w:sz w:val="16"/>
                <w:szCs w:val="16"/>
                <w:vertAlign w:val="superscript"/>
                <w:lang w:val="es-PR"/>
              </w:rPr>
              <w:t>5</w:t>
            </w:r>
            <w:r w:rsidR="006A5517" w:rsidRPr="009E74C0">
              <w:rPr>
                <w:rFonts w:ascii="Arial" w:eastAsia="Arial" w:hAnsi="Arial" w:cs="Arial"/>
                <w:color w:val="000000" w:themeColor="text1"/>
                <w:sz w:val="16"/>
                <w:szCs w:val="16"/>
                <w:lang w:val="es-PR"/>
              </w:rPr>
              <w:t>s</w:t>
            </w:r>
            <w:r w:rsidR="006A5517" w:rsidRPr="009E74C0">
              <w:rPr>
                <w:rFonts w:ascii="Arial" w:eastAsia="Arial" w:hAnsi="Arial" w:cs="Arial"/>
                <w:color w:val="000000" w:themeColor="text1"/>
                <w:sz w:val="16"/>
                <w:szCs w:val="16"/>
                <w:vertAlign w:val="superscript"/>
                <w:lang w:val="es-PR"/>
              </w:rPr>
              <w:t>2</w:t>
            </w:r>
            <w:r w:rsidR="006A5517" w:rsidRPr="009E74C0">
              <w:rPr>
                <w:rFonts w:ascii="Arial" w:eastAsia="Arial" w:hAnsi="Arial" w:cs="Arial"/>
                <w:color w:val="000000" w:themeColor="text1"/>
                <w:sz w:val="16"/>
                <w:szCs w:val="16"/>
                <w:lang w:val="es-PR"/>
              </w:rPr>
              <w:t xml:space="preserve">U </w:t>
            </w:r>
          </w:p>
        </w:tc>
        <w:tc>
          <w:tcPr>
            <w:tcW w:w="1535" w:type="dxa"/>
            <w:vAlign w:val="center"/>
          </w:tcPr>
          <w:p w14:paraId="1E01687A" w14:textId="77777777" w:rsidR="006A5517" w:rsidRPr="00D44FBE" w:rsidRDefault="006A5517" w:rsidP="00EC06DE">
            <w:pPr>
              <w:jc w:val="center"/>
              <w:rPr>
                <w:rFonts w:ascii="Arial" w:hAnsi="Arial" w:cs="Arial"/>
                <w:color w:val="000000" w:themeColor="text1"/>
                <w:sz w:val="16"/>
                <w:szCs w:val="16"/>
                <w:lang w:val="es-PR"/>
              </w:rPr>
            </w:pPr>
            <w:r w:rsidRPr="00D44FBE">
              <w:rPr>
                <w:rFonts w:ascii="Arial" w:hAnsi="Arial" w:cs="Arial"/>
                <w:color w:val="000000" w:themeColor="text1"/>
                <w:sz w:val="16"/>
                <w:szCs w:val="16"/>
                <w:lang w:val="es-PR"/>
              </w:rPr>
              <w:t>MW2</w:t>
            </w:r>
          </w:p>
        </w:tc>
        <w:tc>
          <w:tcPr>
            <w:tcW w:w="1997" w:type="dxa"/>
            <w:vAlign w:val="center"/>
          </w:tcPr>
          <w:p w14:paraId="3711DB79" w14:textId="77777777" w:rsidR="006A5517" w:rsidRPr="00D44FBE" w:rsidRDefault="006A5517" w:rsidP="00EC06DE">
            <w:pPr>
              <w:jc w:val="center"/>
              <w:rPr>
                <w:rFonts w:ascii="Arial" w:hAnsi="Arial" w:cs="Arial"/>
                <w:sz w:val="16"/>
                <w:szCs w:val="16"/>
                <w:lang w:val="es-PR"/>
              </w:rPr>
            </w:pPr>
            <w:r w:rsidRPr="7FE602B7">
              <w:rPr>
                <w:rFonts w:ascii="Arial" w:hAnsi="Arial" w:cs="Arial"/>
                <w:sz w:val="16"/>
                <w:szCs w:val="16"/>
              </w:rPr>
              <w:t>Φ</w:t>
            </w:r>
            <w:r w:rsidRPr="00D44FBE">
              <w:rPr>
                <w:rFonts w:ascii="Arial" w:hAnsi="Arial" w:cs="Arial"/>
                <w:sz w:val="16"/>
                <w:szCs w:val="16"/>
                <w:lang w:val="es-PR"/>
              </w:rPr>
              <w:t xml:space="preserve">Staph1N, </w:t>
            </w:r>
            <w:r w:rsidRPr="00D44FBE">
              <w:rPr>
                <w:rFonts w:ascii="Arial" w:hAnsi="Arial" w:cs="Arial"/>
                <w:color w:val="000000" w:themeColor="text1"/>
                <w:sz w:val="16"/>
                <w:szCs w:val="16"/>
                <w:lang w:val="es-PR"/>
              </w:rPr>
              <w:t>Evo2</w:t>
            </w:r>
          </w:p>
        </w:tc>
        <w:tc>
          <w:tcPr>
            <w:tcW w:w="1215" w:type="dxa"/>
            <w:noWrap/>
            <w:vAlign w:val="center"/>
            <w:hideMark/>
          </w:tcPr>
          <w:p w14:paraId="431D91EA" w14:textId="77777777" w:rsidR="006A5517" w:rsidRPr="002E6F9F" w:rsidRDefault="006A5517" w:rsidP="00EC06DE">
            <w:pPr>
              <w:jc w:val="center"/>
              <w:rPr>
                <w:rFonts w:ascii="Arial" w:hAnsi="Arial" w:cs="Arial"/>
                <w:color w:val="000000"/>
                <w:sz w:val="16"/>
                <w:szCs w:val="16"/>
              </w:rPr>
            </w:pPr>
            <w:r>
              <w:rPr>
                <w:rFonts w:ascii="Arial" w:hAnsi="Arial" w:cs="Arial"/>
                <w:color w:val="000000"/>
                <w:sz w:val="16"/>
                <w:szCs w:val="16"/>
              </w:rPr>
              <w:fldChar w:fldCharType="begin"/>
            </w:r>
            <w:r w:rsidRPr="00D44FBE">
              <w:rPr>
                <w:rFonts w:ascii="Arial" w:hAnsi="Arial" w:cs="Arial"/>
                <w:color w:val="000000"/>
                <w:sz w:val="16"/>
                <w:szCs w:val="16"/>
                <w:lang w:val="es-PR"/>
              </w:rPr>
              <w:instrText xml:space="preserve"> ADDIN ZOTERO_ITEM CSL_CITATION {"citationID":"MpdXIRkq","properties":{"formattedCitation":"\\super 47\\nosupersub{}","plainCitation":"47","noteIndex":0},"citationItems":[{"id":3310,"uris":["http://zotero.o</w:instrText>
            </w:r>
            <w:r>
              <w:rPr>
                <w:rFonts w:ascii="Arial" w:hAnsi="Arial" w:cs="Arial"/>
                <w:color w:val="000000"/>
                <w:sz w:val="16"/>
                <w:szCs w:val="16"/>
              </w:rPr>
              <w:instrText xml:space="preserve">rg/users/9750378/items/35LTHLVV"],"itemData":{"id":3310,"type":"article-journal","abstract":"The wobble bases of tRNAs that decode split codons are often heavily modified. In bacteria, tRNAGlu, Gln, Asp contains a variety of xnm5s2U derivatives. The synthesis pathway for these modifications is complex and fully elucidated only in a handful of organisms, including the Gram-negative Escherichia coli K12 model. Despite the ubiquitous presence of mnm5s2U modification, genomic analysis shows the absence of mnmC orthologous genes, suggesting the occurrence of alternate biosynthetic schemes for the conversion of cmnm5s2U to mnm5s2U. Using a combination of compara­ tive genomics and genetic studies, a member of the YtqA subgroup of the radical Sam superfamily was found to be involved in the synthesis of mnm5s2U in both Bacillus subtilis and Streptococcus mutans. This protein, renamed MnmL, is encoded in an operon with the recently discovered MnmM methylase involved in the methylation of the pathway intermediate nm5s2U into mnm5s2U in B. subtilis. Analysis of tRNA modifications of both S. mutans and Streptococcus pneumoniae shows that growth conditions and genetic backgrounds influence the ratios of pathway intermediates owing to regulatory loops that are not yet understood. The MnmLM pathway is widespread along the bacterial tree, with some phyla, such as Bacilli, relying exclusively on these two enzymes. Although mechanistic details of these newly discovered components are not fully resolved, the occurrence of fusion proteins, alternate arrangements of biosynthetic components, and loss of biosynthetic branches provide examples of biosynthetic diversity to retain a conserved tRNA modification in Nature.","container-title":"Journal of Bacteriology","DOI":"10.1128/jb.00452-23","ISSN":"0021-9193, 1098-5530","issue":"4","journalAbbreviation":"J Bacteriol","language":"en","page":"e00452-23","source":"DOI.org (Crossref)","title":"Alternate routes to mnm &lt;sup&gt;5&lt;/sup&gt; s &lt;sup&gt;2&lt;/sup&gt; U synthesis in Gram-positive bacteria","volume":"206","author":[{"family":"Jaroch","given":"Marshall"},{"family":"Sun","given":"Guangxin"},{"family":"Tsui","given":"Ho-Ching Tiffany"},{"family":"Reed","given":"Colbie"},{"family":"Sun","given":"Jingjing"},{"family":"Jörg","given":"Marko"},{"family":"Winkler","given":"Malcolm E."},{"family":"Rice","given":"Kelly C."},{"family":"Dziergowska","given":"Agnieszka"},{"family":"Stich","given":"Troy A."},{"family":"Dedon","given":"Peter C."},{"family":"Dos Santos","given":"Patricia C."},{"family":"De Crécy-Lagard","given":"Valérie"}],"editor":[{"family":"Henkin","given":"Tina M."}],"issued":{"date-parts":[["2024",4,18]]}}}],"schema":"https://github.com/citation-style-language/schema/raw/master/csl-citation.json"} </w:instrText>
            </w:r>
            <w:r>
              <w:rPr>
                <w:rFonts w:ascii="Arial" w:hAnsi="Arial" w:cs="Arial"/>
                <w:color w:val="000000"/>
                <w:sz w:val="16"/>
                <w:szCs w:val="16"/>
              </w:rPr>
              <w:fldChar w:fldCharType="separate"/>
            </w:r>
            <w:r w:rsidRPr="005F1507">
              <w:rPr>
                <w:rFonts w:ascii="Arial" w:hAnsi="Arial" w:cs="Arial"/>
                <w:color w:val="000000"/>
                <w:sz w:val="16"/>
                <w:vertAlign w:val="superscript"/>
              </w:rPr>
              <w:t>47</w:t>
            </w:r>
            <w:r>
              <w:rPr>
                <w:rFonts w:ascii="Arial" w:hAnsi="Arial" w:cs="Arial"/>
                <w:color w:val="000000"/>
                <w:sz w:val="16"/>
                <w:szCs w:val="16"/>
              </w:rPr>
              <w:fldChar w:fldCharType="end"/>
            </w:r>
          </w:p>
        </w:tc>
      </w:tr>
      <w:tr w:rsidR="006A5517" w:rsidRPr="002E6F9F" w14:paraId="6602AFD5" w14:textId="77777777" w:rsidTr="00EC06DE">
        <w:trPr>
          <w:trHeight w:val="285"/>
        </w:trPr>
        <w:tc>
          <w:tcPr>
            <w:tcW w:w="760" w:type="dxa"/>
            <w:noWrap/>
            <w:vAlign w:val="center"/>
            <w:hideMark/>
          </w:tcPr>
          <w:p w14:paraId="4DD46EA8" w14:textId="77777777" w:rsidR="006A5517" w:rsidRPr="002E6F9F" w:rsidRDefault="006A5517" w:rsidP="00EC06DE">
            <w:pPr>
              <w:jc w:val="center"/>
              <w:rPr>
                <w:rFonts w:ascii="Arial" w:hAnsi="Arial" w:cs="Arial"/>
                <w:i/>
                <w:iCs/>
                <w:color w:val="000000"/>
                <w:sz w:val="16"/>
                <w:szCs w:val="16"/>
              </w:rPr>
            </w:pPr>
            <w:proofErr w:type="spellStart"/>
            <w:r w:rsidRPr="7FE602B7">
              <w:rPr>
                <w:rFonts w:ascii="Arial" w:hAnsi="Arial" w:cs="Arial"/>
                <w:i/>
                <w:iCs/>
                <w:color w:val="000000" w:themeColor="text1"/>
                <w:sz w:val="16"/>
                <w:szCs w:val="16"/>
              </w:rPr>
              <w:t>yvcD</w:t>
            </w:r>
            <w:proofErr w:type="spellEnd"/>
          </w:p>
        </w:tc>
        <w:tc>
          <w:tcPr>
            <w:tcW w:w="3844" w:type="dxa"/>
            <w:noWrap/>
            <w:vAlign w:val="center"/>
            <w:hideMark/>
          </w:tcPr>
          <w:p w14:paraId="69A614D8" w14:textId="23A92864" w:rsidR="006A5517" w:rsidRPr="00173A1A" w:rsidRDefault="009E74C0" w:rsidP="00EC06DE">
            <w:pPr>
              <w:jc w:val="center"/>
              <w:rPr>
                <w:rFonts w:ascii="Arial" w:eastAsia="Arial" w:hAnsi="Arial" w:cs="Arial"/>
                <w:color w:val="000000" w:themeColor="text1"/>
                <w:sz w:val="16"/>
                <w:szCs w:val="16"/>
              </w:rPr>
            </w:pPr>
            <w:proofErr w:type="spellStart"/>
            <w:r>
              <w:rPr>
                <w:rFonts w:ascii="Arial" w:eastAsia="Arial" w:hAnsi="Arial" w:cs="Arial"/>
                <w:color w:val="000000" w:themeColor="text1"/>
                <w:sz w:val="16"/>
                <w:szCs w:val="16"/>
              </w:rPr>
              <w:t>Desconocido</w:t>
            </w:r>
            <w:proofErr w:type="spellEnd"/>
          </w:p>
        </w:tc>
        <w:tc>
          <w:tcPr>
            <w:tcW w:w="1535" w:type="dxa"/>
            <w:vAlign w:val="center"/>
          </w:tcPr>
          <w:p w14:paraId="237A9F4D" w14:textId="77777777" w:rsidR="006A5517" w:rsidRPr="002E6F9F" w:rsidRDefault="006A5517" w:rsidP="00EC06DE">
            <w:pPr>
              <w:jc w:val="center"/>
              <w:rPr>
                <w:rFonts w:ascii="Arial" w:hAnsi="Arial" w:cs="Arial"/>
                <w:color w:val="000000"/>
                <w:sz w:val="16"/>
                <w:szCs w:val="16"/>
              </w:rPr>
            </w:pPr>
            <w:r w:rsidRPr="002E6F9F">
              <w:rPr>
                <w:rFonts w:ascii="Arial" w:hAnsi="Arial" w:cs="Arial"/>
                <w:color w:val="000000"/>
                <w:sz w:val="16"/>
                <w:szCs w:val="16"/>
              </w:rPr>
              <w:t>MW2</w:t>
            </w:r>
          </w:p>
        </w:tc>
        <w:tc>
          <w:tcPr>
            <w:tcW w:w="1997" w:type="dxa"/>
            <w:vAlign w:val="center"/>
          </w:tcPr>
          <w:p w14:paraId="323E17FA" w14:textId="77777777" w:rsidR="006A5517" w:rsidRPr="002E6F9F" w:rsidRDefault="006A5517" w:rsidP="00EC06DE">
            <w:pPr>
              <w:jc w:val="center"/>
              <w:rPr>
                <w:rFonts w:ascii="Arial" w:hAnsi="Arial" w:cs="Arial"/>
                <w:color w:val="000000"/>
                <w:sz w:val="16"/>
                <w:szCs w:val="16"/>
              </w:rPr>
            </w:pPr>
            <w:r w:rsidRPr="7FE602B7">
              <w:rPr>
                <w:rFonts w:ascii="Arial" w:hAnsi="Arial" w:cs="Arial"/>
                <w:color w:val="000000" w:themeColor="text1"/>
                <w:sz w:val="16"/>
                <w:szCs w:val="16"/>
              </w:rPr>
              <w:t>Evo2</w:t>
            </w:r>
          </w:p>
        </w:tc>
        <w:tc>
          <w:tcPr>
            <w:tcW w:w="1215" w:type="dxa"/>
            <w:noWrap/>
            <w:vAlign w:val="center"/>
            <w:hideMark/>
          </w:tcPr>
          <w:p w14:paraId="132AA4D8" w14:textId="77777777" w:rsidR="006A5517" w:rsidRPr="002E6F9F" w:rsidRDefault="006A5517" w:rsidP="00EC06DE">
            <w:pPr>
              <w:jc w:val="center"/>
              <w:rPr>
                <w:rFonts w:ascii="Arial" w:hAnsi="Arial" w:cs="Arial"/>
                <w:color w:val="000000"/>
                <w:sz w:val="16"/>
                <w:szCs w:val="16"/>
              </w:rPr>
            </w:pPr>
          </w:p>
        </w:tc>
      </w:tr>
      <w:tr w:rsidR="006A5517" w:rsidRPr="002E6F9F" w14:paraId="7872A21B" w14:textId="77777777" w:rsidTr="00EC06DE">
        <w:trPr>
          <w:trHeight w:val="285"/>
        </w:trPr>
        <w:tc>
          <w:tcPr>
            <w:tcW w:w="760" w:type="dxa"/>
            <w:noWrap/>
            <w:vAlign w:val="center"/>
            <w:hideMark/>
          </w:tcPr>
          <w:p w14:paraId="10207585" w14:textId="77777777" w:rsidR="006A5517" w:rsidRPr="002E6F9F" w:rsidRDefault="006A5517" w:rsidP="00EC06DE">
            <w:pPr>
              <w:jc w:val="center"/>
              <w:rPr>
                <w:rFonts w:ascii="Arial" w:hAnsi="Arial" w:cs="Arial"/>
                <w:i/>
                <w:iCs/>
                <w:color w:val="000000"/>
                <w:sz w:val="16"/>
                <w:szCs w:val="16"/>
              </w:rPr>
            </w:pPr>
            <w:proofErr w:type="spellStart"/>
            <w:r w:rsidRPr="7F360120">
              <w:rPr>
                <w:rFonts w:ascii="Arial" w:hAnsi="Arial" w:cs="Arial"/>
                <w:i/>
                <w:iCs/>
                <w:color w:val="000000" w:themeColor="text1"/>
                <w:sz w:val="16"/>
                <w:szCs w:val="16"/>
              </w:rPr>
              <w:t>natA</w:t>
            </w:r>
            <w:proofErr w:type="spellEnd"/>
          </w:p>
        </w:tc>
        <w:tc>
          <w:tcPr>
            <w:tcW w:w="3844" w:type="dxa"/>
            <w:noWrap/>
            <w:vAlign w:val="center"/>
            <w:hideMark/>
          </w:tcPr>
          <w:p w14:paraId="48491B73" w14:textId="17D1FF01" w:rsidR="006A5517" w:rsidRPr="00173A1A" w:rsidRDefault="009E74C0" w:rsidP="009E74C0">
            <w:pPr>
              <w:jc w:val="center"/>
              <w:rPr>
                <w:rFonts w:ascii="Arial" w:hAnsi="Arial" w:cs="Arial"/>
                <w:color w:val="000000" w:themeColor="text1"/>
                <w:sz w:val="16"/>
                <w:szCs w:val="16"/>
              </w:rPr>
            </w:pPr>
            <w:proofErr w:type="spellStart"/>
            <w:r>
              <w:rPr>
                <w:rFonts w:ascii="Arial" w:hAnsi="Arial" w:cs="Arial"/>
                <w:color w:val="000000" w:themeColor="text1"/>
                <w:sz w:val="16"/>
                <w:szCs w:val="16"/>
              </w:rPr>
              <w:t>Transportador</w:t>
            </w:r>
            <w:proofErr w:type="spellEnd"/>
            <w:r>
              <w:rPr>
                <w:rFonts w:ascii="Arial" w:hAnsi="Arial" w:cs="Arial"/>
                <w:color w:val="000000" w:themeColor="text1"/>
                <w:sz w:val="16"/>
                <w:szCs w:val="16"/>
              </w:rPr>
              <w:t xml:space="preserve"> ABC</w:t>
            </w:r>
          </w:p>
          <w:p w14:paraId="37AEE418" w14:textId="77777777" w:rsidR="006A5517" w:rsidRPr="00173A1A" w:rsidRDefault="006A5517" w:rsidP="00EC06DE">
            <w:pPr>
              <w:jc w:val="center"/>
              <w:rPr>
                <w:rFonts w:ascii="Arial" w:hAnsi="Arial" w:cs="Arial"/>
                <w:color w:val="000000" w:themeColor="text1"/>
                <w:sz w:val="16"/>
                <w:szCs w:val="16"/>
              </w:rPr>
            </w:pPr>
          </w:p>
        </w:tc>
        <w:tc>
          <w:tcPr>
            <w:tcW w:w="1535" w:type="dxa"/>
            <w:vAlign w:val="center"/>
          </w:tcPr>
          <w:p w14:paraId="4B7133FA" w14:textId="77777777" w:rsidR="006A5517" w:rsidRPr="002E6F9F" w:rsidRDefault="006A5517" w:rsidP="00EC06DE">
            <w:pPr>
              <w:jc w:val="center"/>
              <w:rPr>
                <w:rFonts w:ascii="Arial" w:hAnsi="Arial" w:cs="Arial"/>
                <w:color w:val="000000"/>
                <w:sz w:val="16"/>
                <w:szCs w:val="16"/>
              </w:rPr>
            </w:pPr>
            <w:r w:rsidRPr="002E6F9F">
              <w:rPr>
                <w:rFonts w:ascii="Arial" w:hAnsi="Arial" w:cs="Arial"/>
                <w:color w:val="000000"/>
                <w:sz w:val="16"/>
                <w:szCs w:val="16"/>
              </w:rPr>
              <w:t>MW2</w:t>
            </w:r>
          </w:p>
        </w:tc>
        <w:tc>
          <w:tcPr>
            <w:tcW w:w="1997" w:type="dxa"/>
            <w:vAlign w:val="center"/>
          </w:tcPr>
          <w:p w14:paraId="50E3CDB1" w14:textId="77777777" w:rsidR="006A5517" w:rsidRPr="002E6F9F" w:rsidRDefault="006A5517" w:rsidP="00EC06DE">
            <w:pPr>
              <w:jc w:val="center"/>
              <w:rPr>
                <w:rFonts w:ascii="Arial" w:hAnsi="Arial" w:cs="Arial"/>
                <w:color w:val="000000"/>
                <w:sz w:val="16"/>
                <w:szCs w:val="16"/>
              </w:rPr>
            </w:pPr>
            <w:r w:rsidRPr="002E6F9F">
              <w:rPr>
                <w:rFonts w:ascii="Arial" w:hAnsi="Arial" w:cs="Arial"/>
                <w:sz w:val="16"/>
                <w:szCs w:val="16"/>
              </w:rPr>
              <w:t xml:space="preserve">ΦStaph1N, </w:t>
            </w:r>
            <w:r w:rsidRPr="002E6F9F">
              <w:rPr>
                <w:rFonts w:ascii="Arial" w:hAnsi="Arial" w:cs="Arial"/>
                <w:color w:val="000000"/>
                <w:sz w:val="16"/>
                <w:szCs w:val="16"/>
              </w:rPr>
              <w:t>Evo2</w:t>
            </w:r>
          </w:p>
        </w:tc>
        <w:tc>
          <w:tcPr>
            <w:tcW w:w="1215" w:type="dxa"/>
            <w:noWrap/>
            <w:vAlign w:val="center"/>
            <w:hideMark/>
          </w:tcPr>
          <w:p w14:paraId="4E56F144" w14:textId="77777777" w:rsidR="006A5517" w:rsidRPr="002E6F9F" w:rsidRDefault="006A5517" w:rsidP="00EC06DE">
            <w:pPr>
              <w:jc w:val="center"/>
              <w:rPr>
                <w:rFonts w:ascii="Arial" w:hAnsi="Arial" w:cs="Arial"/>
                <w:color w:val="000000"/>
                <w:sz w:val="16"/>
                <w:szCs w:val="16"/>
              </w:rPr>
            </w:pPr>
            <w:r>
              <w:rPr>
                <w:rFonts w:ascii="Arial" w:hAnsi="Arial" w:cs="Arial"/>
                <w:color w:val="000000"/>
                <w:sz w:val="16"/>
                <w:szCs w:val="16"/>
              </w:rPr>
              <w:fldChar w:fldCharType="begin"/>
            </w:r>
            <w:r>
              <w:rPr>
                <w:rFonts w:ascii="Arial" w:hAnsi="Arial" w:cs="Arial"/>
                <w:color w:val="000000"/>
                <w:sz w:val="16"/>
                <w:szCs w:val="16"/>
              </w:rPr>
              <w:instrText xml:space="preserve"> ADDIN ZOTERO_ITEM CSL_CITATION {"citationID":"iAcVl8O2","properties":{"formattedCitation":"\\super 48\\nosupersub{}","plainCitation":"48","noteIndex":0},"citationItems":[{"id":3312,"uris":["http://zotero.org/users/9750378/items/76PVLW92"],"itemData":{"id":3312,"type":"article-journal","abstract":"ABSTRACT\n            \n              It has recently been shown through DNA microarray analysis of\n              Bacillus subtilis\n              two-component regulatory systems (DegS-DegU, ComP-ComA, and PhoR-PhoP) that overproduction of a response regulator of the two-component systems in the background of a deficiency of its cognate sensor kinase affects the regulation of genes, including its target ones. The genome-wide effect on gene expression caused by the overproduction was revealed by DNA microarray analysis. In the present work, we newly analyzed 24 two-component systems by means of this strategy, leaving out 8 systems to which it was unlikely to be applicable. This analysis revealed various target gene candidates for these two-component systems. It is especially notable that interesting interactions appeared to take place between several two-component systems. Moreover, the probable functions of some unknown two-component systems were deduced from the list of their target gene candidates. This work is heuristic but provides valuable information for further study toward a comprehensive understanding of the\n              B. subtilis\n              two-component regulatory systems. The DNA microarray data obtained in this work are available at the KEGG Expression Database website (\n              http://www.genome.ad.jp/kegg/expression\n              ).","container-title":"Journal of Bacteriology","DOI":"10.1128/JB.183.24.7365-7370.2001","ISSN":"0021-9193, 1098-5530","issue":"24","journalAbbreviation":"J Bacteriol","language":"en","page":"7365-7370","source":"DOI.org (Crossref)","title":"Comprehensive DNA Microarray Analysis of &lt;i&gt;Bacillus subtilis&lt;/i&gt; Two-Component Regulatory Systems","volume":"183","author":[{"family":"Kobayashi","given":"Kazuo"},{"family":"Ogura","given":"Mitsuo"},{"family":"Yamaguchi","given":"Hirotake"},{"family":"Yoshida","given":"Ken-Ichi"},{"family":"Ogasawara","given":"Naotake"},{"family":"Tanaka","given":"Teruo"},{"family":"Fujita","given":"Yasutaro"}],"issued":{"date-parts":[["2001",12,15]]}}}],"schema":"https://github.com/citation-style-language/schema/raw/master/csl-citation.json"} </w:instrText>
            </w:r>
            <w:r>
              <w:rPr>
                <w:rFonts w:ascii="Arial" w:hAnsi="Arial" w:cs="Arial"/>
                <w:color w:val="000000"/>
                <w:sz w:val="16"/>
                <w:szCs w:val="16"/>
              </w:rPr>
              <w:fldChar w:fldCharType="separate"/>
            </w:r>
            <w:r w:rsidRPr="005F1507">
              <w:rPr>
                <w:rFonts w:ascii="Arial" w:hAnsi="Arial" w:cs="Arial"/>
                <w:color w:val="000000"/>
                <w:sz w:val="16"/>
                <w:vertAlign w:val="superscript"/>
              </w:rPr>
              <w:t>48</w:t>
            </w:r>
            <w:r>
              <w:rPr>
                <w:rFonts w:ascii="Arial" w:hAnsi="Arial" w:cs="Arial"/>
                <w:color w:val="000000"/>
                <w:sz w:val="16"/>
                <w:szCs w:val="16"/>
              </w:rPr>
              <w:fldChar w:fldCharType="end"/>
            </w:r>
          </w:p>
        </w:tc>
      </w:tr>
      <w:tr w:rsidR="006A5517" w:rsidRPr="002E6F9F" w14:paraId="2EE96BC4" w14:textId="77777777" w:rsidTr="00EC06DE">
        <w:trPr>
          <w:trHeight w:val="293"/>
        </w:trPr>
        <w:tc>
          <w:tcPr>
            <w:tcW w:w="760" w:type="dxa"/>
            <w:noWrap/>
            <w:vAlign w:val="center"/>
            <w:hideMark/>
          </w:tcPr>
          <w:p w14:paraId="60C1CEEE" w14:textId="77777777" w:rsidR="006A5517" w:rsidRPr="002E6F9F" w:rsidRDefault="006A5517" w:rsidP="00EC06DE">
            <w:pPr>
              <w:jc w:val="center"/>
              <w:rPr>
                <w:rFonts w:ascii="Arial" w:hAnsi="Arial" w:cs="Arial"/>
                <w:i/>
                <w:iCs/>
                <w:color w:val="000000"/>
                <w:sz w:val="16"/>
                <w:szCs w:val="16"/>
              </w:rPr>
            </w:pPr>
            <w:proofErr w:type="spellStart"/>
            <w:r w:rsidRPr="7FE602B7">
              <w:rPr>
                <w:rFonts w:ascii="Arial" w:hAnsi="Arial" w:cs="Arial"/>
                <w:i/>
                <w:color w:val="000000" w:themeColor="text1"/>
                <w:sz w:val="16"/>
                <w:szCs w:val="16"/>
              </w:rPr>
              <w:t>tcaB</w:t>
            </w:r>
            <w:proofErr w:type="spellEnd"/>
          </w:p>
        </w:tc>
        <w:tc>
          <w:tcPr>
            <w:tcW w:w="3844" w:type="dxa"/>
            <w:noWrap/>
            <w:vAlign w:val="center"/>
            <w:hideMark/>
          </w:tcPr>
          <w:p w14:paraId="736AD5C6" w14:textId="04F165B6" w:rsidR="006A5517" w:rsidRPr="009E74C0" w:rsidRDefault="009E74C0" w:rsidP="009E74C0">
            <w:pPr>
              <w:jc w:val="center"/>
              <w:rPr>
                <w:rFonts w:ascii="Arial" w:hAnsi="Arial" w:cs="Arial"/>
                <w:color w:val="000000" w:themeColor="text1"/>
                <w:sz w:val="16"/>
                <w:szCs w:val="16"/>
                <w:lang w:val="es-PR"/>
              </w:rPr>
            </w:pPr>
            <w:r w:rsidRPr="009E74C0">
              <w:rPr>
                <w:rFonts w:ascii="Arial" w:hAnsi="Arial" w:cs="Arial"/>
                <w:color w:val="000000" w:themeColor="text1"/>
                <w:sz w:val="16"/>
                <w:szCs w:val="16"/>
                <w:lang w:val="es-PR"/>
              </w:rPr>
              <w:t xml:space="preserve">Bomba de eflujo multifármaco </w:t>
            </w:r>
            <w:r>
              <w:rPr>
                <w:rFonts w:ascii="Arial" w:hAnsi="Arial" w:cs="Arial"/>
                <w:color w:val="000000" w:themeColor="text1"/>
                <w:sz w:val="16"/>
                <w:szCs w:val="16"/>
                <w:lang w:val="es-PR"/>
              </w:rPr>
              <w:t>(predicción)</w:t>
            </w:r>
          </w:p>
        </w:tc>
        <w:tc>
          <w:tcPr>
            <w:tcW w:w="1535" w:type="dxa"/>
            <w:vAlign w:val="center"/>
          </w:tcPr>
          <w:p w14:paraId="6497FD18" w14:textId="77777777" w:rsidR="006A5517" w:rsidRPr="002E6F9F" w:rsidRDefault="006A5517" w:rsidP="00EC06DE">
            <w:pPr>
              <w:jc w:val="center"/>
              <w:rPr>
                <w:rFonts w:ascii="Arial" w:hAnsi="Arial" w:cs="Arial"/>
                <w:color w:val="000000"/>
                <w:sz w:val="16"/>
                <w:szCs w:val="16"/>
              </w:rPr>
            </w:pPr>
            <w:r w:rsidRPr="002E6F9F">
              <w:rPr>
                <w:rFonts w:ascii="Arial" w:hAnsi="Arial" w:cs="Arial"/>
                <w:color w:val="000000"/>
                <w:sz w:val="16"/>
                <w:szCs w:val="16"/>
              </w:rPr>
              <w:t>MW2</w:t>
            </w:r>
          </w:p>
        </w:tc>
        <w:tc>
          <w:tcPr>
            <w:tcW w:w="1997" w:type="dxa"/>
            <w:vAlign w:val="center"/>
          </w:tcPr>
          <w:p w14:paraId="35D57EC6" w14:textId="77777777" w:rsidR="006A5517" w:rsidRPr="002E6F9F" w:rsidRDefault="006A5517" w:rsidP="00EC06DE">
            <w:pPr>
              <w:jc w:val="center"/>
              <w:rPr>
                <w:rFonts w:ascii="Arial" w:hAnsi="Arial" w:cs="Arial"/>
                <w:color w:val="000000"/>
                <w:sz w:val="16"/>
                <w:szCs w:val="16"/>
              </w:rPr>
            </w:pPr>
            <w:r w:rsidRPr="002E6F9F">
              <w:rPr>
                <w:rFonts w:ascii="Arial" w:hAnsi="Arial" w:cs="Arial"/>
                <w:sz w:val="16"/>
                <w:szCs w:val="16"/>
              </w:rPr>
              <w:t xml:space="preserve">ΦStaph1N, </w:t>
            </w:r>
            <w:r w:rsidRPr="002E6F9F">
              <w:rPr>
                <w:rFonts w:ascii="Arial" w:hAnsi="Arial" w:cs="Arial"/>
                <w:color w:val="000000"/>
                <w:sz w:val="16"/>
                <w:szCs w:val="16"/>
              </w:rPr>
              <w:t>Evo2</w:t>
            </w:r>
          </w:p>
        </w:tc>
        <w:tc>
          <w:tcPr>
            <w:tcW w:w="1215" w:type="dxa"/>
            <w:noWrap/>
            <w:vAlign w:val="center"/>
            <w:hideMark/>
          </w:tcPr>
          <w:p w14:paraId="5A6D51D6" w14:textId="77777777" w:rsidR="006A5517" w:rsidRPr="002E6F9F" w:rsidRDefault="006A5517" w:rsidP="00EC06DE">
            <w:pPr>
              <w:jc w:val="center"/>
              <w:rPr>
                <w:rFonts w:ascii="Arial" w:hAnsi="Arial" w:cs="Arial"/>
                <w:color w:val="000000"/>
                <w:sz w:val="16"/>
                <w:szCs w:val="16"/>
              </w:rPr>
            </w:pPr>
            <w:r>
              <w:rPr>
                <w:rFonts w:ascii="Arial" w:hAnsi="Arial" w:cs="Arial"/>
                <w:color w:val="000000"/>
                <w:sz w:val="16"/>
                <w:szCs w:val="16"/>
              </w:rPr>
              <w:fldChar w:fldCharType="begin"/>
            </w:r>
            <w:r>
              <w:rPr>
                <w:rFonts w:ascii="Arial" w:hAnsi="Arial" w:cs="Arial"/>
                <w:color w:val="000000"/>
                <w:sz w:val="16"/>
                <w:szCs w:val="16"/>
              </w:rPr>
              <w:instrText xml:space="preserve"> ADDIN ZOTERO_ITEM CSL_CITATION {"citationID":"qMd4moSQ","properties":{"formattedCitation":"\\super 49\\nosupersub{}","plainCitation":"49","noteIndex":0},"citationItems":[{"id":3309,"uris":["http://zotero.org/users/9750378/items/Y4FRN578"],"itemData":{"id":3309,"type":"article-journal","abstract":"ABSTRACT\n            \n              The experimental deletion of the\n              tcaRAB\n              region has been shown to increase teicoplanin resistance in\n              Staphylococcus aureus\n              . By sequential genetic complementation of a\n              tcaRAB\n              mutant, we identified\n              tcaA\n              as the key gene within\n              tcaRAB\n              that is responsible for changes in glycopeptide resistance levels. Northern blot analysis of the\n              tcaRAB\n              region showed that the\n              tcaA\n              gene is expressed only weakly over the growth cycle and is strongly inducible by teicoplanin. Among some clinical isolates tested, glycopeptide-intermediate-resistant (GISA) strains Michigan and SA137/93G were found to have truncated\n              tcaA\n              genes. While the former carries a nucleotide insertion that creates a premature stop codon, the latter was found to harbor an IS\n              256\n              insertion. Complementation of these two GISA strains with a functional\n              tcaA\n              allele reduced their levels of teicoplanin and vancomycin resistance five- to eightfold and twofold, respectively. The data presented here indicate that inactivation of\n              tcaA\n              contributes to and plays a relevant role in glycopeptide resistance in\n              S. aureus\n              clinical isolates.","container-title":"Antimicrobial Agents and Chemotherapy","DOI":"10.1128/AAC.48.6.1953-1959.2004","ISSN":"0066-4804, 1098-6596","issue":"6","journalAbbreviation":"Antimicrob Agents Chemother","language":"en","page":"1953-1959","source":"DOI.org (Crossref)","title":"&lt;i&gt;tcaA&lt;/i&gt; Inactivation Increases Glycopeptide Resistance in &lt;i&gt;Staphylococcus aureus&lt;/i&gt;","volume":"48","author":[{"family":"Maki","given":"Hideki"},{"family":"McCallum","given":"Nadine"},{"family":"Bischoff","given":"Markus"},{"family":"Wada","given":"Akihito"},{"family":"Berger-Bächi","given":"Brigitte"}],"issued":{"date-parts":[["2004",6]]}}}],"schema":"https://github.com/citation-style-language/schema/raw/master/csl-citation.json"} </w:instrText>
            </w:r>
            <w:r>
              <w:rPr>
                <w:rFonts w:ascii="Arial" w:hAnsi="Arial" w:cs="Arial"/>
                <w:color w:val="000000"/>
                <w:sz w:val="16"/>
                <w:szCs w:val="16"/>
              </w:rPr>
              <w:fldChar w:fldCharType="separate"/>
            </w:r>
            <w:r w:rsidRPr="005F1507">
              <w:rPr>
                <w:rFonts w:ascii="Arial" w:hAnsi="Arial" w:cs="Arial"/>
                <w:color w:val="000000"/>
                <w:sz w:val="16"/>
                <w:vertAlign w:val="superscript"/>
              </w:rPr>
              <w:t>49</w:t>
            </w:r>
            <w:r>
              <w:rPr>
                <w:rFonts w:ascii="Arial" w:hAnsi="Arial" w:cs="Arial"/>
                <w:color w:val="000000"/>
                <w:sz w:val="16"/>
                <w:szCs w:val="16"/>
              </w:rPr>
              <w:fldChar w:fldCharType="end"/>
            </w:r>
          </w:p>
        </w:tc>
      </w:tr>
      <w:tr w:rsidR="006A5517" w:rsidRPr="002E6F9F" w14:paraId="2EBEE657" w14:textId="77777777" w:rsidTr="00EC06DE">
        <w:trPr>
          <w:trHeight w:val="293"/>
        </w:trPr>
        <w:tc>
          <w:tcPr>
            <w:tcW w:w="760" w:type="dxa"/>
            <w:noWrap/>
            <w:vAlign w:val="center"/>
          </w:tcPr>
          <w:p w14:paraId="4BD7FCB1" w14:textId="77777777" w:rsidR="006A5517" w:rsidRPr="7FE602B7" w:rsidRDefault="006A5517" w:rsidP="00EC06DE">
            <w:pPr>
              <w:jc w:val="center"/>
              <w:rPr>
                <w:rFonts w:ascii="Arial" w:hAnsi="Arial" w:cs="Arial"/>
                <w:i/>
                <w:color w:val="000000" w:themeColor="text1"/>
                <w:sz w:val="16"/>
                <w:szCs w:val="16"/>
              </w:rPr>
            </w:pPr>
            <w:proofErr w:type="spellStart"/>
            <w:r>
              <w:rPr>
                <w:rFonts w:ascii="Arial" w:hAnsi="Arial" w:cs="Arial"/>
                <w:i/>
                <w:color w:val="000000" w:themeColor="text1"/>
                <w:sz w:val="16"/>
                <w:szCs w:val="16"/>
              </w:rPr>
              <w:t>fmhC</w:t>
            </w:r>
            <w:proofErr w:type="spellEnd"/>
          </w:p>
        </w:tc>
        <w:tc>
          <w:tcPr>
            <w:tcW w:w="3844" w:type="dxa"/>
            <w:noWrap/>
            <w:vAlign w:val="center"/>
          </w:tcPr>
          <w:p w14:paraId="3805FEDF" w14:textId="5E01786D" w:rsidR="006A5517" w:rsidRPr="00B8680C" w:rsidRDefault="009E74C0" w:rsidP="00EC06DE">
            <w:pPr>
              <w:jc w:val="center"/>
              <w:rPr>
                <w:rFonts w:ascii="Arial" w:hAnsi="Arial" w:cs="Arial"/>
                <w:color w:val="000000" w:themeColor="text1"/>
                <w:sz w:val="16"/>
                <w:szCs w:val="16"/>
              </w:rPr>
            </w:pPr>
            <w:r>
              <w:rPr>
                <w:rFonts w:ascii="Arial" w:hAnsi="Arial" w:cs="Arial"/>
                <w:color w:val="1B1B1B"/>
                <w:sz w:val="16"/>
                <w:szCs w:val="16"/>
                <w:shd w:val="clear" w:color="auto" w:fill="FFFFFF"/>
              </w:rPr>
              <w:t xml:space="preserve">Factor </w:t>
            </w:r>
            <w:proofErr w:type="spellStart"/>
            <w:r>
              <w:rPr>
                <w:rFonts w:ascii="Arial" w:hAnsi="Arial" w:cs="Arial"/>
                <w:color w:val="1B1B1B"/>
                <w:sz w:val="16"/>
                <w:szCs w:val="16"/>
                <w:shd w:val="clear" w:color="auto" w:fill="FFFFFF"/>
              </w:rPr>
              <w:t>parecido</w:t>
            </w:r>
            <w:proofErr w:type="spellEnd"/>
            <w:r>
              <w:rPr>
                <w:rFonts w:ascii="Arial" w:hAnsi="Arial" w:cs="Arial"/>
                <w:color w:val="1B1B1B"/>
                <w:sz w:val="16"/>
                <w:szCs w:val="16"/>
                <w:shd w:val="clear" w:color="auto" w:fill="FFFFFF"/>
              </w:rPr>
              <w:t xml:space="preserve"> a Fem</w:t>
            </w:r>
          </w:p>
        </w:tc>
        <w:tc>
          <w:tcPr>
            <w:tcW w:w="1535" w:type="dxa"/>
            <w:vAlign w:val="center"/>
          </w:tcPr>
          <w:p w14:paraId="590F926B" w14:textId="77777777" w:rsidR="006A5517" w:rsidRPr="002E6F9F" w:rsidRDefault="006A5517" w:rsidP="00EC06DE">
            <w:pPr>
              <w:jc w:val="center"/>
              <w:rPr>
                <w:rFonts w:ascii="Arial" w:hAnsi="Arial" w:cs="Arial"/>
                <w:color w:val="000000"/>
                <w:sz w:val="16"/>
                <w:szCs w:val="16"/>
              </w:rPr>
            </w:pPr>
            <w:r>
              <w:rPr>
                <w:rFonts w:ascii="Arial" w:hAnsi="Arial" w:cs="Arial"/>
                <w:color w:val="000000"/>
                <w:sz w:val="16"/>
                <w:szCs w:val="16"/>
              </w:rPr>
              <w:t>LAC</w:t>
            </w:r>
          </w:p>
        </w:tc>
        <w:tc>
          <w:tcPr>
            <w:tcW w:w="1997" w:type="dxa"/>
            <w:vAlign w:val="center"/>
          </w:tcPr>
          <w:p w14:paraId="4570F1CE" w14:textId="77777777" w:rsidR="006A5517" w:rsidRPr="00B8680C" w:rsidRDefault="006A5517" w:rsidP="00EC06DE">
            <w:pPr>
              <w:jc w:val="center"/>
              <w:rPr>
                <w:rFonts w:ascii="Arial" w:hAnsi="Arial" w:cs="Arial"/>
                <w:sz w:val="16"/>
                <w:szCs w:val="16"/>
              </w:rPr>
            </w:pPr>
            <w:r w:rsidRPr="00B8680C">
              <w:rPr>
                <w:rFonts w:ascii="Symbol" w:hAnsi="Symbol" w:cs="Arial"/>
                <w:sz w:val="16"/>
                <w:szCs w:val="16"/>
              </w:rPr>
              <w:t>FNM1g6</w:t>
            </w:r>
          </w:p>
        </w:tc>
        <w:tc>
          <w:tcPr>
            <w:tcW w:w="1215" w:type="dxa"/>
            <w:noWrap/>
            <w:vAlign w:val="center"/>
          </w:tcPr>
          <w:p w14:paraId="18F94AFF" w14:textId="77777777" w:rsidR="006A5517" w:rsidRDefault="006A5517" w:rsidP="00EC06DE">
            <w:pPr>
              <w:jc w:val="center"/>
              <w:rPr>
                <w:rFonts w:ascii="Arial" w:hAnsi="Arial" w:cs="Arial"/>
                <w:color w:val="000000"/>
                <w:sz w:val="16"/>
                <w:szCs w:val="16"/>
              </w:rPr>
            </w:pPr>
            <w:r>
              <w:rPr>
                <w:rFonts w:ascii="Arial" w:hAnsi="Arial" w:cs="Arial"/>
                <w:color w:val="000000"/>
                <w:sz w:val="16"/>
                <w:szCs w:val="16"/>
              </w:rPr>
              <w:fldChar w:fldCharType="begin"/>
            </w:r>
            <w:r>
              <w:rPr>
                <w:rFonts w:ascii="Arial" w:hAnsi="Arial" w:cs="Arial"/>
                <w:color w:val="000000"/>
                <w:sz w:val="16"/>
                <w:szCs w:val="16"/>
              </w:rPr>
              <w:instrText xml:space="preserve"> ADDIN ZOTERO_ITEM CSL_CITATION {"citationID":"9Ij241Ri","properties":{"formattedCitation":"\\super 50\\nosupersub{}","plainCitation":"50","noteIndex":0},"citationItems":[{"id":3464,"uris":["http://zotero.org/users/9750378/items/8QYB7QT4"],"itemData":{"id":3464,"type":"article-journal","container-title":"Journal of Biological Chemistry","DOI":"10.1074/jbc.RA120.014371","ISSN":"00219258","issue":"39","journalAbbreviation":"Journal of Biological Chemistry","language":"en","page":"13664-13676","source":"DOI.org (Crossref)","title":"FmhA and FmhC of Staphylococcus aureus incorporate serine residues into peptidoglycan cross-bridges","volume":"295","author":[{"family":"Willing","given":"Stephanie"},{"family":"Dyer","given":"Emma"},{"family":"Schneewind","given":"Olaf"},{"family":"Missiakas","given":"Dominique"}],"issued":{"date-parts":[["2020",9]]}}}],"schema":"https://github.com/citation-style-language/schema/raw/master/csl-citation.json"} </w:instrText>
            </w:r>
            <w:r>
              <w:rPr>
                <w:rFonts w:ascii="Arial" w:hAnsi="Arial" w:cs="Arial"/>
                <w:color w:val="000000"/>
                <w:sz w:val="16"/>
                <w:szCs w:val="16"/>
              </w:rPr>
              <w:fldChar w:fldCharType="separate"/>
            </w:r>
            <w:r w:rsidRPr="005F1507">
              <w:rPr>
                <w:rFonts w:ascii="Arial" w:hAnsi="Arial" w:cs="Arial"/>
                <w:color w:val="000000"/>
                <w:sz w:val="16"/>
                <w:vertAlign w:val="superscript"/>
              </w:rPr>
              <w:t>50</w:t>
            </w:r>
            <w:r>
              <w:rPr>
                <w:rFonts w:ascii="Arial" w:hAnsi="Arial" w:cs="Arial"/>
                <w:color w:val="000000"/>
                <w:sz w:val="16"/>
                <w:szCs w:val="16"/>
              </w:rPr>
              <w:fldChar w:fldCharType="end"/>
            </w:r>
          </w:p>
        </w:tc>
      </w:tr>
      <w:tr w:rsidR="006A5517" w:rsidRPr="002E6F9F" w14:paraId="33088D57" w14:textId="77777777" w:rsidTr="00EC06DE">
        <w:trPr>
          <w:trHeight w:val="293"/>
        </w:trPr>
        <w:tc>
          <w:tcPr>
            <w:tcW w:w="760" w:type="dxa"/>
            <w:noWrap/>
            <w:vAlign w:val="center"/>
          </w:tcPr>
          <w:p w14:paraId="6C9758F1" w14:textId="77777777" w:rsidR="006A5517" w:rsidRPr="00D334CB" w:rsidRDefault="006A5517" w:rsidP="00EC06DE">
            <w:pPr>
              <w:jc w:val="center"/>
              <w:rPr>
                <w:rFonts w:ascii="Arial" w:hAnsi="Arial" w:cs="Arial"/>
                <w:i/>
                <w:color w:val="000000" w:themeColor="text1"/>
                <w:sz w:val="16"/>
                <w:szCs w:val="16"/>
              </w:rPr>
            </w:pPr>
            <w:proofErr w:type="spellStart"/>
            <w:r w:rsidRPr="00E75CC3">
              <w:rPr>
                <w:rStyle w:val="normaltextrun"/>
                <w:rFonts w:ascii="Arial" w:eastAsiaTheme="majorEastAsia" w:hAnsi="Arial" w:cs="Arial"/>
                <w:i/>
                <w:iCs/>
                <w:sz w:val="16"/>
                <w:szCs w:val="16"/>
              </w:rPr>
              <w:t>rsaC</w:t>
            </w:r>
            <w:proofErr w:type="spellEnd"/>
            <w:r w:rsidRPr="00E75CC3">
              <w:rPr>
                <w:rStyle w:val="normaltextrun"/>
                <w:rFonts w:ascii="Arial" w:eastAsiaTheme="majorEastAsia" w:hAnsi="Arial" w:cs="Arial"/>
                <w:sz w:val="16"/>
                <w:szCs w:val="16"/>
              </w:rPr>
              <w:t xml:space="preserve"> ncRNA</w:t>
            </w:r>
          </w:p>
        </w:tc>
        <w:tc>
          <w:tcPr>
            <w:tcW w:w="3844" w:type="dxa"/>
            <w:noWrap/>
            <w:vAlign w:val="center"/>
          </w:tcPr>
          <w:p w14:paraId="053BFE61" w14:textId="5754837D" w:rsidR="006A5517" w:rsidRPr="009E74C0" w:rsidRDefault="009E74C0" w:rsidP="00EC06DE">
            <w:pPr>
              <w:jc w:val="center"/>
              <w:rPr>
                <w:rFonts w:ascii="Arial" w:hAnsi="Arial" w:cs="Arial"/>
                <w:color w:val="1B1B1B"/>
                <w:sz w:val="16"/>
                <w:szCs w:val="16"/>
                <w:shd w:val="clear" w:color="auto" w:fill="FFFFFF"/>
                <w:lang w:val="es-PR"/>
              </w:rPr>
            </w:pPr>
            <w:r w:rsidRPr="009E74C0">
              <w:rPr>
                <w:rFonts w:ascii="Arial" w:hAnsi="Arial" w:cs="Arial"/>
                <w:color w:val="1B1B1B"/>
                <w:sz w:val="16"/>
                <w:szCs w:val="16"/>
                <w:shd w:val="clear" w:color="auto" w:fill="FFFFFF"/>
                <w:lang w:val="es-PR"/>
              </w:rPr>
              <w:t>modula la respuesta al estrés oxidativo y la inmunidad a los metales</w:t>
            </w:r>
          </w:p>
        </w:tc>
        <w:tc>
          <w:tcPr>
            <w:tcW w:w="1535" w:type="dxa"/>
            <w:vAlign w:val="center"/>
          </w:tcPr>
          <w:p w14:paraId="699A8735" w14:textId="77777777" w:rsidR="006A5517" w:rsidRDefault="006A5517" w:rsidP="00EC06DE">
            <w:pPr>
              <w:jc w:val="center"/>
              <w:rPr>
                <w:rFonts w:ascii="Arial" w:hAnsi="Arial" w:cs="Arial"/>
                <w:color w:val="000000"/>
                <w:sz w:val="16"/>
                <w:szCs w:val="16"/>
              </w:rPr>
            </w:pPr>
            <w:r w:rsidRPr="002E6F9F">
              <w:rPr>
                <w:rFonts w:ascii="Arial" w:hAnsi="Arial" w:cs="Arial"/>
                <w:color w:val="000000"/>
                <w:sz w:val="16"/>
                <w:szCs w:val="16"/>
              </w:rPr>
              <w:t>MW2</w:t>
            </w:r>
          </w:p>
        </w:tc>
        <w:tc>
          <w:tcPr>
            <w:tcW w:w="1997" w:type="dxa"/>
            <w:vAlign w:val="center"/>
          </w:tcPr>
          <w:p w14:paraId="6841F064" w14:textId="42413E81" w:rsidR="006A5517" w:rsidRPr="00B8680C" w:rsidRDefault="006A5517" w:rsidP="00EC06DE">
            <w:pPr>
              <w:jc w:val="center"/>
              <w:rPr>
                <w:rFonts w:ascii="Symbol" w:hAnsi="Symbol" w:cs="Arial"/>
                <w:sz w:val="16"/>
                <w:szCs w:val="16"/>
              </w:rPr>
            </w:pPr>
            <w:r w:rsidRPr="002E6F9F">
              <w:rPr>
                <w:rFonts w:ascii="Arial" w:hAnsi="Arial" w:cs="Arial"/>
                <w:sz w:val="16"/>
                <w:szCs w:val="16"/>
              </w:rPr>
              <w:t>ΦStaph1N</w:t>
            </w:r>
            <w:r>
              <w:rPr>
                <w:rFonts w:ascii="Arial" w:hAnsi="Arial" w:cs="Arial"/>
                <w:sz w:val="16"/>
                <w:szCs w:val="16"/>
              </w:rPr>
              <w:t xml:space="preserve"> + </w:t>
            </w:r>
            <w:proofErr w:type="spellStart"/>
            <w:r>
              <w:rPr>
                <w:rFonts w:ascii="Arial" w:hAnsi="Arial" w:cs="Arial"/>
                <w:sz w:val="16"/>
                <w:szCs w:val="16"/>
              </w:rPr>
              <w:t>oxacil</w:t>
            </w:r>
            <w:r w:rsidR="009E74C0">
              <w:rPr>
                <w:rFonts w:ascii="Arial" w:hAnsi="Arial" w:cs="Arial"/>
                <w:sz w:val="16"/>
                <w:szCs w:val="16"/>
              </w:rPr>
              <w:t>ina</w:t>
            </w:r>
            <w:proofErr w:type="spellEnd"/>
          </w:p>
        </w:tc>
        <w:tc>
          <w:tcPr>
            <w:tcW w:w="1215" w:type="dxa"/>
            <w:noWrap/>
            <w:vAlign w:val="center"/>
          </w:tcPr>
          <w:p w14:paraId="44B01AFF" w14:textId="77777777" w:rsidR="006A5517" w:rsidRDefault="006A5517" w:rsidP="00EC06DE">
            <w:pPr>
              <w:jc w:val="center"/>
              <w:rPr>
                <w:rFonts w:ascii="Arial" w:hAnsi="Arial" w:cs="Arial"/>
                <w:color w:val="000000"/>
                <w:sz w:val="16"/>
                <w:szCs w:val="16"/>
              </w:rPr>
            </w:pPr>
            <w:r>
              <w:rPr>
                <w:rFonts w:ascii="Arial" w:hAnsi="Arial" w:cs="Arial"/>
                <w:color w:val="000000"/>
                <w:sz w:val="16"/>
                <w:szCs w:val="16"/>
              </w:rPr>
              <w:fldChar w:fldCharType="begin"/>
            </w:r>
            <w:r>
              <w:rPr>
                <w:rFonts w:ascii="Arial" w:hAnsi="Arial" w:cs="Arial"/>
                <w:color w:val="000000"/>
                <w:sz w:val="16"/>
                <w:szCs w:val="16"/>
              </w:rPr>
              <w:instrText xml:space="preserve"> ADDIN ZOTERO_ITEM CSL_CITATION {"citationID":"joiaDO28","properties":{"formattedCitation":"\\super 51\\nosupersub{}","plainCitation":"51","noteIndex":0},"citationItems":[{"id":3520,"uris":["http://zotero.org/users/9750378/items/LKYYTU4N"],"itemData":{"id":3520,"type":"article-journal","abstract":"The human opportunistic pathogen Staphylococcus aureus produces numerous small regulatory RNAs (sRNAs) for which functions are still poorly understood. Here, we focused on an atypical and large sRNA called RsaC. Its length varies between different isolates due to the presence of repeated sequences at the 5 end while its 3 part is structurally independent and highly conserved. Using MS2-afﬁnity puriﬁcation coupled with RNA sequencing (MAPS) and quantitative differential proteomics, sodA mRNA was identiﬁed as a primary target of RsaC sRNA. SodA is a Mn-dependent superoxide dismutase involved in oxidative stress response. Remarkably, rsaC gene is co-transcribed with the major manganese ABC transporter MntABC and, consequently, RsaC is mainly produced in response to Mn starvation. This 3 UTRderived sRNA is released from mntABC-RsaC precursor after cleavage by RNase III. The mature and stable form of RsaC inhibits the synthesis of the Mncontaining enzyme SodA synthesis and favors the oxidative stress response mediated by SodM, an alternative SOD enzyme using either Mn or Fe as cofactor. In addition, other putative targets of RsaC are involved in oxidative stress (ROS and NOS) and metal homeostasis (Fe and Zn). Consequently, RsaC may balance two interconnected defensive responses, i.e. oxidative stress and metal-dependent nutritional immunity.","container-title":"Nucleic Acids Research","DOI":"10.1093/nar/gkz728","ISSN":"0305-1048, 1362-4962","issue":"18","language":"en","license":"http://creativecommons.org/licenses/by-nc/4.0/","page":"9871-9887","source":"DOI.org (Crossref)","title":"RsaC sRNA modulates the oxidative stress response of Staphylococcus aureus during manganese starvation","volume":"47","author":[{"family":"Lalaouna","given":"David"},{"family":"Baude","given":"Jessica"},{"family":"Wu","given":"Zongfu"},{"family":"Tomasini","given":"Arnaud"},{"family":"Chicher","given":"Johana"},{"family":"Marzi","given":"Stefano"},{"family":"Vandenesch","given":"François"},{"family":"Romby","given":"Pascale"},{"family":"Caldelari","given":"Isabelle"},{"family":"Moreau","given":"Karen"}],"issued":{"date-parts":[["2019",10,10]]}}}],"schema":"https://github.com/citation-style-language/schema/raw/master/csl-citation.json"} </w:instrText>
            </w:r>
            <w:r>
              <w:rPr>
                <w:rFonts w:ascii="Arial" w:hAnsi="Arial" w:cs="Arial"/>
                <w:color w:val="000000"/>
                <w:sz w:val="16"/>
                <w:szCs w:val="16"/>
              </w:rPr>
              <w:fldChar w:fldCharType="separate"/>
            </w:r>
            <w:r w:rsidRPr="00EF6B47">
              <w:rPr>
                <w:rFonts w:ascii="Arial" w:hAnsi="Arial" w:cs="Arial"/>
                <w:color w:val="000000"/>
                <w:sz w:val="16"/>
                <w:vertAlign w:val="superscript"/>
              </w:rPr>
              <w:t>51</w:t>
            </w:r>
            <w:r>
              <w:rPr>
                <w:rFonts w:ascii="Arial" w:hAnsi="Arial" w:cs="Arial"/>
                <w:color w:val="000000"/>
                <w:sz w:val="16"/>
                <w:szCs w:val="16"/>
              </w:rPr>
              <w:fldChar w:fldCharType="end"/>
            </w:r>
          </w:p>
        </w:tc>
      </w:tr>
      <w:tr w:rsidR="006A5517" w:rsidRPr="00D44FBE" w14:paraId="49CDBCA1" w14:textId="77777777" w:rsidTr="00EC06DE">
        <w:trPr>
          <w:trHeight w:val="293"/>
        </w:trPr>
        <w:tc>
          <w:tcPr>
            <w:tcW w:w="760" w:type="dxa"/>
            <w:noWrap/>
            <w:vAlign w:val="center"/>
          </w:tcPr>
          <w:p w14:paraId="6A23213D" w14:textId="77777777" w:rsidR="006A5517" w:rsidRPr="00EF6B47" w:rsidRDefault="006A5517" w:rsidP="00EC06DE">
            <w:pPr>
              <w:jc w:val="center"/>
              <w:rPr>
                <w:rFonts w:ascii="Arial" w:hAnsi="Arial" w:cs="Arial"/>
                <w:i/>
                <w:iCs/>
                <w:color w:val="000000" w:themeColor="text1"/>
                <w:sz w:val="16"/>
                <w:szCs w:val="16"/>
              </w:rPr>
            </w:pPr>
            <w:proofErr w:type="spellStart"/>
            <w:r w:rsidRPr="00E75CC3">
              <w:rPr>
                <w:rStyle w:val="normaltextrun"/>
                <w:rFonts w:ascii="Arial" w:eastAsiaTheme="majorEastAsia" w:hAnsi="Arial" w:cs="Arial"/>
                <w:i/>
                <w:iCs/>
                <w:sz w:val="16"/>
                <w:szCs w:val="16"/>
              </w:rPr>
              <w:t>nrdF</w:t>
            </w:r>
            <w:proofErr w:type="spellEnd"/>
          </w:p>
        </w:tc>
        <w:tc>
          <w:tcPr>
            <w:tcW w:w="3844" w:type="dxa"/>
            <w:noWrap/>
            <w:vAlign w:val="center"/>
          </w:tcPr>
          <w:p w14:paraId="60BF0ACF" w14:textId="49F9312B" w:rsidR="006A5517" w:rsidRPr="009E74C0" w:rsidRDefault="009E74C0" w:rsidP="00EC06DE">
            <w:pPr>
              <w:jc w:val="center"/>
              <w:rPr>
                <w:rFonts w:ascii="Arial" w:hAnsi="Arial" w:cs="Arial"/>
                <w:color w:val="1B1B1B"/>
                <w:sz w:val="16"/>
                <w:szCs w:val="16"/>
                <w:shd w:val="clear" w:color="auto" w:fill="FFFFFF"/>
                <w:lang w:val="es-PR"/>
              </w:rPr>
            </w:pPr>
            <w:r w:rsidRPr="009E74C0">
              <w:rPr>
                <w:rFonts w:ascii="Arial" w:hAnsi="Arial" w:cs="Arial"/>
                <w:color w:val="1B1B1B"/>
                <w:sz w:val="16"/>
                <w:szCs w:val="16"/>
                <w:shd w:val="clear" w:color="auto" w:fill="FFFFFF"/>
                <w:lang w:val="es-PR"/>
              </w:rPr>
              <w:t>subunidad beta de la ribonucleósido-difosfato reductasa de clase 1b; implicada en la síntesis de ADN</w:t>
            </w:r>
          </w:p>
        </w:tc>
        <w:tc>
          <w:tcPr>
            <w:tcW w:w="1535" w:type="dxa"/>
            <w:vAlign w:val="center"/>
          </w:tcPr>
          <w:p w14:paraId="1C0E8563" w14:textId="77777777" w:rsidR="006A5517" w:rsidRDefault="006A5517" w:rsidP="00EC06DE">
            <w:pPr>
              <w:jc w:val="center"/>
              <w:rPr>
                <w:rFonts w:ascii="Arial" w:hAnsi="Arial" w:cs="Arial"/>
                <w:color w:val="000000"/>
                <w:sz w:val="16"/>
                <w:szCs w:val="16"/>
              </w:rPr>
            </w:pPr>
            <w:r w:rsidRPr="7FE602B7">
              <w:rPr>
                <w:rFonts w:ascii="Arial" w:hAnsi="Arial" w:cs="Arial"/>
                <w:color w:val="000000" w:themeColor="text1"/>
                <w:sz w:val="16"/>
                <w:szCs w:val="16"/>
              </w:rPr>
              <w:t>MW2</w:t>
            </w:r>
          </w:p>
        </w:tc>
        <w:tc>
          <w:tcPr>
            <w:tcW w:w="1997" w:type="dxa"/>
            <w:vAlign w:val="center"/>
          </w:tcPr>
          <w:p w14:paraId="741FE6CD" w14:textId="6DA6F5D2" w:rsidR="006A5517" w:rsidRPr="00B8680C" w:rsidRDefault="006A5517" w:rsidP="00EC06DE">
            <w:pPr>
              <w:jc w:val="center"/>
              <w:rPr>
                <w:rFonts w:ascii="Symbol" w:hAnsi="Symbol" w:cs="Arial"/>
                <w:sz w:val="16"/>
                <w:szCs w:val="16"/>
              </w:rPr>
            </w:pPr>
            <w:r w:rsidRPr="002E6F9F">
              <w:rPr>
                <w:rFonts w:ascii="Arial" w:hAnsi="Arial" w:cs="Arial"/>
                <w:sz w:val="16"/>
                <w:szCs w:val="16"/>
              </w:rPr>
              <w:t>ΦStaph1N</w:t>
            </w:r>
            <w:r>
              <w:rPr>
                <w:rFonts w:ascii="Arial" w:hAnsi="Arial" w:cs="Arial"/>
                <w:sz w:val="16"/>
                <w:szCs w:val="16"/>
              </w:rPr>
              <w:t xml:space="preserve"> + </w:t>
            </w:r>
            <w:proofErr w:type="spellStart"/>
            <w:r>
              <w:rPr>
                <w:rFonts w:ascii="Arial" w:hAnsi="Arial" w:cs="Arial"/>
                <w:sz w:val="16"/>
                <w:szCs w:val="16"/>
              </w:rPr>
              <w:t>oxacil</w:t>
            </w:r>
            <w:r w:rsidR="009E74C0">
              <w:rPr>
                <w:rFonts w:ascii="Arial" w:hAnsi="Arial" w:cs="Arial"/>
                <w:sz w:val="16"/>
                <w:szCs w:val="16"/>
              </w:rPr>
              <w:t>ina</w:t>
            </w:r>
            <w:proofErr w:type="spellEnd"/>
          </w:p>
        </w:tc>
        <w:tc>
          <w:tcPr>
            <w:tcW w:w="1215" w:type="dxa"/>
            <w:noWrap/>
            <w:vAlign w:val="center"/>
          </w:tcPr>
          <w:p w14:paraId="06E63D63" w14:textId="77777777" w:rsidR="006A5517" w:rsidRPr="006A5517" w:rsidRDefault="006A5517" w:rsidP="00EC06DE">
            <w:pPr>
              <w:jc w:val="center"/>
              <w:rPr>
                <w:rFonts w:ascii="Arial" w:hAnsi="Arial" w:cs="Arial"/>
                <w:color w:val="000000"/>
                <w:sz w:val="16"/>
                <w:szCs w:val="16"/>
                <w:lang w:val="es-PR"/>
              </w:rPr>
            </w:pPr>
            <w:r>
              <w:rPr>
                <w:rFonts w:ascii="Arial" w:hAnsi="Arial" w:cs="Arial"/>
                <w:color w:val="000000"/>
                <w:sz w:val="16"/>
                <w:szCs w:val="16"/>
              </w:rPr>
              <w:fldChar w:fldCharType="begin"/>
            </w:r>
            <w:r>
              <w:rPr>
                <w:rFonts w:ascii="Arial" w:hAnsi="Arial" w:cs="Arial"/>
                <w:color w:val="000000"/>
                <w:sz w:val="16"/>
                <w:szCs w:val="16"/>
              </w:rPr>
              <w:instrText xml:space="preserve"> ADDIN ZOTERO_ITEM CSL_CITATION {"citationID":"hpLt9adt","properties":{"formattedCitation":"\\super 52\\nosupersub{}","plainCitation":"52","noteIndex":0},"citationItems":[{"id":3519,"uris":["http://zotero.org/users/9750378/items/MPD9R7BH"],"itemData":{"id":3519,"type":"article-journal","abstract":"ABSTRACT\n            \n              Staphylococcus aureus\n              is a gram-positive facultative aerobe that can grow in the absence of oxygen by fermentation or by using an alternative electron acceptor. To investigate the mechanism by which\n              S. aureus\n              is able to adapt to changes in oxygen concentration, we analyzed the transcriptional regulation of genes that encode the aerobic class Ib and anaerobic class III ribonucleotide reductase (RNR) systems that are responsible for the synthesis of deoxyribonucleotides needed for DNA synthesis. The\n              S. aureus\n              class Ib RNR\n              nrdIEF\n              and class III RNR\n              nrdDG\n              genes and their regulatory regions were cloned and sequenced. Inactivation of the\n              nrdDG\n              genes showed that the class III RNR is essential for anaerobic growth. Inhibition of aerobic growth by hydroxyurea showed that the class Ib RNR is an oxygen-dependent enzyme. Northern blot analysis and primer extension analysis demonstrated that transcription of class III\n              nrdDG\n              genes is regulated by oxygen concentration and was at least 10-fold higher under anaerobic than under aerobic conditions. In contrast, no significant effect of oxygen concentration was found on the transcription of class Ib\n              nrdIEF\n              genes. Disruption or deletion of\n              S. aureus nrdDG\n              genes caus</w:instrText>
            </w:r>
            <w:r w:rsidRPr="006A5517">
              <w:rPr>
                <w:rFonts w:ascii="Arial" w:hAnsi="Arial" w:cs="Arial"/>
                <w:color w:val="000000"/>
                <w:sz w:val="16"/>
                <w:szCs w:val="16"/>
                <w:lang w:val="es-PR"/>
              </w:rPr>
              <w:instrText xml:space="preserve">ed up to a fivefold increase in\n              nrdDG\n              and\n              nrdIEF\n              transcription under anaerobic conditions but not under aerobic conditions. Similarly, hydroxyurea, an inhibitor of the class I RNRs, resulted in increased transcription of class Ib and class III RNR genes under aerobic conditions. These findings establish that transcription of class Ib and class III RNR genes is upregulated under conditions that cause the depletion of deoxyribonucleotide. Promoter analysis of class Ib and class III RNR operons identified several inverted-repeat elements that may account for the transcriptional response of the\n              nrdIEF\n              and\n              nrdDG\n              genes to oxygen.","container-title":"Journal of Bacteriology","DOI":"10.1128/JB.183.24.7260-7272.2001","ISSN":"0021-9193, 1098-5530","issue":"24","journalAbbreviation":"J Bacteriol","language":"en","page":"7260-7272","source":"DOI.org (Crossref)","title":"Analysis of Transcription of the &lt;i&gt;Staphylococcus aureus&lt;/i&gt; Aerobic Class Ib and Anaerobic Class III Ribonucleotide Reductase Genes in Response to Oxygen","volume":"183","author":[{"family":"Masalha","given":"Mahmud"},{"family":"Borovok","given":"Ilya"},{"family":"Schreiber","given":"Rachel"},{"family":"Aharonowitz","given":"Yair"},{"family":"Cohen","given":"Gerald"}],"issued":{"date-parts":[["2001",12,15]]}}}],"schema":"https://github.com/citation-style-language/schema/raw/master/csl-citation.json"} </w:instrText>
            </w:r>
            <w:r>
              <w:rPr>
                <w:rFonts w:ascii="Arial" w:hAnsi="Arial" w:cs="Arial"/>
                <w:color w:val="000000"/>
                <w:sz w:val="16"/>
                <w:szCs w:val="16"/>
              </w:rPr>
              <w:fldChar w:fldCharType="separate"/>
            </w:r>
            <w:r w:rsidRPr="006A5517">
              <w:rPr>
                <w:rFonts w:ascii="Arial" w:hAnsi="Arial" w:cs="Arial"/>
                <w:color w:val="000000"/>
                <w:sz w:val="16"/>
                <w:vertAlign w:val="superscript"/>
                <w:lang w:val="es-PR"/>
              </w:rPr>
              <w:t>52</w:t>
            </w:r>
            <w:r>
              <w:rPr>
                <w:rFonts w:ascii="Arial" w:hAnsi="Arial" w:cs="Arial"/>
                <w:color w:val="000000"/>
                <w:sz w:val="16"/>
                <w:szCs w:val="16"/>
              </w:rPr>
              <w:fldChar w:fldCharType="end"/>
            </w:r>
          </w:p>
        </w:tc>
      </w:tr>
      <w:tr w:rsidR="006A5517" w:rsidRPr="00D44FBE" w14:paraId="28ECAA7E" w14:textId="77777777" w:rsidTr="00EC06DE">
        <w:trPr>
          <w:trHeight w:val="293"/>
        </w:trPr>
        <w:tc>
          <w:tcPr>
            <w:tcW w:w="760" w:type="dxa"/>
            <w:noWrap/>
            <w:vAlign w:val="center"/>
          </w:tcPr>
          <w:p w14:paraId="74CA5922" w14:textId="77777777" w:rsidR="006A5517" w:rsidRPr="006A5517" w:rsidRDefault="006A5517" w:rsidP="00EC06DE">
            <w:pPr>
              <w:jc w:val="center"/>
              <w:rPr>
                <w:rFonts w:ascii="Arial" w:hAnsi="Arial" w:cs="Arial"/>
                <w:i/>
                <w:color w:val="000000" w:themeColor="text1"/>
                <w:sz w:val="16"/>
                <w:szCs w:val="16"/>
                <w:lang w:val="es-PR"/>
              </w:rPr>
            </w:pPr>
            <w:r w:rsidRPr="00E75CC3">
              <w:rPr>
                <w:rStyle w:val="normaltextrun"/>
                <w:rFonts w:ascii="Arial" w:eastAsiaTheme="majorEastAsia" w:hAnsi="Arial" w:cs="Arial"/>
                <w:i/>
                <w:iCs/>
                <w:sz w:val="16"/>
                <w:szCs w:val="16"/>
                <w:lang w:val="es-PR"/>
              </w:rPr>
              <w:t>fstAT</w:t>
            </w:r>
            <w:r w:rsidRPr="00E75CC3">
              <w:rPr>
                <w:rStyle w:val="normaltextrun"/>
                <w:rFonts w:ascii="Arial" w:eastAsiaTheme="majorEastAsia" w:hAnsi="Arial" w:cs="Arial"/>
                <w:sz w:val="16"/>
                <w:szCs w:val="16"/>
                <w:lang w:val="es-PR"/>
              </w:rPr>
              <w:t xml:space="preserve"> ncRNA</w:t>
            </w:r>
          </w:p>
        </w:tc>
        <w:tc>
          <w:tcPr>
            <w:tcW w:w="3844" w:type="dxa"/>
            <w:noWrap/>
            <w:vAlign w:val="center"/>
          </w:tcPr>
          <w:p w14:paraId="11CA55BB" w14:textId="642AC674" w:rsidR="006A5517" w:rsidRPr="006A5517" w:rsidRDefault="009E74C0" w:rsidP="00EC06DE">
            <w:pPr>
              <w:jc w:val="center"/>
              <w:rPr>
                <w:rFonts w:ascii="Arial" w:hAnsi="Arial" w:cs="Arial"/>
                <w:color w:val="1B1B1B"/>
                <w:sz w:val="16"/>
                <w:szCs w:val="16"/>
                <w:shd w:val="clear" w:color="auto" w:fill="FFFFFF"/>
                <w:lang w:val="es-PR"/>
              </w:rPr>
            </w:pPr>
            <w:r>
              <w:rPr>
                <w:rStyle w:val="normaltextrun"/>
                <w:rFonts w:ascii="Arial" w:eastAsiaTheme="majorEastAsia" w:hAnsi="Arial" w:cs="Arial"/>
                <w:sz w:val="16"/>
                <w:szCs w:val="16"/>
                <w:lang w:val="es-PR"/>
              </w:rPr>
              <w:t>Desconocido</w:t>
            </w:r>
          </w:p>
        </w:tc>
        <w:tc>
          <w:tcPr>
            <w:tcW w:w="1535" w:type="dxa"/>
            <w:vAlign w:val="center"/>
          </w:tcPr>
          <w:p w14:paraId="1A479B76" w14:textId="77777777" w:rsidR="006A5517" w:rsidRPr="006A5517" w:rsidRDefault="006A5517" w:rsidP="00EC06DE">
            <w:pPr>
              <w:jc w:val="center"/>
              <w:rPr>
                <w:rFonts w:ascii="Arial" w:hAnsi="Arial" w:cs="Arial"/>
                <w:color w:val="000000"/>
                <w:sz w:val="16"/>
                <w:szCs w:val="16"/>
                <w:lang w:val="es-PR"/>
              </w:rPr>
            </w:pPr>
            <w:r w:rsidRPr="006A5517">
              <w:rPr>
                <w:rFonts w:ascii="Arial" w:hAnsi="Arial" w:cs="Arial"/>
                <w:color w:val="000000"/>
                <w:sz w:val="16"/>
                <w:szCs w:val="16"/>
                <w:lang w:val="es-PR"/>
              </w:rPr>
              <w:t>MW2</w:t>
            </w:r>
          </w:p>
        </w:tc>
        <w:tc>
          <w:tcPr>
            <w:tcW w:w="1997" w:type="dxa"/>
            <w:vAlign w:val="center"/>
          </w:tcPr>
          <w:p w14:paraId="4823BE01" w14:textId="76708DF6" w:rsidR="006A5517" w:rsidRPr="006A5517" w:rsidRDefault="006A5517" w:rsidP="00EC06DE">
            <w:pPr>
              <w:jc w:val="center"/>
              <w:rPr>
                <w:rFonts w:ascii="Symbol" w:hAnsi="Symbol" w:cs="Arial"/>
                <w:sz w:val="16"/>
                <w:szCs w:val="16"/>
                <w:lang w:val="es-PR"/>
              </w:rPr>
            </w:pPr>
            <w:r w:rsidRPr="002E6F9F">
              <w:rPr>
                <w:rFonts w:ascii="Arial" w:hAnsi="Arial" w:cs="Arial"/>
                <w:sz w:val="16"/>
                <w:szCs w:val="16"/>
              </w:rPr>
              <w:t>Φ</w:t>
            </w:r>
            <w:r w:rsidRPr="006A5517">
              <w:rPr>
                <w:rFonts w:ascii="Arial" w:hAnsi="Arial" w:cs="Arial"/>
                <w:sz w:val="16"/>
                <w:szCs w:val="16"/>
                <w:lang w:val="es-PR"/>
              </w:rPr>
              <w:t>Staph1N + oxacil</w:t>
            </w:r>
            <w:r w:rsidR="009E74C0">
              <w:rPr>
                <w:rFonts w:ascii="Arial" w:hAnsi="Arial" w:cs="Arial"/>
                <w:sz w:val="16"/>
                <w:szCs w:val="16"/>
                <w:lang w:val="es-PR"/>
              </w:rPr>
              <w:t>ina</w:t>
            </w:r>
          </w:p>
        </w:tc>
        <w:tc>
          <w:tcPr>
            <w:tcW w:w="1215" w:type="dxa"/>
            <w:noWrap/>
            <w:vAlign w:val="center"/>
          </w:tcPr>
          <w:p w14:paraId="1E3D18C9" w14:textId="77777777" w:rsidR="006A5517" w:rsidRPr="006A5517" w:rsidRDefault="006A5517" w:rsidP="00EC06DE">
            <w:pPr>
              <w:jc w:val="center"/>
              <w:rPr>
                <w:rFonts w:ascii="Arial" w:hAnsi="Arial" w:cs="Arial"/>
                <w:color w:val="000000"/>
                <w:sz w:val="16"/>
                <w:szCs w:val="16"/>
                <w:lang w:val="es-PR"/>
              </w:rPr>
            </w:pPr>
          </w:p>
        </w:tc>
      </w:tr>
      <w:tr w:rsidR="006A5517" w:rsidRPr="00D44FBE" w14:paraId="4F0B409A" w14:textId="77777777" w:rsidTr="00EC06DE">
        <w:trPr>
          <w:trHeight w:val="293"/>
        </w:trPr>
        <w:tc>
          <w:tcPr>
            <w:tcW w:w="760" w:type="dxa"/>
            <w:noWrap/>
            <w:vAlign w:val="center"/>
          </w:tcPr>
          <w:p w14:paraId="1A556497" w14:textId="77777777" w:rsidR="006A5517" w:rsidRPr="006A5517" w:rsidRDefault="006A5517" w:rsidP="00EC06DE">
            <w:pPr>
              <w:jc w:val="center"/>
              <w:rPr>
                <w:rFonts w:ascii="Arial" w:hAnsi="Arial" w:cs="Arial"/>
                <w:i/>
                <w:iCs/>
                <w:color w:val="000000" w:themeColor="text1"/>
                <w:sz w:val="16"/>
                <w:szCs w:val="16"/>
                <w:lang w:val="es-PR"/>
              </w:rPr>
            </w:pPr>
            <w:r w:rsidRPr="00E75CC3">
              <w:rPr>
                <w:rStyle w:val="normaltextrun"/>
                <w:rFonts w:ascii="Arial" w:eastAsiaTheme="majorEastAsia" w:hAnsi="Arial" w:cs="Arial"/>
                <w:i/>
                <w:iCs/>
                <w:sz w:val="16"/>
                <w:szCs w:val="16"/>
                <w:lang w:val="es-PR"/>
              </w:rPr>
              <w:t>rpoC</w:t>
            </w:r>
          </w:p>
        </w:tc>
        <w:tc>
          <w:tcPr>
            <w:tcW w:w="3844" w:type="dxa"/>
            <w:noWrap/>
            <w:vAlign w:val="center"/>
          </w:tcPr>
          <w:p w14:paraId="5900ACE7" w14:textId="374E14D7" w:rsidR="006A5517" w:rsidRPr="006A5517" w:rsidRDefault="009E74C0" w:rsidP="00EC06DE">
            <w:pPr>
              <w:jc w:val="center"/>
              <w:rPr>
                <w:rFonts w:ascii="Arial" w:hAnsi="Arial" w:cs="Arial"/>
                <w:color w:val="1B1B1B"/>
                <w:sz w:val="16"/>
                <w:szCs w:val="16"/>
                <w:shd w:val="clear" w:color="auto" w:fill="FFFFFF"/>
                <w:lang w:val="es-PR"/>
              </w:rPr>
            </w:pPr>
            <w:r>
              <w:rPr>
                <w:rStyle w:val="normaltextrun"/>
                <w:rFonts w:ascii="Arial" w:eastAsiaTheme="majorEastAsia" w:hAnsi="Arial" w:cs="Arial"/>
                <w:sz w:val="16"/>
                <w:szCs w:val="16"/>
                <w:lang w:val="es-PR"/>
              </w:rPr>
              <w:t>Subunidad beta’ de la polimerasa de ARN</w:t>
            </w:r>
          </w:p>
        </w:tc>
        <w:tc>
          <w:tcPr>
            <w:tcW w:w="1535" w:type="dxa"/>
            <w:vAlign w:val="center"/>
          </w:tcPr>
          <w:p w14:paraId="09F5EEAA" w14:textId="77777777" w:rsidR="006A5517" w:rsidRPr="006A5517" w:rsidRDefault="006A5517" w:rsidP="00EC06DE">
            <w:pPr>
              <w:jc w:val="center"/>
              <w:rPr>
                <w:rFonts w:ascii="Arial" w:hAnsi="Arial" w:cs="Arial"/>
                <w:color w:val="000000"/>
                <w:sz w:val="16"/>
                <w:szCs w:val="16"/>
                <w:lang w:val="es-PR"/>
              </w:rPr>
            </w:pPr>
            <w:r w:rsidRPr="006A5517">
              <w:rPr>
                <w:rFonts w:ascii="Arial" w:hAnsi="Arial" w:cs="Arial"/>
                <w:color w:val="000000"/>
                <w:sz w:val="16"/>
                <w:szCs w:val="16"/>
                <w:lang w:val="es-PR"/>
              </w:rPr>
              <w:t>MW2</w:t>
            </w:r>
          </w:p>
        </w:tc>
        <w:tc>
          <w:tcPr>
            <w:tcW w:w="1997" w:type="dxa"/>
            <w:vAlign w:val="center"/>
          </w:tcPr>
          <w:p w14:paraId="3AD1B3F1" w14:textId="27E7B28D" w:rsidR="006A5517" w:rsidRPr="006A5517" w:rsidRDefault="006A5517" w:rsidP="00EC06DE">
            <w:pPr>
              <w:jc w:val="center"/>
              <w:rPr>
                <w:rFonts w:ascii="Symbol" w:hAnsi="Symbol" w:cs="Arial"/>
                <w:sz w:val="16"/>
                <w:szCs w:val="16"/>
                <w:lang w:val="es-PR"/>
              </w:rPr>
            </w:pPr>
            <w:r w:rsidRPr="002E6F9F">
              <w:rPr>
                <w:rFonts w:ascii="Arial" w:hAnsi="Arial" w:cs="Arial"/>
                <w:sz w:val="16"/>
                <w:szCs w:val="16"/>
              </w:rPr>
              <w:t>Φ</w:t>
            </w:r>
            <w:r w:rsidRPr="006A5517">
              <w:rPr>
                <w:rFonts w:ascii="Arial" w:hAnsi="Arial" w:cs="Arial"/>
                <w:sz w:val="16"/>
                <w:szCs w:val="16"/>
                <w:lang w:val="es-PR"/>
              </w:rPr>
              <w:t>Staph1N + oxacil</w:t>
            </w:r>
            <w:r w:rsidR="009E74C0">
              <w:rPr>
                <w:rFonts w:ascii="Arial" w:hAnsi="Arial" w:cs="Arial"/>
                <w:sz w:val="16"/>
                <w:szCs w:val="16"/>
                <w:lang w:val="es-PR"/>
              </w:rPr>
              <w:t>ina</w:t>
            </w:r>
          </w:p>
        </w:tc>
        <w:tc>
          <w:tcPr>
            <w:tcW w:w="1215" w:type="dxa"/>
            <w:noWrap/>
            <w:vAlign w:val="center"/>
          </w:tcPr>
          <w:p w14:paraId="19F109A2" w14:textId="77777777" w:rsidR="006A5517" w:rsidRPr="006A5517" w:rsidRDefault="006A5517" w:rsidP="00EC06DE">
            <w:pPr>
              <w:jc w:val="center"/>
              <w:rPr>
                <w:rFonts w:ascii="Arial" w:hAnsi="Arial" w:cs="Arial"/>
                <w:color w:val="000000"/>
                <w:sz w:val="16"/>
                <w:szCs w:val="16"/>
                <w:lang w:val="es-PR"/>
              </w:rPr>
            </w:pPr>
          </w:p>
        </w:tc>
      </w:tr>
      <w:tr w:rsidR="006A5517" w:rsidRPr="00D44FBE" w14:paraId="10FDDA7C" w14:textId="77777777" w:rsidTr="00EC06DE">
        <w:trPr>
          <w:trHeight w:val="293"/>
        </w:trPr>
        <w:tc>
          <w:tcPr>
            <w:tcW w:w="760" w:type="dxa"/>
            <w:noWrap/>
            <w:vAlign w:val="center"/>
          </w:tcPr>
          <w:p w14:paraId="7DBA28FC" w14:textId="77777777" w:rsidR="006A5517" w:rsidRPr="006A5517" w:rsidRDefault="006A5517" w:rsidP="00EC06DE">
            <w:pPr>
              <w:jc w:val="center"/>
              <w:rPr>
                <w:rFonts w:ascii="Arial" w:hAnsi="Arial" w:cs="Arial"/>
                <w:i/>
                <w:color w:val="000000" w:themeColor="text1"/>
                <w:sz w:val="16"/>
                <w:szCs w:val="16"/>
                <w:lang w:val="es-PR"/>
              </w:rPr>
            </w:pPr>
            <w:r w:rsidRPr="00E75CC3">
              <w:rPr>
                <w:rStyle w:val="normaltextrun"/>
                <w:rFonts w:ascii="Arial" w:eastAsiaTheme="majorEastAsia" w:hAnsi="Arial" w:cs="Arial"/>
                <w:sz w:val="16"/>
                <w:szCs w:val="16"/>
                <w:lang w:val="es-PR"/>
              </w:rPr>
              <w:t>tRNA</w:t>
            </w:r>
          </w:p>
        </w:tc>
        <w:tc>
          <w:tcPr>
            <w:tcW w:w="3844" w:type="dxa"/>
            <w:noWrap/>
            <w:vAlign w:val="center"/>
          </w:tcPr>
          <w:p w14:paraId="69C351F7" w14:textId="6D33746D" w:rsidR="006A5517" w:rsidRPr="006A5517" w:rsidRDefault="009E74C0" w:rsidP="00EC06DE">
            <w:pPr>
              <w:jc w:val="center"/>
              <w:rPr>
                <w:rFonts w:ascii="Arial" w:hAnsi="Arial" w:cs="Arial"/>
                <w:color w:val="1B1B1B"/>
                <w:sz w:val="16"/>
                <w:szCs w:val="16"/>
                <w:shd w:val="clear" w:color="auto" w:fill="FFFFFF"/>
                <w:lang w:val="es-PR"/>
              </w:rPr>
            </w:pPr>
            <w:r>
              <w:rPr>
                <w:rStyle w:val="normaltextrun"/>
                <w:rFonts w:ascii="Arial" w:eastAsiaTheme="majorEastAsia" w:hAnsi="Arial" w:cs="Arial"/>
                <w:sz w:val="16"/>
                <w:szCs w:val="16"/>
                <w:lang w:val="es-PR"/>
              </w:rPr>
              <w:t>ARN de transferencia</w:t>
            </w:r>
          </w:p>
        </w:tc>
        <w:tc>
          <w:tcPr>
            <w:tcW w:w="1535" w:type="dxa"/>
            <w:vAlign w:val="center"/>
          </w:tcPr>
          <w:p w14:paraId="052C6BD7" w14:textId="77777777" w:rsidR="006A5517" w:rsidRPr="006A5517" w:rsidRDefault="006A5517" w:rsidP="00EC06DE">
            <w:pPr>
              <w:jc w:val="center"/>
              <w:rPr>
                <w:rFonts w:ascii="Arial" w:hAnsi="Arial" w:cs="Arial"/>
                <w:color w:val="000000"/>
                <w:sz w:val="16"/>
                <w:szCs w:val="16"/>
                <w:lang w:val="es-PR"/>
              </w:rPr>
            </w:pPr>
            <w:r w:rsidRPr="006A5517">
              <w:rPr>
                <w:rFonts w:ascii="Arial" w:hAnsi="Arial" w:cs="Arial"/>
                <w:color w:val="000000"/>
                <w:sz w:val="16"/>
                <w:szCs w:val="16"/>
                <w:lang w:val="es-PR"/>
              </w:rPr>
              <w:t>MW2</w:t>
            </w:r>
          </w:p>
        </w:tc>
        <w:tc>
          <w:tcPr>
            <w:tcW w:w="1997" w:type="dxa"/>
            <w:vAlign w:val="center"/>
          </w:tcPr>
          <w:p w14:paraId="1431DB4B" w14:textId="68EF8365" w:rsidR="006A5517" w:rsidRPr="006A5517" w:rsidRDefault="006A5517" w:rsidP="00EC06DE">
            <w:pPr>
              <w:jc w:val="center"/>
              <w:rPr>
                <w:rFonts w:ascii="Symbol" w:hAnsi="Symbol" w:cs="Arial"/>
                <w:sz w:val="16"/>
                <w:szCs w:val="16"/>
                <w:lang w:val="es-PR"/>
              </w:rPr>
            </w:pPr>
            <w:r w:rsidRPr="002E6F9F">
              <w:rPr>
                <w:rFonts w:ascii="Arial" w:hAnsi="Arial" w:cs="Arial"/>
                <w:sz w:val="16"/>
                <w:szCs w:val="16"/>
              </w:rPr>
              <w:t>Φ</w:t>
            </w:r>
            <w:r w:rsidRPr="006A5517">
              <w:rPr>
                <w:rFonts w:ascii="Arial" w:hAnsi="Arial" w:cs="Arial"/>
                <w:sz w:val="16"/>
                <w:szCs w:val="16"/>
                <w:lang w:val="es-PR"/>
              </w:rPr>
              <w:t>Staph1N + oxacil</w:t>
            </w:r>
            <w:r w:rsidR="009E74C0">
              <w:rPr>
                <w:rFonts w:ascii="Arial" w:hAnsi="Arial" w:cs="Arial"/>
                <w:sz w:val="16"/>
                <w:szCs w:val="16"/>
                <w:lang w:val="es-PR"/>
              </w:rPr>
              <w:t>ina</w:t>
            </w:r>
          </w:p>
        </w:tc>
        <w:tc>
          <w:tcPr>
            <w:tcW w:w="1215" w:type="dxa"/>
            <w:noWrap/>
            <w:vAlign w:val="center"/>
          </w:tcPr>
          <w:p w14:paraId="57B68AF6" w14:textId="77777777" w:rsidR="006A5517" w:rsidRPr="006A5517" w:rsidRDefault="006A5517" w:rsidP="00EC06DE">
            <w:pPr>
              <w:jc w:val="center"/>
              <w:rPr>
                <w:rFonts w:ascii="Arial" w:hAnsi="Arial" w:cs="Arial"/>
                <w:color w:val="000000"/>
                <w:sz w:val="16"/>
                <w:szCs w:val="16"/>
                <w:lang w:val="es-PR"/>
              </w:rPr>
            </w:pPr>
          </w:p>
        </w:tc>
      </w:tr>
    </w:tbl>
    <w:p w14:paraId="43AB7FBC" w14:textId="77777777" w:rsidR="006A5517" w:rsidRDefault="006A5517" w:rsidP="00291D38">
      <w:pPr>
        <w:pStyle w:val="NoSpacing"/>
        <w:rPr>
          <w:rFonts w:ascii="Times New Roman" w:hAnsi="Times New Roman" w:cs="Times New Roman"/>
          <w:lang w:val="es-PR"/>
        </w:rPr>
      </w:pPr>
    </w:p>
    <w:p w14:paraId="6801068C" w14:textId="77777777" w:rsidR="00CF30E9" w:rsidRDefault="00CF30E9" w:rsidP="00291D38">
      <w:pPr>
        <w:pStyle w:val="NoSpacing"/>
        <w:rPr>
          <w:rFonts w:ascii="Times New Roman" w:hAnsi="Times New Roman" w:cs="Times New Roman"/>
          <w:lang w:val="es-PR"/>
        </w:rPr>
      </w:pPr>
    </w:p>
    <w:p w14:paraId="07D99F2F" w14:textId="3ABBEE5E" w:rsidR="00CF30E9" w:rsidRDefault="00CF30E9" w:rsidP="00CF30E9">
      <w:pPr>
        <w:pStyle w:val="NoSpacing"/>
        <w:rPr>
          <w:rFonts w:ascii="Times New Roman" w:hAnsi="Times New Roman" w:cs="Times New Roman"/>
          <w:lang w:val="es-PR"/>
        </w:rPr>
      </w:pPr>
      <w:r w:rsidRPr="00CF30E9">
        <w:rPr>
          <w:rFonts w:ascii="Times New Roman" w:hAnsi="Times New Roman" w:cs="Times New Roman"/>
          <w:lang w:val="es-PR"/>
        </w:rPr>
        <w:t xml:space="preserve">Una hipótesis para explicar la pérdida de resistencia a los β-lactámicos es que la infección por fagos seleccionó </w:t>
      </w:r>
      <w:r>
        <w:rPr>
          <w:rFonts w:ascii="Times New Roman" w:hAnsi="Times New Roman" w:cs="Times New Roman"/>
          <w:lang w:val="es-PR"/>
        </w:rPr>
        <w:t>a</w:t>
      </w:r>
      <w:r w:rsidRPr="00CF30E9">
        <w:rPr>
          <w:rFonts w:ascii="Times New Roman" w:hAnsi="Times New Roman" w:cs="Times New Roman"/>
          <w:lang w:val="es-PR"/>
        </w:rPr>
        <w:t xml:space="preserve"> </w:t>
      </w:r>
      <w:r w:rsidRPr="00CF30E9">
        <w:rPr>
          <w:rFonts w:ascii="Times New Roman" w:hAnsi="Times New Roman" w:cs="Times New Roman"/>
          <w:i/>
          <w:iCs/>
          <w:lang w:val="es-PR"/>
        </w:rPr>
        <w:t>SCCmec</w:t>
      </w:r>
      <w:r w:rsidRPr="00CF30E9">
        <w:rPr>
          <w:rFonts w:ascii="Times New Roman" w:hAnsi="Times New Roman" w:cs="Times New Roman"/>
          <w:lang w:val="es-PR"/>
        </w:rPr>
        <w:t xml:space="preserve"> o </w:t>
      </w:r>
      <w:r w:rsidRPr="00CF30E9">
        <w:rPr>
          <w:rFonts w:ascii="Times New Roman" w:hAnsi="Times New Roman" w:cs="Times New Roman"/>
          <w:i/>
          <w:iCs/>
          <w:lang w:val="es-PR"/>
        </w:rPr>
        <w:t>blaZ</w:t>
      </w:r>
      <w:r w:rsidRPr="00CF30E9">
        <w:rPr>
          <w:rFonts w:ascii="Times New Roman" w:hAnsi="Times New Roman" w:cs="Times New Roman"/>
          <w:lang w:val="es-PR"/>
        </w:rPr>
        <w:t xml:space="preserve"> defectuoso</w:t>
      </w:r>
      <w:r>
        <w:rPr>
          <w:rFonts w:ascii="Times New Roman" w:hAnsi="Times New Roman" w:cs="Times New Roman"/>
          <w:lang w:val="es-PR"/>
        </w:rPr>
        <w:t>s</w:t>
      </w:r>
      <w:r w:rsidRPr="00CF30E9">
        <w:rPr>
          <w:rFonts w:ascii="Times New Roman" w:hAnsi="Times New Roman" w:cs="Times New Roman"/>
          <w:lang w:val="es-PR"/>
        </w:rPr>
        <w:t xml:space="preserve">. Sin embargo, no se observaron mutaciones en </w:t>
      </w:r>
      <w:r>
        <w:rPr>
          <w:rFonts w:ascii="Times New Roman" w:hAnsi="Times New Roman" w:cs="Times New Roman"/>
          <w:lang w:val="es-PR"/>
        </w:rPr>
        <w:t>ninguno de los</w:t>
      </w:r>
      <w:r w:rsidRPr="00CF30E9">
        <w:rPr>
          <w:rFonts w:ascii="Times New Roman" w:hAnsi="Times New Roman" w:cs="Times New Roman"/>
          <w:lang w:val="es-PR"/>
        </w:rPr>
        <w:t xml:space="preserve"> loc</w:t>
      </w:r>
      <w:r>
        <w:rPr>
          <w:rFonts w:ascii="Times New Roman" w:hAnsi="Times New Roman" w:cs="Times New Roman"/>
          <w:lang w:val="es-PR"/>
        </w:rPr>
        <w:t>us</w:t>
      </w:r>
      <w:r w:rsidRPr="00CF30E9">
        <w:rPr>
          <w:rFonts w:ascii="Times New Roman" w:hAnsi="Times New Roman" w:cs="Times New Roman"/>
          <w:lang w:val="es-PR"/>
        </w:rPr>
        <w:t xml:space="preserve">. En cambio, todas las cepas de SARM presentaron mutaciones en genes auxiliares implicados en la pérdida de resistencia a los β-lactámicos. En MRSA252, tanto la infección por ΦStaph1N como por Evo2 seleccionó </w:t>
      </w:r>
      <w:r>
        <w:rPr>
          <w:rFonts w:ascii="Times New Roman" w:hAnsi="Times New Roman" w:cs="Times New Roman"/>
          <w:lang w:val="es-PR"/>
        </w:rPr>
        <w:t>a</w:t>
      </w:r>
      <w:r w:rsidRPr="00CF30E9">
        <w:rPr>
          <w:rFonts w:ascii="Times New Roman" w:hAnsi="Times New Roman" w:cs="Times New Roman"/>
          <w:lang w:val="es-PR"/>
        </w:rPr>
        <w:t xml:space="preserve"> mutaciones sin sentido en el gen </w:t>
      </w:r>
      <w:r w:rsidRPr="00CF30E9">
        <w:rPr>
          <w:rFonts w:ascii="Times New Roman" w:hAnsi="Times New Roman" w:cs="Times New Roman"/>
          <w:i/>
          <w:iCs/>
          <w:lang w:val="es-PR"/>
        </w:rPr>
        <w:t>femA</w:t>
      </w:r>
      <w:r w:rsidRPr="00CF30E9">
        <w:rPr>
          <w:rFonts w:ascii="Times New Roman" w:hAnsi="Times New Roman" w:cs="Times New Roman"/>
          <w:lang w:val="es-PR"/>
        </w:rPr>
        <w:t xml:space="preserve">, que inactivarían el producto proteico. Como se mencionó anteriormente, </w:t>
      </w:r>
      <w:r w:rsidRPr="00CF30E9">
        <w:rPr>
          <w:rFonts w:ascii="Times New Roman" w:hAnsi="Times New Roman" w:cs="Times New Roman"/>
          <w:i/>
          <w:iCs/>
          <w:lang w:val="es-PR"/>
        </w:rPr>
        <w:t>femA</w:t>
      </w:r>
      <w:r w:rsidRPr="00CF30E9">
        <w:rPr>
          <w:rFonts w:ascii="Times New Roman" w:hAnsi="Times New Roman" w:cs="Times New Roman"/>
          <w:lang w:val="es-PR"/>
        </w:rPr>
        <w:t xml:space="preserve"> es necesario para la síntesis de pentaglicina en el lípido II de </w:t>
      </w:r>
      <w:r w:rsidRPr="00CF30E9">
        <w:rPr>
          <w:rFonts w:ascii="Times New Roman" w:hAnsi="Times New Roman" w:cs="Times New Roman"/>
          <w:i/>
          <w:iCs/>
          <w:lang w:val="es-PR"/>
        </w:rPr>
        <w:t>S. aureus</w:t>
      </w:r>
      <w:r w:rsidRPr="00CF30E9">
        <w:rPr>
          <w:rFonts w:ascii="Times New Roman" w:hAnsi="Times New Roman" w:cs="Times New Roman"/>
          <w:lang w:val="es-PR"/>
        </w:rPr>
        <w:t xml:space="preserve">, el precursor del peptidoglicano (Tabla </w:t>
      </w:r>
      <w:r w:rsidR="009E74C0">
        <w:rPr>
          <w:rFonts w:ascii="Times New Roman" w:hAnsi="Times New Roman" w:cs="Times New Roman"/>
          <w:lang w:val="es-PR"/>
        </w:rPr>
        <w:t>4</w:t>
      </w:r>
      <w:r w:rsidRPr="00CF30E9">
        <w:rPr>
          <w:rFonts w:ascii="Times New Roman" w:hAnsi="Times New Roman" w:cs="Times New Roman"/>
          <w:lang w:val="es-PR"/>
        </w:rPr>
        <w:t xml:space="preserve">). Se ha demostrado que la </w:t>
      </w:r>
      <w:r>
        <w:rPr>
          <w:rFonts w:ascii="Times New Roman" w:hAnsi="Times New Roman" w:cs="Times New Roman"/>
          <w:lang w:val="es-PR"/>
        </w:rPr>
        <w:t>eliminación</w:t>
      </w:r>
      <w:r w:rsidRPr="00CF30E9">
        <w:rPr>
          <w:rFonts w:ascii="Times New Roman" w:hAnsi="Times New Roman" w:cs="Times New Roman"/>
          <w:lang w:val="es-PR"/>
        </w:rPr>
        <w:t xml:space="preserve"> de </w:t>
      </w:r>
      <w:r w:rsidRPr="00CF30E9">
        <w:rPr>
          <w:rFonts w:ascii="Times New Roman" w:hAnsi="Times New Roman" w:cs="Times New Roman"/>
          <w:i/>
          <w:iCs/>
          <w:lang w:val="es-PR"/>
        </w:rPr>
        <w:t>femA</w:t>
      </w:r>
      <w:r w:rsidRPr="00CF30E9">
        <w:rPr>
          <w:rFonts w:ascii="Times New Roman" w:hAnsi="Times New Roman" w:cs="Times New Roman"/>
          <w:lang w:val="es-PR"/>
        </w:rPr>
        <w:t xml:space="preserve"> aumenta la susceptibilidad a l</w:t>
      </w:r>
      <w:r>
        <w:rPr>
          <w:rFonts w:ascii="Times New Roman" w:hAnsi="Times New Roman" w:cs="Times New Roman"/>
          <w:lang w:val="es-PR"/>
        </w:rPr>
        <w:t>o</w:t>
      </w:r>
      <w:r w:rsidRPr="00CF30E9">
        <w:rPr>
          <w:rFonts w:ascii="Times New Roman" w:hAnsi="Times New Roman" w:cs="Times New Roman"/>
          <w:lang w:val="es-PR"/>
        </w:rPr>
        <w:t>s β-lactámic</w:t>
      </w:r>
      <w:r>
        <w:rPr>
          <w:rFonts w:ascii="Times New Roman" w:hAnsi="Times New Roman" w:cs="Times New Roman"/>
          <w:lang w:val="es-PR"/>
        </w:rPr>
        <w:t>o</w:t>
      </w:r>
      <w:r w:rsidRPr="00CF30E9">
        <w:rPr>
          <w:rFonts w:ascii="Times New Roman" w:hAnsi="Times New Roman" w:cs="Times New Roman"/>
          <w:lang w:val="es-PR"/>
        </w:rPr>
        <w:t xml:space="preserve">s incluso cuando se expresa PBP2a (codificada por </w:t>
      </w:r>
      <w:r w:rsidRPr="00CF30E9">
        <w:rPr>
          <w:rFonts w:ascii="Times New Roman" w:hAnsi="Times New Roman" w:cs="Times New Roman"/>
          <w:i/>
          <w:iCs/>
          <w:lang w:val="es-PR"/>
        </w:rPr>
        <w:t>mecA</w:t>
      </w:r>
      <w:r w:rsidRPr="00CF30E9">
        <w:rPr>
          <w:rFonts w:ascii="Times New Roman" w:hAnsi="Times New Roman" w:cs="Times New Roman"/>
          <w:lang w:val="es-PR"/>
        </w:rPr>
        <w:t>), lo que proporciona un mecanismo genético que explica cómo MRSA252 pierden la resistencia a las β-lactámicas tras la selección de fagos.</w:t>
      </w:r>
      <w:r w:rsidRPr="00CF30E9">
        <w:rPr>
          <w:rFonts w:ascii="Times New Roman" w:hAnsi="Times New Roman" w:cs="Times New Roman"/>
          <w:vertAlign w:val="superscript"/>
          <w:lang w:val="es-PR"/>
        </w:rPr>
        <w:t>43,44</w:t>
      </w:r>
      <w:r w:rsidRPr="00CF30E9">
        <w:rPr>
          <w:rFonts w:ascii="Times New Roman" w:hAnsi="Times New Roman" w:cs="Times New Roman"/>
          <w:lang w:val="es-PR"/>
        </w:rPr>
        <w:t xml:space="preserve"> Al mismo tiempo, se detectó la presencia de otras mutaciones no caracterizadas en MRSA252 resistente a fagos. Por ejemplo, el clon A de células tratadas con ΦStaph1N presentaba dos mutaciones: un</w:t>
      </w:r>
      <w:r>
        <w:rPr>
          <w:rFonts w:ascii="Times New Roman" w:hAnsi="Times New Roman" w:cs="Times New Roman"/>
          <w:lang w:val="es-PR"/>
        </w:rPr>
        <w:t xml:space="preserve">a mutación sin sentido </w:t>
      </w:r>
      <w:r w:rsidRPr="00CF30E9">
        <w:rPr>
          <w:rFonts w:ascii="Times New Roman" w:hAnsi="Times New Roman" w:cs="Times New Roman"/>
          <w:lang w:val="es-PR"/>
        </w:rPr>
        <w:t xml:space="preserve">en </w:t>
      </w:r>
      <w:r w:rsidRPr="00CF30E9">
        <w:rPr>
          <w:rFonts w:ascii="Times New Roman" w:hAnsi="Times New Roman" w:cs="Times New Roman"/>
          <w:i/>
          <w:iCs/>
          <w:lang w:val="es-PR"/>
        </w:rPr>
        <w:t>femA</w:t>
      </w:r>
      <w:r w:rsidRPr="00CF30E9">
        <w:rPr>
          <w:rFonts w:ascii="Times New Roman" w:hAnsi="Times New Roman" w:cs="Times New Roman"/>
          <w:lang w:val="es-PR"/>
        </w:rPr>
        <w:t xml:space="preserve"> y una mutación </w:t>
      </w:r>
      <w:r>
        <w:rPr>
          <w:rFonts w:ascii="Times New Roman" w:hAnsi="Times New Roman" w:cs="Times New Roman"/>
          <w:lang w:val="es-PR"/>
        </w:rPr>
        <w:t xml:space="preserve">de </w:t>
      </w:r>
      <w:r w:rsidRPr="00CF30E9">
        <w:rPr>
          <w:rFonts w:ascii="Times New Roman" w:hAnsi="Times New Roman" w:cs="Times New Roman"/>
          <w:lang w:val="es-PR"/>
        </w:rPr>
        <w:t xml:space="preserve">sustitución en una proteína no </w:t>
      </w:r>
      <w:r w:rsidRPr="00CF30E9">
        <w:rPr>
          <w:rFonts w:ascii="Times New Roman" w:hAnsi="Times New Roman" w:cs="Times New Roman"/>
          <w:lang w:val="es-PR"/>
        </w:rPr>
        <w:lastRenderedPageBreak/>
        <w:t xml:space="preserve">caracterizada; por otro lado, el clon B mostró una mutación </w:t>
      </w:r>
      <w:r>
        <w:rPr>
          <w:rFonts w:ascii="Times New Roman" w:hAnsi="Times New Roman" w:cs="Times New Roman"/>
          <w:lang w:val="es-PR"/>
        </w:rPr>
        <w:t>de</w:t>
      </w:r>
      <w:r w:rsidRPr="00CF30E9">
        <w:rPr>
          <w:rFonts w:ascii="Times New Roman" w:hAnsi="Times New Roman" w:cs="Times New Roman"/>
          <w:lang w:val="es-PR"/>
        </w:rPr>
        <w:t xml:space="preserve"> sustitución en </w:t>
      </w:r>
      <w:r w:rsidRPr="00CF30E9">
        <w:rPr>
          <w:rFonts w:ascii="Times New Roman" w:hAnsi="Times New Roman" w:cs="Times New Roman"/>
          <w:i/>
          <w:iCs/>
          <w:lang w:val="es-PR"/>
        </w:rPr>
        <w:t>pfkA</w:t>
      </w:r>
      <w:r w:rsidRPr="00CF30E9">
        <w:rPr>
          <w:rFonts w:ascii="Times New Roman" w:hAnsi="Times New Roman" w:cs="Times New Roman"/>
          <w:lang w:val="es-PR"/>
        </w:rPr>
        <w:t xml:space="preserve">, una 6-fosfofructoquinasa dependiente de ATP , y una mutación en una región intergénica; el clon C mostró una mutación por sustitución en una posible proteína de transporte, denominada </w:t>
      </w:r>
      <w:r w:rsidRPr="00136C26">
        <w:rPr>
          <w:rFonts w:ascii="Times New Roman" w:hAnsi="Times New Roman" w:cs="Times New Roman"/>
          <w:i/>
          <w:iCs/>
          <w:lang w:val="es-PR"/>
        </w:rPr>
        <w:t>yueF</w:t>
      </w:r>
      <w:r w:rsidRPr="00CF30E9">
        <w:rPr>
          <w:rFonts w:ascii="Times New Roman" w:hAnsi="Times New Roman" w:cs="Times New Roman"/>
          <w:lang w:val="es-PR"/>
        </w:rPr>
        <w:t xml:space="preserve"> (Figura 3B, </w:t>
      </w:r>
      <w:r w:rsidR="009E74C0">
        <w:rPr>
          <w:rFonts w:ascii="Times New Roman" w:hAnsi="Times New Roman" w:cs="Times New Roman"/>
          <w:lang w:val="es-PR"/>
        </w:rPr>
        <w:t>Archivo suplementario 1</w:t>
      </w:r>
      <w:r w:rsidRPr="00CF30E9">
        <w:rPr>
          <w:rFonts w:ascii="Times New Roman" w:hAnsi="Times New Roman" w:cs="Times New Roman"/>
          <w:lang w:val="es-PR"/>
        </w:rPr>
        <w:t>). Se desconoce el papel de estas mutaciones en la mediación de la resistencia a los fagos o la sensibilidad a l</w:t>
      </w:r>
      <w:r w:rsidR="00136C26">
        <w:rPr>
          <w:rFonts w:ascii="Times New Roman" w:hAnsi="Times New Roman" w:cs="Times New Roman"/>
          <w:lang w:val="es-PR"/>
        </w:rPr>
        <w:t>o</w:t>
      </w:r>
      <w:r w:rsidRPr="00CF30E9">
        <w:rPr>
          <w:rFonts w:ascii="Times New Roman" w:hAnsi="Times New Roman" w:cs="Times New Roman"/>
          <w:lang w:val="es-PR"/>
        </w:rPr>
        <w:t>s β-lact</w:t>
      </w:r>
      <w:r w:rsidR="00136C26">
        <w:rPr>
          <w:rFonts w:ascii="Times New Roman" w:hAnsi="Times New Roman" w:cs="Times New Roman"/>
          <w:lang w:val="es-PR"/>
        </w:rPr>
        <w:t>á</w:t>
      </w:r>
      <w:r w:rsidRPr="00CF30E9">
        <w:rPr>
          <w:rFonts w:ascii="Times New Roman" w:hAnsi="Times New Roman" w:cs="Times New Roman"/>
          <w:lang w:val="es-PR"/>
        </w:rPr>
        <w:t>m</w:t>
      </w:r>
      <w:r w:rsidR="00136C26">
        <w:rPr>
          <w:rFonts w:ascii="Times New Roman" w:hAnsi="Times New Roman" w:cs="Times New Roman"/>
          <w:lang w:val="es-PR"/>
        </w:rPr>
        <w:t>ico</w:t>
      </w:r>
      <w:r w:rsidRPr="00CF30E9">
        <w:rPr>
          <w:rFonts w:ascii="Times New Roman" w:hAnsi="Times New Roman" w:cs="Times New Roman"/>
          <w:lang w:val="es-PR"/>
        </w:rPr>
        <w:t>s, si existe alguna.</w:t>
      </w:r>
    </w:p>
    <w:p w14:paraId="647E7B19" w14:textId="77777777" w:rsidR="00136C26" w:rsidRDefault="00136C26" w:rsidP="00CF30E9">
      <w:pPr>
        <w:pStyle w:val="NoSpacing"/>
        <w:rPr>
          <w:rFonts w:ascii="Times New Roman" w:hAnsi="Times New Roman" w:cs="Times New Roman"/>
          <w:lang w:val="es-PR"/>
        </w:rPr>
      </w:pPr>
    </w:p>
    <w:p w14:paraId="77DE8C9F" w14:textId="2AA0F00D" w:rsidR="00136C26" w:rsidRDefault="00136C26" w:rsidP="00136C26">
      <w:pPr>
        <w:pStyle w:val="NoSpacing"/>
        <w:rPr>
          <w:rFonts w:ascii="Times New Roman" w:hAnsi="Times New Roman" w:cs="Times New Roman"/>
          <w:lang w:val="es-PR"/>
        </w:rPr>
      </w:pPr>
      <w:r w:rsidRPr="00136C26">
        <w:rPr>
          <w:rFonts w:ascii="Times New Roman" w:hAnsi="Times New Roman" w:cs="Times New Roman"/>
          <w:lang w:val="es-PR"/>
        </w:rPr>
        <w:t xml:space="preserve">En MW2, </w:t>
      </w:r>
      <w:r>
        <w:rPr>
          <w:rFonts w:ascii="Times New Roman" w:hAnsi="Times New Roman" w:cs="Times New Roman"/>
          <w:lang w:val="es-PR"/>
        </w:rPr>
        <w:t>encontramos</w:t>
      </w:r>
      <w:r w:rsidRPr="00136C26">
        <w:rPr>
          <w:rFonts w:ascii="Times New Roman" w:hAnsi="Times New Roman" w:cs="Times New Roman"/>
          <w:lang w:val="es-PR"/>
        </w:rPr>
        <w:t xml:space="preserve"> mutaciones en dos reguladores transcripcionales, </w:t>
      </w:r>
      <w:r w:rsidRPr="00136C26">
        <w:rPr>
          <w:rFonts w:ascii="Times New Roman" w:hAnsi="Times New Roman" w:cs="Times New Roman"/>
          <w:i/>
          <w:iCs/>
          <w:lang w:val="es-PR"/>
        </w:rPr>
        <w:t>mgrA</w:t>
      </w:r>
      <w:r w:rsidRPr="00136C26">
        <w:rPr>
          <w:rFonts w:ascii="Times New Roman" w:hAnsi="Times New Roman" w:cs="Times New Roman"/>
          <w:lang w:val="es-PR"/>
        </w:rPr>
        <w:t xml:space="preserve"> y </w:t>
      </w:r>
      <w:r w:rsidRPr="00136C26">
        <w:rPr>
          <w:rFonts w:ascii="Times New Roman" w:hAnsi="Times New Roman" w:cs="Times New Roman"/>
          <w:i/>
          <w:iCs/>
          <w:lang w:val="es-PR"/>
        </w:rPr>
        <w:t>sarA</w:t>
      </w:r>
      <w:r w:rsidRPr="00136C26">
        <w:rPr>
          <w:rFonts w:ascii="Times New Roman" w:hAnsi="Times New Roman" w:cs="Times New Roman"/>
          <w:lang w:val="es-PR"/>
        </w:rPr>
        <w:t xml:space="preserve"> (Figura 3A, Tabla </w:t>
      </w:r>
      <w:r w:rsidR="009E74C0">
        <w:rPr>
          <w:rFonts w:ascii="Times New Roman" w:hAnsi="Times New Roman" w:cs="Times New Roman"/>
          <w:lang w:val="es-PR"/>
        </w:rPr>
        <w:t>4</w:t>
      </w:r>
      <w:r w:rsidRPr="00136C26">
        <w:rPr>
          <w:rFonts w:ascii="Times New Roman" w:hAnsi="Times New Roman" w:cs="Times New Roman"/>
          <w:lang w:val="es-PR"/>
        </w:rPr>
        <w:t xml:space="preserve">). Tanto </w:t>
      </w:r>
      <w:r w:rsidRPr="00136C26">
        <w:rPr>
          <w:rFonts w:ascii="Times New Roman" w:hAnsi="Times New Roman" w:cs="Times New Roman"/>
          <w:i/>
          <w:iCs/>
          <w:lang w:val="es-PR"/>
        </w:rPr>
        <w:t>mgrA</w:t>
      </w:r>
      <w:r w:rsidRPr="00136C26">
        <w:rPr>
          <w:rFonts w:ascii="Times New Roman" w:hAnsi="Times New Roman" w:cs="Times New Roman"/>
          <w:lang w:val="es-PR"/>
        </w:rPr>
        <w:t xml:space="preserve"> como </w:t>
      </w:r>
      <w:r w:rsidRPr="00136C26">
        <w:rPr>
          <w:rFonts w:ascii="Times New Roman" w:hAnsi="Times New Roman" w:cs="Times New Roman"/>
          <w:i/>
          <w:iCs/>
          <w:lang w:val="es-PR"/>
        </w:rPr>
        <w:t>sarA</w:t>
      </w:r>
      <w:r w:rsidRPr="00136C26">
        <w:rPr>
          <w:rFonts w:ascii="Times New Roman" w:hAnsi="Times New Roman" w:cs="Times New Roman"/>
          <w:lang w:val="es-PR"/>
        </w:rPr>
        <w:t xml:space="preserve"> pertenecen a la familia de proteínas MarR (regulador de resistencia múltiple a antibióticos)/SarA (regulador accesorio estafilocócico A), que regulan la resistencia a </w:t>
      </w:r>
      <w:r>
        <w:rPr>
          <w:rFonts w:ascii="Times New Roman" w:hAnsi="Times New Roman" w:cs="Times New Roman"/>
          <w:lang w:val="es-PR"/>
        </w:rPr>
        <w:t>antibióticos</w:t>
      </w:r>
      <w:r w:rsidRPr="00136C26">
        <w:rPr>
          <w:rFonts w:ascii="Times New Roman" w:hAnsi="Times New Roman" w:cs="Times New Roman"/>
          <w:lang w:val="es-PR"/>
        </w:rPr>
        <w:t xml:space="preserve"> y la virulencia en </w:t>
      </w:r>
      <w:r w:rsidRPr="00136C26">
        <w:rPr>
          <w:rFonts w:ascii="Times New Roman" w:hAnsi="Times New Roman" w:cs="Times New Roman"/>
          <w:i/>
          <w:iCs/>
          <w:lang w:val="es-PR"/>
        </w:rPr>
        <w:t>S. aureus</w:t>
      </w:r>
      <w:r w:rsidRPr="00136C26">
        <w:rPr>
          <w:rFonts w:ascii="Times New Roman" w:hAnsi="Times New Roman" w:cs="Times New Roman"/>
          <w:lang w:val="es-PR"/>
        </w:rPr>
        <w:t>.</w:t>
      </w:r>
      <w:r w:rsidRPr="00136C26">
        <w:rPr>
          <w:rFonts w:ascii="Times New Roman" w:hAnsi="Times New Roman" w:cs="Times New Roman"/>
          <w:vertAlign w:val="superscript"/>
          <w:lang w:val="es-PR"/>
        </w:rPr>
        <w:t>31–33</w:t>
      </w:r>
      <w:r w:rsidRPr="00136C26">
        <w:rPr>
          <w:rFonts w:ascii="Times New Roman" w:hAnsi="Times New Roman" w:cs="Times New Roman"/>
          <w:lang w:val="es-PR"/>
        </w:rPr>
        <w:t xml:space="preserve"> En MW2 tratado con ΦStaph1N, solo </w:t>
      </w:r>
      <w:r w:rsidRPr="00136C26">
        <w:rPr>
          <w:rFonts w:ascii="Times New Roman" w:hAnsi="Times New Roman" w:cs="Times New Roman"/>
          <w:i/>
          <w:iCs/>
          <w:lang w:val="es-PR"/>
        </w:rPr>
        <w:t>mgrA</w:t>
      </w:r>
      <w:r w:rsidRPr="00136C26">
        <w:rPr>
          <w:rFonts w:ascii="Times New Roman" w:hAnsi="Times New Roman" w:cs="Times New Roman"/>
          <w:lang w:val="es-PR"/>
        </w:rPr>
        <w:t xml:space="preserve"> mutó, mientras que en MW2 tratado con Evo2, los clones también mostraron mutaciones sin sentido en </w:t>
      </w:r>
      <w:r w:rsidRPr="00136C26">
        <w:rPr>
          <w:rFonts w:ascii="Times New Roman" w:hAnsi="Times New Roman" w:cs="Times New Roman"/>
          <w:i/>
          <w:iCs/>
          <w:lang w:val="es-PR"/>
        </w:rPr>
        <w:t>sarA</w:t>
      </w:r>
      <w:r w:rsidRPr="00136C26">
        <w:rPr>
          <w:rFonts w:ascii="Times New Roman" w:hAnsi="Times New Roman" w:cs="Times New Roman"/>
          <w:lang w:val="es-PR"/>
        </w:rPr>
        <w:t>.</w:t>
      </w:r>
      <w:r>
        <w:rPr>
          <w:rFonts w:ascii="Times New Roman" w:hAnsi="Times New Roman" w:cs="Times New Roman"/>
          <w:lang w:val="es-PR"/>
        </w:rPr>
        <w:t xml:space="preserve"> </w:t>
      </w:r>
      <w:r w:rsidRPr="00136C26">
        <w:rPr>
          <w:rFonts w:ascii="Times New Roman" w:hAnsi="Times New Roman" w:cs="Times New Roman"/>
          <w:lang w:val="es-PR"/>
        </w:rPr>
        <w:t xml:space="preserve">También se encontraron mutaciones en </w:t>
      </w:r>
      <w:r w:rsidRPr="00136C26">
        <w:rPr>
          <w:rFonts w:ascii="Times New Roman" w:hAnsi="Times New Roman" w:cs="Times New Roman"/>
          <w:i/>
          <w:iCs/>
          <w:lang w:val="es-PR"/>
        </w:rPr>
        <w:t>metK</w:t>
      </w:r>
      <w:r w:rsidRPr="00136C26">
        <w:rPr>
          <w:rFonts w:ascii="Times New Roman" w:hAnsi="Times New Roman" w:cs="Times New Roman"/>
          <w:lang w:val="es-PR"/>
        </w:rPr>
        <w:t xml:space="preserve"> e </w:t>
      </w:r>
      <w:r w:rsidRPr="00136C26">
        <w:rPr>
          <w:rFonts w:ascii="Times New Roman" w:hAnsi="Times New Roman" w:cs="Times New Roman"/>
          <w:i/>
          <w:iCs/>
          <w:lang w:val="es-PR"/>
        </w:rPr>
        <w:t>ytqA</w:t>
      </w:r>
      <w:r w:rsidRPr="00136C26">
        <w:rPr>
          <w:rFonts w:ascii="Times New Roman" w:hAnsi="Times New Roman" w:cs="Times New Roman"/>
          <w:lang w:val="es-PR"/>
        </w:rPr>
        <w:t>, amb</w:t>
      </w:r>
      <w:r>
        <w:rPr>
          <w:rFonts w:ascii="Times New Roman" w:hAnsi="Times New Roman" w:cs="Times New Roman"/>
          <w:lang w:val="es-PR"/>
        </w:rPr>
        <w:t>o</w:t>
      </w:r>
      <w:r w:rsidRPr="00136C26">
        <w:rPr>
          <w:rFonts w:ascii="Times New Roman" w:hAnsi="Times New Roman" w:cs="Times New Roman"/>
          <w:lang w:val="es-PR"/>
        </w:rPr>
        <w:t>s asociad</w:t>
      </w:r>
      <w:r>
        <w:rPr>
          <w:rFonts w:ascii="Times New Roman" w:hAnsi="Times New Roman" w:cs="Times New Roman"/>
          <w:lang w:val="es-PR"/>
        </w:rPr>
        <w:t>o</w:t>
      </w:r>
      <w:r w:rsidRPr="00136C26">
        <w:rPr>
          <w:rFonts w:ascii="Times New Roman" w:hAnsi="Times New Roman" w:cs="Times New Roman"/>
          <w:lang w:val="es-PR"/>
        </w:rPr>
        <w:t xml:space="preserve">s con S-adenosilmetionina (SAM): </w:t>
      </w:r>
      <w:r w:rsidRPr="00136C26">
        <w:rPr>
          <w:rFonts w:ascii="Times New Roman" w:hAnsi="Times New Roman" w:cs="Times New Roman"/>
          <w:i/>
          <w:iCs/>
          <w:lang w:val="es-PR"/>
        </w:rPr>
        <w:t>metK</w:t>
      </w:r>
      <w:r w:rsidRPr="00136C26">
        <w:rPr>
          <w:rFonts w:ascii="Times New Roman" w:hAnsi="Times New Roman" w:cs="Times New Roman"/>
          <w:lang w:val="es-PR"/>
        </w:rPr>
        <w:t xml:space="preserve"> sintetiza SAM, mientras que </w:t>
      </w:r>
      <w:r w:rsidRPr="00136C26">
        <w:rPr>
          <w:rFonts w:ascii="Times New Roman" w:hAnsi="Times New Roman" w:cs="Times New Roman"/>
          <w:i/>
          <w:iCs/>
          <w:lang w:val="es-PR"/>
        </w:rPr>
        <w:t>ytqA</w:t>
      </w:r>
      <w:r w:rsidRPr="00136C26">
        <w:rPr>
          <w:rFonts w:ascii="Times New Roman" w:hAnsi="Times New Roman" w:cs="Times New Roman"/>
          <w:lang w:val="es-PR"/>
        </w:rPr>
        <w:t xml:space="preserve"> pertenece a la familia de enzimas radicales SAM y se predice que participa en la modificación del ARNt.</w:t>
      </w:r>
      <w:r w:rsidRPr="00136C26">
        <w:rPr>
          <w:rFonts w:ascii="Times New Roman" w:hAnsi="Times New Roman" w:cs="Times New Roman"/>
          <w:vertAlign w:val="superscript"/>
          <w:lang w:val="es-PR"/>
        </w:rPr>
        <w:t>41,47</w:t>
      </w:r>
      <w:r w:rsidRPr="00136C26">
        <w:rPr>
          <w:rFonts w:ascii="Times New Roman" w:hAnsi="Times New Roman" w:cs="Times New Roman"/>
          <w:lang w:val="es-PR"/>
        </w:rPr>
        <w:t xml:space="preserve"> MW2 tratado con fagos también mostró mutaciones en otros genes, como </w:t>
      </w:r>
      <w:r w:rsidRPr="00136C26">
        <w:rPr>
          <w:rFonts w:ascii="Times New Roman" w:hAnsi="Times New Roman" w:cs="Times New Roman"/>
          <w:i/>
          <w:iCs/>
          <w:lang w:val="es-PR"/>
        </w:rPr>
        <w:t>tcaB</w:t>
      </w:r>
      <w:r w:rsidRPr="00136C26">
        <w:rPr>
          <w:rFonts w:ascii="Times New Roman" w:hAnsi="Times New Roman" w:cs="Times New Roman"/>
          <w:lang w:val="es-PR"/>
        </w:rPr>
        <w:t xml:space="preserve"> y </w:t>
      </w:r>
      <w:r w:rsidRPr="00136C26">
        <w:rPr>
          <w:rFonts w:ascii="Times New Roman" w:hAnsi="Times New Roman" w:cs="Times New Roman"/>
          <w:i/>
          <w:iCs/>
          <w:lang w:val="es-PR"/>
        </w:rPr>
        <w:t>murE</w:t>
      </w:r>
      <w:r w:rsidRPr="00136C26">
        <w:rPr>
          <w:rFonts w:ascii="Times New Roman" w:hAnsi="Times New Roman" w:cs="Times New Roman"/>
          <w:lang w:val="es-PR"/>
        </w:rPr>
        <w:t>. Cabe destacar que cada réplica clonal presentó múltiples mutaciones en el genoma, mientras que, en contraste, las células MW2 no tratadas solo mostraron una deleción en una región intergénica que no está presente en ninguna de las muestras tratadas con fagos. Estos hallazgos sugieren que MW2 podría estar acumulando múltiples mutaciones durante la infección por fagos.</w:t>
      </w:r>
    </w:p>
    <w:p w14:paraId="4F8B1652" w14:textId="77777777" w:rsidR="00F7152B" w:rsidRDefault="00F7152B" w:rsidP="00136C26">
      <w:pPr>
        <w:pStyle w:val="NoSpacing"/>
        <w:rPr>
          <w:rFonts w:ascii="Times New Roman" w:hAnsi="Times New Roman" w:cs="Times New Roman"/>
          <w:lang w:val="es-PR"/>
        </w:rPr>
      </w:pPr>
    </w:p>
    <w:p w14:paraId="3E3554C7" w14:textId="0A1AEC39" w:rsidR="00F7152B" w:rsidRDefault="00F7152B" w:rsidP="00F7152B">
      <w:pPr>
        <w:pStyle w:val="NoSpacing"/>
        <w:rPr>
          <w:rFonts w:ascii="Times New Roman" w:hAnsi="Times New Roman" w:cs="Times New Roman"/>
          <w:lang w:val="es-PR"/>
        </w:rPr>
      </w:pPr>
      <w:r w:rsidRPr="00F7152B">
        <w:rPr>
          <w:rFonts w:ascii="Times New Roman" w:hAnsi="Times New Roman" w:cs="Times New Roman"/>
          <w:lang w:val="es-PR"/>
        </w:rPr>
        <w:t xml:space="preserve">En el caso de LAC, observamos un tercer patrón mutacional distinto (Figura 3A). Cabe destacar que encontramos mutaciones sin sentido en </w:t>
      </w:r>
      <w:r w:rsidRPr="00F7152B">
        <w:rPr>
          <w:rFonts w:ascii="Times New Roman" w:hAnsi="Times New Roman" w:cs="Times New Roman"/>
          <w:i/>
          <w:iCs/>
          <w:lang w:val="es-PR"/>
        </w:rPr>
        <w:t>arlR</w:t>
      </w:r>
      <w:r w:rsidRPr="00F7152B">
        <w:rPr>
          <w:rFonts w:ascii="Times New Roman" w:hAnsi="Times New Roman" w:cs="Times New Roman"/>
          <w:lang w:val="es-PR"/>
        </w:rPr>
        <w:t xml:space="preserve">, que forma parte del sistema de señalización de dos componentes </w:t>
      </w:r>
      <w:r w:rsidRPr="00F7152B">
        <w:rPr>
          <w:rFonts w:ascii="Times New Roman" w:hAnsi="Times New Roman" w:cs="Times New Roman"/>
          <w:i/>
          <w:iCs/>
          <w:lang w:val="es-PR"/>
        </w:rPr>
        <w:t>arlRS</w:t>
      </w:r>
      <w:r w:rsidRPr="00F7152B">
        <w:rPr>
          <w:rFonts w:ascii="Times New Roman" w:hAnsi="Times New Roman" w:cs="Times New Roman"/>
          <w:lang w:val="es-PR"/>
        </w:rPr>
        <w:t xml:space="preserve"> (Tabla </w:t>
      </w:r>
      <w:r w:rsidR="009E74C0">
        <w:rPr>
          <w:rFonts w:ascii="Times New Roman" w:hAnsi="Times New Roman" w:cs="Times New Roman"/>
          <w:lang w:val="es-PR"/>
        </w:rPr>
        <w:t>4</w:t>
      </w:r>
      <w:r w:rsidRPr="00F7152B">
        <w:rPr>
          <w:rFonts w:ascii="Times New Roman" w:hAnsi="Times New Roman" w:cs="Times New Roman"/>
          <w:lang w:val="es-PR"/>
        </w:rPr>
        <w:t xml:space="preserve">). La actividad de </w:t>
      </w:r>
      <w:r w:rsidRPr="00F7152B">
        <w:rPr>
          <w:rFonts w:ascii="Times New Roman" w:hAnsi="Times New Roman" w:cs="Times New Roman"/>
          <w:i/>
          <w:iCs/>
          <w:lang w:val="es-PR"/>
        </w:rPr>
        <w:t>arlRS</w:t>
      </w:r>
      <w:r w:rsidRPr="00F7152B">
        <w:rPr>
          <w:rFonts w:ascii="Times New Roman" w:hAnsi="Times New Roman" w:cs="Times New Roman"/>
          <w:lang w:val="es-PR"/>
        </w:rPr>
        <w:t xml:space="preserve"> se ha relacionado con la virulencia, patogenicidad y resistencia a la oxacilina de </w:t>
      </w:r>
      <w:r w:rsidRPr="00F7152B">
        <w:rPr>
          <w:rFonts w:ascii="Times New Roman" w:hAnsi="Times New Roman" w:cs="Times New Roman"/>
          <w:i/>
          <w:iCs/>
          <w:lang w:val="es-PR"/>
        </w:rPr>
        <w:t>S. aureus</w:t>
      </w:r>
      <w:r w:rsidRPr="00F7152B">
        <w:rPr>
          <w:rFonts w:ascii="Times New Roman" w:hAnsi="Times New Roman" w:cs="Times New Roman"/>
          <w:lang w:val="es-PR"/>
        </w:rPr>
        <w:t>.</w:t>
      </w:r>
      <w:r w:rsidRPr="00F7152B">
        <w:rPr>
          <w:rFonts w:ascii="Times New Roman" w:hAnsi="Times New Roman" w:cs="Times New Roman"/>
          <w:vertAlign w:val="superscript"/>
          <w:lang w:val="es-PR"/>
        </w:rPr>
        <w:t>36,37</w:t>
      </w:r>
      <w:r w:rsidRPr="00F7152B">
        <w:rPr>
          <w:rFonts w:ascii="Times New Roman" w:hAnsi="Times New Roman" w:cs="Times New Roman"/>
          <w:lang w:val="es-PR"/>
        </w:rPr>
        <w:t xml:space="preserve"> Además, observamos mutaciones</w:t>
      </w:r>
      <w:r>
        <w:rPr>
          <w:rFonts w:ascii="Times New Roman" w:hAnsi="Times New Roman" w:cs="Times New Roman"/>
          <w:lang w:val="es-PR"/>
        </w:rPr>
        <w:t xml:space="preserve"> de </w:t>
      </w:r>
      <w:r w:rsidRPr="00F7152B">
        <w:rPr>
          <w:rFonts w:ascii="Times New Roman" w:hAnsi="Times New Roman" w:cs="Times New Roman"/>
          <w:lang w:val="es-PR"/>
        </w:rPr>
        <w:t xml:space="preserve">sustitución </w:t>
      </w:r>
      <w:r>
        <w:rPr>
          <w:rFonts w:ascii="Times New Roman" w:hAnsi="Times New Roman" w:cs="Times New Roman"/>
          <w:lang w:val="es-PR"/>
        </w:rPr>
        <w:t xml:space="preserve">de aminoácido </w:t>
      </w:r>
      <w:r w:rsidRPr="00F7152B">
        <w:rPr>
          <w:rFonts w:ascii="Times New Roman" w:hAnsi="Times New Roman" w:cs="Times New Roman"/>
          <w:lang w:val="es-PR"/>
        </w:rPr>
        <w:t xml:space="preserve">en </w:t>
      </w:r>
      <w:r w:rsidRPr="00F7152B">
        <w:rPr>
          <w:rFonts w:ascii="Times New Roman" w:hAnsi="Times New Roman" w:cs="Times New Roman"/>
          <w:i/>
          <w:iCs/>
          <w:lang w:val="es-PR"/>
        </w:rPr>
        <w:t>spoVG</w:t>
      </w:r>
      <w:r w:rsidRPr="00F7152B">
        <w:rPr>
          <w:rFonts w:ascii="Times New Roman" w:hAnsi="Times New Roman" w:cs="Times New Roman"/>
          <w:lang w:val="es-PR"/>
        </w:rPr>
        <w:t xml:space="preserve">, un factor de transcripción que regula la expresión de genes implicados en diversas funciones, incluido el metabolismo de la pared celular (Tabla </w:t>
      </w:r>
      <w:r w:rsidR="009E74C0">
        <w:rPr>
          <w:rFonts w:ascii="Times New Roman" w:hAnsi="Times New Roman" w:cs="Times New Roman"/>
          <w:lang w:val="es-PR"/>
        </w:rPr>
        <w:t>4</w:t>
      </w:r>
      <w:r w:rsidRPr="00F7152B">
        <w:rPr>
          <w:rFonts w:ascii="Times New Roman" w:hAnsi="Times New Roman" w:cs="Times New Roman"/>
          <w:lang w:val="es-PR"/>
        </w:rPr>
        <w:t>).</w:t>
      </w:r>
      <w:r w:rsidRPr="00F7152B">
        <w:rPr>
          <w:rFonts w:ascii="Times New Roman" w:hAnsi="Times New Roman" w:cs="Times New Roman"/>
          <w:vertAlign w:val="superscript"/>
          <w:lang w:val="es-PR"/>
        </w:rPr>
        <w:t>38</w:t>
      </w:r>
      <w:r w:rsidRPr="00F7152B">
        <w:rPr>
          <w:rFonts w:ascii="Times New Roman" w:hAnsi="Times New Roman" w:cs="Times New Roman"/>
          <w:lang w:val="es-PR"/>
        </w:rPr>
        <w:t xml:space="preserve"> De hecho, </w:t>
      </w:r>
      <w:r w:rsidRPr="00F7152B">
        <w:rPr>
          <w:rFonts w:ascii="Times New Roman" w:hAnsi="Times New Roman" w:cs="Times New Roman"/>
          <w:i/>
          <w:iCs/>
          <w:lang w:val="es-PR"/>
        </w:rPr>
        <w:t>spoVG</w:t>
      </w:r>
      <w:r w:rsidRPr="00F7152B">
        <w:rPr>
          <w:rFonts w:ascii="Times New Roman" w:hAnsi="Times New Roman" w:cs="Times New Roman"/>
          <w:lang w:val="es-PR"/>
        </w:rPr>
        <w:t xml:space="preserve"> activa la expresión de femA.</w:t>
      </w:r>
      <w:r w:rsidRPr="00F7152B">
        <w:rPr>
          <w:rFonts w:ascii="Times New Roman" w:hAnsi="Times New Roman" w:cs="Times New Roman"/>
          <w:vertAlign w:val="superscript"/>
          <w:lang w:val="es-PR"/>
        </w:rPr>
        <w:t>39</w:t>
      </w:r>
      <w:r w:rsidRPr="00F7152B">
        <w:rPr>
          <w:rFonts w:ascii="Times New Roman" w:hAnsi="Times New Roman" w:cs="Times New Roman"/>
          <w:lang w:val="es-PR"/>
        </w:rPr>
        <w:t xml:space="preserve"> Estudios han demostrado que </w:t>
      </w:r>
      <w:r w:rsidRPr="00F7152B">
        <w:rPr>
          <w:rFonts w:ascii="Times New Roman" w:hAnsi="Times New Roman" w:cs="Times New Roman"/>
          <w:i/>
          <w:iCs/>
          <w:lang w:val="es-PR"/>
        </w:rPr>
        <w:t>spoVG</w:t>
      </w:r>
      <w:r w:rsidRPr="00F7152B">
        <w:rPr>
          <w:rFonts w:ascii="Times New Roman" w:hAnsi="Times New Roman" w:cs="Times New Roman"/>
          <w:lang w:val="es-PR"/>
        </w:rPr>
        <w:t xml:space="preserve"> modula la resistencia a los antibióticos β-lactámicos mediante la modulación de la síntesis de la pared celular.</w:t>
      </w:r>
      <w:r w:rsidRPr="00F7152B">
        <w:rPr>
          <w:rFonts w:ascii="Times New Roman" w:hAnsi="Times New Roman" w:cs="Times New Roman"/>
          <w:vertAlign w:val="superscript"/>
          <w:lang w:val="es-PR"/>
        </w:rPr>
        <w:t>39</w:t>
      </w:r>
      <w:r w:rsidRPr="00F7152B">
        <w:rPr>
          <w:rFonts w:ascii="Times New Roman" w:hAnsi="Times New Roman" w:cs="Times New Roman"/>
          <w:lang w:val="es-PR"/>
        </w:rPr>
        <w:t xml:space="preserve"> Al igual que las otras dos cepas de SARM, los clones de LAC tratados con fagos mostraron múltiples mutaciones en sus genomas. Observamos mutaciones en </w:t>
      </w:r>
      <w:r w:rsidRPr="00F7152B">
        <w:rPr>
          <w:rFonts w:ascii="Times New Roman" w:hAnsi="Times New Roman" w:cs="Times New Roman"/>
          <w:i/>
          <w:iCs/>
          <w:lang w:val="es-PR"/>
        </w:rPr>
        <w:t>prsA</w:t>
      </w:r>
      <w:r w:rsidRPr="00F7152B">
        <w:rPr>
          <w:rFonts w:ascii="Times New Roman" w:hAnsi="Times New Roman" w:cs="Times New Roman"/>
          <w:lang w:val="es-PR"/>
        </w:rPr>
        <w:t xml:space="preserve"> y </w:t>
      </w:r>
      <w:r w:rsidRPr="00F7152B">
        <w:rPr>
          <w:rFonts w:ascii="Times New Roman" w:hAnsi="Times New Roman" w:cs="Times New Roman"/>
          <w:i/>
          <w:iCs/>
          <w:lang w:val="es-PR"/>
        </w:rPr>
        <w:t>bioA</w:t>
      </w:r>
      <w:r w:rsidRPr="00F7152B">
        <w:rPr>
          <w:rFonts w:ascii="Times New Roman" w:hAnsi="Times New Roman" w:cs="Times New Roman"/>
          <w:lang w:val="es-PR"/>
        </w:rPr>
        <w:t xml:space="preserve"> que aparecieron tanto en las condiciones </w:t>
      </w:r>
      <w:r>
        <w:rPr>
          <w:rFonts w:ascii="Times New Roman" w:hAnsi="Times New Roman" w:cs="Times New Roman"/>
          <w:lang w:val="es-PR"/>
        </w:rPr>
        <w:t xml:space="preserve">sin </w:t>
      </w:r>
      <w:r w:rsidRPr="00F7152B">
        <w:rPr>
          <w:rFonts w:ascii="Times New Roman" w:hAnsi="Times New Roman" w:cs="Times New Roman"/>
          <w:lang w:val="es-PR"/>
        </w:rPr>
        <w:t xml:space="preserve">tratamiento </w:t>
      </w:r>
      <w:r>
        <w:rPr>
          <w:rFonts w:ascii="Times New Roman" w:hAnsi="Times New Roman" w:cs="Times New Roman"/>
          <w:lang w:val="es-PR"/>
        </w:rPr>
        <w:t>de fagos</w:t>
      </w:r>
      <w:r w:rsidRPr="00F7152B">
        <w:rPr>
          <w:rFonts w:ascii="Times New Roman" w:hAnsi="Times New Roman" w:cs="Times New Roman"/>
          <w:lang w:val="es-PR"/>
        </w:rPr>
        <w:t xml:space="preserve"> como en las de tratamiento con fagos, lo que sugiere que estas mutaciones no surgen debido a la selección de fagos.</w:t>
      </w:r>
    </w:p>
    <w:p w14:paraId="3AFCDB08" w14:textId="77777777" w:rsidR="00F7152B" w:rsidRDefault="00F7152B" w:rsidP="00F7152B">
      <w:pPr>
        <w:pStyle w:val="NoSpacing"/>
        <w:rPr>
          <w:rFonts w:ascii="Times New Roman" w:hAnsi="Times New Roman" w:cs="Times New Roman"/>
          <w:lang w:val="es-PR"/>
        </w:rPr>
      </w:pPr>
    </w:p>
    <w:p w14:paraId="69CF6E36" w14:textId="066D5D80" w:rsidR="00F7152B" w:rsidRDefault="00F7152B" w:rsidP="00F7152B">
      <w:pPr>
        <w:pStyle w:val="NoSpacing"/>
        <w:rPr>
          <w:rFonts w:ascii="Times New Roman" w:hAnsi="Times New Roman" w:cs="Times New Roman"/>
          <w:lang w:val="es-PR"/>
        </w:rPr>
      </w:pPr>
      <w:r w:rsidRPr="00F7152B">
        <w:rPr>
          <w:rFonts w:ascii="Times New Roman" w:hAnsi="Times New Roman" w:cs="Times New Roman"/>
          <w:lang w:val="es-PR"/>
        </w:rPr>
        <w:t xml:space="preserve">En conjunto, nuestros resultados muestran que las cepas de SARM infectadas con fagos adquieren perfiles mutacionales distintos. Es probable que estas mutaciones actúen </w:t>
      </w:r>
      <w:r>
        <w:rPr>
          <w:rFonts w:ascii="Times New Roman" w:hAnsi="Times New Roman" w:cs="Times New Roman"/>
          <w:lang w:val="es-PR"/>
        </w:rPr>
        <w:t xml:space="preserve">juntas </w:t>
      </w:r>
      <w:r w:rsidRPr="00F7152B">
        <w:rPr>
          <w:rFonts w:ascii="Times New Roman" w:hAnsi="Times New Roman" w:cs="Times New Roman"/>
          <w:lang w:val="es-PR"/>
        </w:rPr>
        <w:t xml:space="preserve">para promover la resistencia a los fagos y la sensibilidad a los β-lactámicos, lo que dificulta determinar las contribuciones mecanísticas de cada mutación. Por ejemplo, observamos que los genes </w:t>
      </w:r>
      <w:r w:rsidRPr="00F7152B">
        <w:rPr>
          <w:rFonts w:ascii="Times New Roman" w:hAnsi="Times New Roman" w:cs="Times New Roman"/>
          <w:i/>
          <w:iCs/>
          <w:lang w:val="es-PR"/>
        </w:rPr>
        <w:t>mgrA</w:t>
      </w:r>
      <w:r w:rsidRPr="00F7152B">
        <w:rPr>
          <w:rFonts w:ascii="Times New Roman" w:hAnsi="Times New Roman" w:cs="Times New Roman"/>
          <w:lang w:val="es-PR"/>
        </w:rPr>
        <w:t xml:space="preserve">, </w:t>
      </w:r>
      <w:r w:rsidRPr="00F7152B">
        <w:rPr>
          <w:rFonts w:ascii="Times New Roman" w:hAnsi="Times New Roman" w:cs="Times New Roman"/>
          <w:i/>
          <w:iCs/>
          <w:lang w:val="es-PR"/>
        </w:rPr>
        <w:t>sarR</w:t>
      </w:r>
      <w:r w:rsidRPr="00F7152B">
        <w:rPr>
          <w:rFonts w:ascii="Times New Roman" w:hAnsi="Times New Roman" w:cs="Times New Roman"/>
          <w:lang w:val="es-PR"/>
        </w:rPr>
        <w:t xml:space="preserve"> y </w:t>
      </w:r>
      <w:r w:rsidRPr="00F7152B">
        <w:rPr>
          <w:rFonts w:ascii="Times New Roman" w:hAnsi="Times New Roman" w:cs="Times New Roman"/>
          <w:i/>
          <w:iCs/>
          <w:lang w:val="es-PR"/>
        </w:rPr>
        <w:t>arlR</w:t>
      </w:r>
      <w:r w:rsidRPr="00F7152B">
        <w:rPr>
          <w:rFonts w:ascii="Times New Roman" w:hAnsi="Times New Roman" w:cs="Times New Roman"/>
          <w:lang w:val="es-PR"/>
        </w:rPr>
        <w:t xml:space="preserve"> desarrollaron mutaciones sin sentido, lo que resultaría en productos proteicos truncados y potencialmente no funcionales. Por lo tanto, evaluamos si la eliminación de estos genes por sí sol</w:t>
      </w:r>
      <w:r>
        <w:rPr>
          <w:rFonts w:ascii="Times New Roman" w:hAnsi="Times New Roman" w:cs="Times New Roman"/>
          <w:lang w:val="es-PR"/>
        </w:rPr>
        <w:t>o</w:t>
      </w:r>
      <w:r w:rsidRPr="00F7152B">
        <w:rPr>
          <w:rFonts w:ascii="Times New Roman" w:hAnsi="Times New Roman" w:cs="Times New Roman"/>
          <w:lang w:val="es-PR"/>
        </w:rPr>
        <w:t xml:space="preserve"> es suficiente para conferir resistencia a ΦStaph1N y Evo2 (Figura </w:t>
      </w:r>
      <w:r w:rsidR="009E74C0">
        <w:rPr>
          <w:rFonts w:ascii="Times New Roman" w:hAnsi="Times New Roman" w:cs="Times New Roman"/>
          <w:lang w:val="es-PR"/>
        </w:rPr>
        <w:t>3-Figura suplementaria 2</w:t>
      </w:r>
      <w:r w:rsidRPr="00F7152B">
        <w:rPr>
          <w:rFonts w:ascii="Times New Roman" w:hAnsi="Times New Roman" w:cs="Times New Roman"/>
          <w:lang w:val="es-PR"/>
        </w:rPr>
        <w:t xml:space="preserve">). En MW2, la eliminación de </w:t>
      </w:r>
      <w:r w:rsidRPr="00F7152B">
        <w:rPr>
          <w:rFonts w:ascii="Times New Roman" w:hAnsi="Times New Roman" w:cs="Times New Roman"/>
          <w:i/>
          <w:iCs/>
          <w:lang w:val="es-PR"/>
        </w:rPr>
        <w:t>mgrA</w:t>
      </w:r>
      <w:r w:rsidRPr="00F7152B">
        <w:rPr>
          <w:rFonts w:ascii="Times New Roman" w:hAnsi="Times New Roman" w:cs="Times New Roman"/>
          <w:lang w:val="es-PR"/>
        </w:rPr>
        <w:t xml:space="preserve"> resultó en una modesta reducción de la formación de placas en Evo2 y ΦStaph1N. Sin embargo, ninguno de los mutantes restantes, ni en </w:t>
      </w:r>
      <w:r>
        <w:rPr>
          <w:rFonts w:ascii="Times New Roman" w:hAnsi="Times New Roman" w:cs="Times New Roman"/>
          <w:lang w:val="es-PR"/>
        </w:rPr>
        <w:t xml:space="preserve">la cepa </w:t>
      </w:r>
      <w:r w:rsidRPr="00F7152B">
        <w:rPr>
          <w:rFonts w:ascii="Times New Roman" w:hAnsi="Times New Roman" w:cs="Times New Roman"/>
          <w:lang w:val="es-PR"/>
        </w:rPr>
        <w:t xml:space="preserve">de MW2 ni en el de LAC, confirió resistencia. Estudios experimentales previos también han demostrado que la resistencia a los fagos en </w:t>
      </w:r>
      <w:r w:rsidRPr="00F7152B">
        <w:rPr>
          <w:rFonts w:ascii="Times New Roman" w:hAnsi="Times New Roman" w:cs="Times New Roman"/>
          <w:i/>
          <w:iCs/>
          <w:lang w:val="es-PR"/>
        </w:rPr>
        <w:t>S. aureus</w:t>
      </w:r>
      <w:r w:rsidRPr="00F7152B">
        <w:rPr>
          <w:rFonts w:ascii="Times New Roman" w:hAnsi="Times New Roman" w:cs="Times New Roman"/>
          <w:lang w:val="es-PR"/>
        </w:rPr>
        <w:t xml:space="preserve"> puede surgir de la alteración de genes individuales directamente implicados en la síntesis y modificación de WTA, como </w:t>
      </w:r>
      <w:r w:rsidRPr="00F7152B">
        <w:rPr>
          <w:rFonts w:ascii="Times New Roman" w:hAnsi="Times New Roman" w:cs="Times New Roman"/>
          <w:i/>
          <w:iCs/>
          <w:lang w:val="es-PR"/>
        </w:rPr>
        <w:t>tagO</w:t>
      </w:r>
      <w:r w:rsidRPr="00F7152B">
        <w:rPr>
          <w:rFonts w:ascii="Times New Roman" w:hAnsi="Times New Roman" w:cs="Times New Roman"/>
          <w:lang w:val="es-PR"/>
        </w:rPr>
        <w:t>.</w:t>
      </w:r>
      <w:r w:rsidRPr="00F7152B">
        <w:rPr>
          <w:rFonts w:ascii="Times New Roman" w:hAnsi="Times New Roman" w:cs="Times New Roman"/>
          <w:vertAlign w:val="superscript"/>
          <w:lang w:val="es-PR"/>
        </w:rPr>
        <w:t>51</w:t>
      </w:r>
      <w:r w:rsidRPr="00F7152B">
        <w:rPr>
          <w:rFonts w:ascii="Times New Roman" w:hAnsi="Times New Roman" w:cs="Times New Roman"/>
          <w:lang w:val="es-PR"/>
        </w:rPr>
        <w:t xml:space="preserve"> Algunas cepas de SARM también alteran la glicosilación de la pared celular a través de </w:t>
      </w:r>
      <w:r w:rsidRPr="00F7152B">
        <w:rPr>
          <w:rFonts w:ascii="Times New Roman" w:hAnsi="Times New Roman" w:cs="Times New Roman"/>
          <w:lang w:val="es-PR"/>
        </w:rPr>
        <w:lastRenderedPageBreak/>
        <w:t>genes específicos codificados en profagos.</w:t>
      </w:r>
      <w:r w:rsidRPr="00F7152B">
        <w:rPr>
          <w:rFonts w:ascii="Times New Roman" w:hAnsi="Times New Roman" w:cs="Times New Roman"/>
          <w:vertAlign w:val="superscript"/>
          <w:lang w:val="es-PR"/>
        </w:rPr>
        <w:t>14</w:t>
      </w:r>
      <w:r w:rsidRPr="00F7152B">
        <w:rPr>
          <w:rFonts w:ascii="Times New Roman" w:hAnsi="Times New Roman" w:cs="Times New Roman"/>
          <w:lang w:val="es-PR"/>
        </w:rPr>
        <w:t xml:space="preserve"> Sin embargo, no observamos mutaciones en genes directamente implicados en la síntesis de WTA. Por lo tanto, nuestros resultados destacan cómo </w:t>
      </w:r>
      <w:r>
        <w:rPr>
          <w:rFonts w:ascii="Times New Roman" w:hAnsi="Times New Roman" w:cs="Times New Roman"/>
          <w:lang w:val="es-PR"/>
        </w:rPr>
        <w:t>diferentes cepas de</w:t>
      </w:r>
      <w:r w:rsidRPr="00F7152B">
        <w:rPr>
          <w:rFonts w:ascii="Times New Roman" w:hAnsi="Times New Roman" w:cs="Times New Roman"/>
          <w:lang w:val="es-PR"/>
        </w:rPr>
        <w:t xml:space="preserve"> SARM puede adoptar vías mutacionales únicas bajo selección de fagos.</w:t>
      </w:r>
    </w:p>
    <w:p w14:paraId="66B5B63C" w14:textId="77777777" w:rsidR="0044657F" w:rsidRDefault="0044657F" w:rsidP="00F7152B">
      <w:pPr>
        <w:pStyle w:val="NoSpacing"/>
        <w:rPr>
          <w:rFonts w:ascii="Times New Roman" w:hAnsi="Times New Roman" w:cs="Times New Roman"/>
          <w:lang w:val="es-PR"/>
        </w:rPr>
      </w:pPr>
    </w:p>
    <w:p w14:paraId="48BA20D9" w14:textId="154C5F81" w:rsidR="0044657F" w:rsidRDefault="0044657F" w:rsidP="00F7152B">
      <w:pPr>
        <w:pStyle w:val="NoSpacing"/>
        <w:rPr>
          <w:rFonts w:ascii="Times New Roman" w:hAnsi="Times New Roman" w:cs="Times New Roman"/>
          <w:lang w:val="es-PR"/>
        </w:rPr>
      </w:pPr>
      <w:r w:rsidRPr="0044657F">
        <w:rPr>
          <w:rFonts w:ascii="Times New Roman" w:hAnsi="Times New Roman" w:cs="Times New Roman"/>
          <w:lang w:val="es-PR"/>
        </w:rPr>
        <w:t xml:space="preserve">Finalmente, examinamos </w:t>
      </w:r>
      <w:r>
        <w:rPr>
          <w:rFonts w:ascii="Times New Roman" w:hAnsi="Times New Roman" w:cs="Times New Roman"/>
          <w:lang w:val="es-PR"/>
        </w:rPr>
        <w:t xml:space="preserve">las mutaciones </w:t>
      </w:r>
      <w:r w:rsidRPr="0044657F">
        <w:rPr>
          <w:rFonts w:ascii="Times New Roman" w:hAnsi="Times New Roman" w:cs="Times New Roman"/>
          <w:lang w:val="es-PR"/>
        </w:rPr>
        <w:t xml:space="preserve">en poblaciones de LAC resistentes a </w:t>
      </w:r>
      <w:r>
        <w:rPr>
          <w:rFonts w:ascii="Times New Roman" w:hAnsi="Times New Roman" w:cs="Times New Roman"/>
          <w:lang w:val="es-PR"/>
        </w:rPr>
        <w:t>Φ</w:t>
      </w:r>
      <w:r w:rsidRPr="0044657F">
        <w:rPr>
          <w:rFonts w:ascii="Times New Roman" w:hAnsi="Times New Roman" w:cs="Times New Roman"/>
          <w:lang w:val="es-PR"/>
        </w:rPr>
        <w:t>NM1</w:t>
      </w:r>
      <w:r>
        <w:rPr>
          <w:rFonts w:ascii="Times New Roman" w:hAnsi="Times New Roman" w:cs="Times New Roman"/>
          <w:lang w:val="es-PR"/>
        </w:rPr>
        <w:t>γ</w:t>
      </w:r>
      <w:r w:rsidRPr="0044657F">
        <w:rPr>
          <w:rFonts w:ascii="Times New Roman" w:hAnsi="Times New Roman" w:cs="Times New Roman"/>
          <w:lang w:val="es-PR"/>
        </w:rPr>
        <w:t xml:space="preserve">6. Dado que la infección con </w:t>
      </w:r>
      <w:r>
        <w:rPr>
          <w:rFonts w:ascii="Times New Roman" w:hAnsi="Times New Roman" w:cs="Times New Roman"/>
          <w:lang w:val="es-PR"/>
        </w:rPr>
        <w:t>Φ</w:t>
      </w:r>
      <w:r w:rsidRPr="0044657F">
        <w:rPr>
          <w:rFonts w:ascii="Times New Roman" w:hAnsi="Times New Roman" w:cs="Times New Roman"/>
          <w:lang w:val="es-PR"/>
        </w:rPr>
        <w:t>NM1</w:t>
      </w:r>
      <w:r>
        <w:rPr>
          <w:rFonts w:ascii="Times New Roman" w:hAnsi="Times New Roman" w:cs="Times New Roman"/>
          <w:lang w:val="es-PR"/>
        </w:rPr>
        <w:t>γ</w:t>
      </w:r>
      <w:r w:rsidRPr="0044657F">
        <w:rPr>
          <w:rFonts w:ascii="Times New Roman" w:hAnsi="Times New Roman" w:cs="Times New Roman"/>
          <w:lang w:val="es-PR"/>
        </w:rPr>
        <w:t xml:space="preserve">6 no redujo la resistencia a OXA, planteamos la hipótesis de que las mutaciones que surgieron en LAC tras </w:t>
      </w:r>
      <w:r>
        <w:rPr>
          <w:rFonts w:ascii="Times New Roman" w:hAnsi="Times New Roman" w:cs="Times New Roman"/>
          <w:lang w:val="es-PR"/>
        </w:rPr>
        <w:t>Φ</w:t>
      </w:r>
      <w:r w:rsidRPr="0044657F">
        <w:rPr>
          <w:rFonts w:ascii="Times New Roman" w:hAnsi="Times New Roman" w:cs="Times New Roman"/>
          <w:lang w:val="es-PR"/>
        </w:rPr>
        <w:t>NM1</w:t>
      </w:r>
      <w:r>
        <w:rPr>
          <w:rFonts w:ascii="Times New Roman" w:hAnsi="Times New Roman" w:cs="Times New Roman"/>
          <w:lang w:val="es-PR"/>
        </w:rPr>
        <w:t>γ</w:t>
      </w:r>
      <w:r w:rsidRPr="0044657F">
        <w:rPr>
          <w:rFonts w:ascii="Times New Roman" w:hAnsi="Times New Roman" w:cs="Times New Roman"/>
          <w:lang w:val="es-PR"/>
        </w:rPr>
        <w:t xml:space="preserve">6 serían distintas de las que surgieron tras la infección con Evo2. Descubrimos que </w:t>
      </w:r>
      <w:r>
        <w:rPr>
          <w:rFonts w:ascii="Times New Roman" w:hAnsi="Times New Roman" w:cs="Times New Roman"/>
          <w:lang w:val="es-PR"/>
        </w:rPr>
        <w:t xml:space="preserve">los mismos dos </w:t>
      </w:r>
      <w:r w:rsidRPr="0044657F">
        <w:rPr>
          <w:rFonts w:ascii="Times New Roman" w:hAnsi="Times New Roman" w:cs="Times New Roman"/>
          <w:lang w:val="es-PR"/>
        </w:rPr>
        <w:t xml:space="preserve">genes mutaron en tres aislados clonales de diferentes poblaciones resistentes: </w:t>
      </w:r>
      <w:r w:rsidRPr="0044657F">
        <w:rPr>
          <w:rFonts w:ascii="Times New Roman" w:hAnsi="Times New Roman" w:cs="Times New Roman"/>
          <w:i/>
          <w:iCs/>
          <w:lang w:val="es-PR"/>
        </w:rPr>
        <w:t>bioA</w:t>
      </w:r>
      <w:r w:rsidRPr="0044657F">
        <w:rPr>
          <w:rFonts w:ascii="Times New Roman" w:hAnsi="Times New Roman" w:cs="Times New Roman"/>
          <w:lang w:val="es-PR"/>
        </w:rPr>
        <w:t xml:space="preserve"> y </w:t>
      </w:r>
      <w:r w:rsidRPr="0044657F">
        <w:rPr>
          <w:rFonts w:ascii="Times New Roman" w:hAnsi="Times New Roman" w:cs="Times New Roman"/>
          <w:i/>
          <w:iCs/>
          <w:lang w:val="es-PR"/>
        </w:rPr>
        <w:t>fmhC</w:t>
      </w:r>
      <w:r w:rsidRPr="0044657F">
        <w:rPr>
          <w:rFonts w:ascii="Times New Roman" w:hAnsi="Times New Roman" w:cs="Times New Roman"/>
          <w:lang w:val="es-PR"/>
        </w:rPr>
        <w:t xml:space="preserve">. Como se observó previamente, las mutaciones en </w:t>
      </w:r>
      <w:r w:rsidRPr="0044657F">
        <w:rPr>
          <w:rFonts w:ascii="Times New Roman" w:hAnsi="Times New Roman" w:cs="Times New Roman"/>
          <w:i/>
          <w:iCs/>
          <w:lang w:val="es-PR"/>
        </w:rPr>
        <w:t>bioA</w:t>
      </w:r>
      <w:r w:rsidRPr="0044657F">
        <w:rPr>
          <w:rFonts w:ascii="Times New Roman" w:hAnsi="Times New Roman" w:cs="Times New Roman"/>
          <w:lang w:val="es-PR"/>
        </w:rPr>
        <w:t xml:space="preserve"> aparecieron en el tratamiento </w:t>
      </w:r>
      <w:r>
        <w:rPr>
          <w:rFonts w:ascii="Times New Roman" w:hAnsi="Times New Roman" w:cs="Times New Roman"/>
          <w:lang w:val="es-PR"/>
        </w:rPr>
        <w:t>sin fagos</w:t>
      </w:r>
      <w:r w:rsidRPr="0044657F">
        <w:rPr>
          <w:rFonts w:ascii="Times New Roman" w:hAnsi="Times New Roman" w:cs="Times New Roman"/>
          <w:lang w:val="es-PR"/>
        </w:rPr>
        <w:t xml:space="preserve">, lo que sugiere que surgieron independientemente de la selección de fagos. Por otro lado, LAC mostró una mutación </w:t>
      </w:r>
      <w:r>
        <w:rPr>
          <w:rFonts w:ascii="Times New Roman" w:hAnsi="Times New Roman" w:cs="Times New Roman"/>
          <w:lang w:val="es-PR"/>
        </w:rPr>
        <w:t xml:space="preserve">de sustitución de aminoácido </w:t>
      </w:r>
      <w:r w:rsidRPr="0044657F">
        <w:rPr>
          <w:rFonts w:ascii="Times New Roman" w:hAnsi="Times New Roman" w:cs="Times New Roman"/>
          <w:lang w:val="es-PR"/>
        </w:rPr>
        <w:t xml:space="preserve">en </w:t>
      </w:r>
      <w:r w:rsidRPr="0044657F">
        <w:rPr>
          <w:rFonts w:ascii="Times New Roman" w:hAnsi="Times New Roman" w:cs="Times New Roman"/>
          <w:i/>
          <w:iCs/>
          <w:lang w:val="es-PR"/>
        </w:rPr>
        <w:t>fmhC</w:t>
      </w:r>
      <w:r w:rsidRPr="0044657F">
        <w:rPr>
          <w:rFonts w:ascii="Times New Roman" w:hAnsi="Times New Roman" w:cs="Times New Roman"/>
          <w:lang w:val="es-PR"/>
        </w:rPr>
        <w:t xml:space="preserve"> (H21D, Tabla </w:t>
      </w:r>
      <w:r w:rsidR="00B806AE">
        <w:rPr>
          <w:rFonts w:ascii="Times New Roman" w:hAnsi="Times New Roman" w:cs="Times New Roman"/>
          <w:lang w:val="es-PR"/>
        </w:rPr>
        <w:t>4</w:t>
      </w:r>
      <w:r w:rsidRPr="0044657F">
        <w:rPr>
          <w:rFonts w:ascii="Times New Roman" w:hAnsi="Times New Roman" w:cs="Times New Roman"/>
          <w:lang w:val="es-PR"/>
        </w:rPr>
        <w:t xml:space="preserve">, </w:t>
      </w:r>
      <w:r w:rsidR="00B806AE">
        <w:rPr>
          <w:rFonts w:ascii="Times New Roman" w:hAnsi="Times New Roman" w:cs="Times New Roman"/>
          <w:lang w:val="es-PR"/>
        </w:rPr>
        <w:t>Archivo s</w:t>
      </w:r>
      <w:r w:rsidRPr="0044657F">
        <w:rPr>
          <w:rFonts w:ascii="Times New Roman" w:hAnsi="Times New Roman" w:cs="Times New Roman"/>
          <w:lang w:val="es-PR"/>
        </w:rPr>
        <w:t>uplementari</w:t>
      </w:r>
      <w:r w:rsidR="00B806AE">
        <w:rPr>
          <w:rFonts w:ascii="Times New Roman" w:hAnsi="Times New Roman" w:cs="Times New Roman"/>
          <w:lang w:val="es-PR"/>
        </w:rPr>
        <w:t>o</w:t>
      </w:r>
      <w:r w:rsidRPr="0044657F">
        <w:rPr>
          <w:rFonts w:ascii="Times New Roman" w:hAnsi="Times New Roman" w:cs="Times New Roman"/>
          <w:lang w:val="es-PR"/>
        </w:rPr>
        <w:t xml:space="preserve"> 1). FmhC y su homólogo </w:t>
      </w:r>
      <w:r>
        <w:rPr>
          <w:rFonts w:ascii="Times New Roman" w:hAnsi="Times New Roman" w:cs="Times New Roman"/>
          <w:lang w:val="es-PR"/>
        </w:rPr>
        <w:t>F</w:t>
      </w:r>
      <w:r w:rsidRPr="0044657F">
        <w:rPr>
          <w:rFonts w:ascii="Times New Roman" w:hAnsi="Times New Roman" w:cs="Times New Roman"/>
          <w:lang w:val="es-PR"/>
        </w:rPr>
        <w:t xml:space="preserve">mhA </w:t>
      </w:r>
      <w:r>
        <w:rPr>
          <w:rFonts w:ascii="Times New Roman" w:hAnsi="Times New Roman" w:cs="Times New Roman"/>
          <w:lang w:val="es-PR"/>
        </w:rPr>
        <w:t xml:space="preserve">trabajan </w:t>
      </w:r>
      <w:r w:rsidRPr="0044657F">
        <w:rPr>
          <w:rFonts w:ascii="Times New Roman" w:hAnsi="Times New Roman" w:cs="Times New Roman"/>
          <w:lang w:val="es-PR"/>
        </w:rPr>
        <w:t xml:space="preserve">con </w:t>
      </w:r>
      <w:r>
        <w:rPr>
          <w:rFonts w:ascii="Times New Roman" w:hAnsi="Times New Roman" w:cs="Times New Roman"/>
          <w:lang w:val="es-PR"/>
        </w:rPr>
        <w:t>F</w:t>
      </w:r>
      <w:r w:rsidRPr="0044657F">
        <w:rPr>
          <w:rFonts w:ascii="Times New Roman" w:hAnsi="Times New Roman" w:cs="Times New Roman"/>
          <w:lang w:val="es-PR"/>
        </w:rPr>
        <w:t xml:space="preserve">emA y </w:t>
      </w:r>
      <w:r>
        <w:rPr>
          <w:rFonts w:ascii="Times New Roman" w:hAnsi="Times New Roman" w:cs="Times New Roman"/>
          <w:lang w:val="es-PR"/>
        </w:rPr>
        <w:t>F</w:t>
      </w:r>
      <w:r w:rsidRPr="0044657F">
        <w:rPr>
          <w:rFonts w:ascii="Times New Roman" w:hAnsi="Times New Roman" w:cs="Times New Roman"/>
          <w:lang w:val="es-PR"/>
        </w:rPr>
        <w:t xml:space="preserve">emB para incorporar dipéptidos Gly-Ser en </w:t>
      </w:r>
      <w:r w:rsidR="00B51A5F">
        <w:rPr>
          <w:rFonts w:ascii="Times New Roman" w:hAnsi="Times New Roman" w:cs="Times New Roman"/>
          <w:lang w:val="es-PR"/>
        </w:rPr>
        <w:t xml:space="preserve">los </w:t>
      </w:r>
      <w:r w:rsidR="00A41AF9">
        <w:rPr>
          <w:rFonts w:ascii="Times New Roman" w:hAnsi="Times New Roman" w:cs="Times New Roman"/>
          <w:lang w:val="es-PR"/>
        </w:rPr>
        <w:t>entrecruzamientos</w:t>
      </w:r>
      <w:r w:rsidR="00B51A5F">
        <w:rPr>
          <w:rFonts w:ascii="Times New Roman" w:hAnsi="Times New Roman" w:cs="Times New Roman"/>
          <w:lang w:val="es-PR"/>
        </w:rPr>
        <w:t xml:space="preserve"> </w:t>
      </w:r>
      <w:r w:rsidRPr="0044657F">
        <w:rPr>
          <w:rFonts w:ascii="Times New Roman" w:hAnsi="Times New Roman" w:cs="Times New Roman"/>
          <w:lang w:val="es-PR"/>
        </w:rPr>
        <w:t xml:space="preserve"> </w:t>
      </w:r>
      <w:r w:rsidR="00B51A5F">
        <w:rPr>
          <w:rFonts w:ascii="Times New Roman" w:hAnsi="Times New Roman" w:cs="Times New Roman"/>
          <w:lang w:val="es-PR"/>
        </w:rPr>
        <w:t xml:space="preserve">entre capas </w:t>
      </w:r>
      <w:r w:rsidRPr="0044657F">
        <w:rPr>
          <w:rFonts w:ascii="Times New Roman" w:hAnsi="Times New Roman" w:cs="Times New Roman"/>
          <w:lang w:val="es-PR"/>
        </w:rPr>
        <w:t>de peptidoglicano.</w:t>
      </w:r>
      <w:r w:rsidRPr="00B51A5F">
        <w:rPr>
          <w:rFonts w:ascii="Times New Roman" w:hAnsi="Times New Roman" w:cs="Times New Roman"/>
          <w:vertAlign w:val="superscript"/>
          <w:lang w:val="es-PR"/>
        </w:rPr>
        <w:t>50</w:t>
      </w:r>
      <w:r w:rsidRPr="0044657F">
        <w:rPr>
          <w:rFonts w:ascii="Times New Roman" w:hAnsi="Times New Roman" w:cs="Times New Roman"/>
          <w:lang w:val="es-PR"/>
        </w:rPr>
        <w:t xml:space="preserve"> Sin embargo, se desconoce el mecanismo de la mutación H21D y, hasta donde sabemos, las mutaciones en </w:t>
      </w:r>
      <w:r w:rsidRPr="00B51A5F">
        <w:rPr>
          <w:rFonts w:ascii="Times New Roman" w:hAnsi="Times New Roman" w:cs="Times New Roman"/>
          <w:i/>
          <w:iCs/>
          <w:lang w:val="es-PR"/>
        </w:rPr>
        <w:t>fmhC</w:t>
      </w:r>
      <w:r w:rsidRPr="0044657F">
        <w:rPr>
          <w:rFonts w:ascii="Times New Roman" w:hAnsi="Times New Roman" w:cs="Times New Roman"/>
          <w:lang w:val="es-PR"/>
        </w:rPr>
        <w:t xml:space="preserve"> no se han asociado </w:t>
      </w:r>
      <w:r w:rsidR="00A41AF9">
        <w:rPr>
          <w:rFonts w:ascii="Times New Roman" w:hAnsi="Times New Roman" w:cs="Times New Roman"/>
          <w:lang w:val="es-PR"/>
        </w:rPr>
        <w:t>previamente</w:t>
      </w:r>
      <w:r w:rsidRPr="0044657F">
        <w:rPr>
          <w:rFonts w:ascii="Times New Roman" w:hAnsi="Times New Roman" w:cs="Times New Roman"/>
          <w:lang w:val="es-PR"/>
        </w:rPr>
        <w:t xml:space="preserve"> con la resistencia a los fagos en </w:t>
      </w:r>
      <w:r w:rsidRPr="00A41AF9">
        <w:rPr>
          <w:rFonts w:ascii="Times New Roman" w:hAnsi="Times New Roman" w:cs="Times New Roman"/>
          <w:i/>
          <w:iCs/>
          <w:lang w:val="es-PR"/>
        </w:rPr>
        <w:t>S. aureus</w:t>
      </w:r>
      <w:r w:rsidRPr="0044657F">
        <w:rPr>
          <w:rFonts w:ascii="Times New Roman" w:hAnsi="Times New Roman" w:cs="Times New Roman"/>
          <w:lang w:val="es-PR"/>
        </w:rPr>
        <w:t>.</w:t>
      </w:r>
    </w:p>
    <w:p w14:paraId="3FCACEFC" w14:textId="77777777" w:rsidR="00A41AF9" w:rsidRDefault="00A41AF9" w:rsidP="00F7152B">
      <w:pPr>
        <w:pStyle w:val="NoSpacing"/>
        <w:rPr>
          <w:rFonts w:ascii="Times New Roman" w:hAnsi="Times New Roman" w:cs="Times New Roman"/>
          <w:lang w:val="es-PR"/>
        </w:rPr>
      </w:pPr>
    </w:p>
    <w:p w14:paraId="5B2B0FF0" w14:textId="77777777" w:rsidR="00A41AF9" w:rsidRPr="00D44FBE" w:rsidRDefault="00A41AF9" w:rsidP="00F7152B">
      <w:pPr>
        <w:pStyle w:val="NoSpacing"/>
        <w:rPr>
          <w:rFonts w:ascii="Times New Roman" w:hAnsi="Times New Roman" w:cs="Times New Roman"/>
          <w:b/>
          <w:bCs/>
          <w:lang w:val="es-PR"/>
        </w:rPr>
      </w:pPr>
      <w:r w:rsidRPr="00D44FBE">
        <w:rPr>
          <w:rFonts w:ascii="Times New Roman" w:hAnsi="Times New Roman" w:cs="Times New Roman"/>
          <w:b/>
          <w:bCs/>
          <w:lang w:val="es-PR"/>
        </w:rPr>
        <w:t>Las cepas de SARM tratadas con fagos presentan amplios cambios en sus transcriptomas</w:t>
      </w:r>
    </w:p>
    <w:p w14:paraId="002A4525" w14:textId="500B9219" w:rsidR="00A41AF9" w:rsidRDefault="00A41AF9" w:rsidP="00F7152B">
      <w:pPr>
        <w:pStyle w:val="NoSpacing"/>
        <w:rPr>
          <w:rFonts w:ascii="Times New Roman" w:hAnsi="Times New Roman" w:cs="Times New Roman"/>
          <w:lang w:val="es-PR"/>
        </w:rPr>
      </w:pPr>
      <w:r w:rsidRPr="00A41AF9">
        <w:rPr>
          <w:rFonts w:ascii="Times New Roman" w:hAnsi="Times New Roman" w:cs="Times New Roman"/>
          <w:lang w:val="es-PR"/>
        </w:rPr>
        <w:t xml:space="preserve">Nuestro análisis genómico reveló que </w:t>
      </w:r>
      <w:r>
        <w:rPr>
          <w:rFonts w:ascii="Times New Roman" w:hAnsi="Times New Roman" w:cs="Times New Roman"/>
          <w:lang w:val="es-PR"/>
        </w:rPr>
        <w:t>las cepas de</w:t>
      </w:r>
      <w:r w:rsidRPr="00A41AF9">
        <w:rPr>
          <w:rFonts w:ascii="Times New Roman" w:hAnsi="Times New Roman" w:cs="Times New Roman"/>
          <w:lang w:val="es-PR"/>
        </w:rPr>
        <w:t xml:space="preserve"> SARM tratad</w:t>
      </w:r>
      <w:r w:rsidR="00D63644">
        <w:rPr>
          <w:rFonts w:ascii="Times New Roman" w:hAnsi="Times New Roman" w:cs="Times New Roman"/>
          <w:lang w:val="es-PR"/>
        </w:rPr>
        <w:t>as</w:t>
      </w:r>
      <w:r w:rsidRPr="00A41AF9">
        <w:rPr>
          <w:rFonts w:ascii="Times New Roman" w:hAnsi="Times New Roman" w:cs="Times New Roman"/>
          <w:lang w:val="es-PR"/>
        </w:rPr>
        <w:t xml:space="preserve"> con fagos desarroll</w:t>
      </w:r>
      <w:r>
        <w:rPr>
          <w:rFonts w:ascii="Times New Roman" w:hAnsi="Times New Roman" w:cs="Times New Roman"/>
          <w:lang w:val="es-PR"/>
        </w:rPr>
        <w:t xml:space="preserve">aron </w:t>
      </w:r>
      <w:r w:rsidRPr="00A41AF9">
        <w:rPr>
          <w:rFonts w:ascii="Times New Roman" w:hAnsi="Times New Roman" w:cs="Times New Roman"/>
          <w:lang w:val="es-PR"/>
        </w:rPr>
        <w:t>mutaciones en diversos reguladores transcripcionales, algunos de los cuales se sabe que afectan</w:t>
      </w:r>
      <w:r w:rsidR="00D63644">
        <w:rPr>
          <w:rFonts w:ascii="Times New Roman" w:hAnsi="Times New Roman" w:cs="Times New Roman"/>
          <w:lang w:val="es-PR"/>
        </w:rPr>
        <w:t xml:space="preserve"> </w:t>
      </w:r>
      <w:r w:rsidRPr="00A41AF9">
        <w:rPr>
          <w:rFonts w:ascii="Times New Roman" w:hAnsi="Times New Roman" w:cs="Times New Roman"/>
          <w:lang w:val="es-PR"/>
        </w:rPr>
        <w:t>virulencia. Por lo tanto, planteamos la hipótesis de que las mutaciones en estos reguladores alterarían significativamente el perfil transcripcional de</w:t>
      </w:r>
      <w:r>
        <w:rPr>
          <w:rFonts w:ascii="Times New Roman" w:hAnsi="Times New Roman" w:cs="Times New Roman"/>
          <w:lang w:val="es-PR"/>
        </w:rPr>
        <w:t xml:space="preserve"> las cepas de</w:t>
      </w:r>
      <w:r w:rsidRPr="00A41AF9">
        <w:rPr>
          <w:rFonts w:ascii="Times New Roman" w:hAnsi="Times New Roman" w:cs="Times New Roman"/>
          <w:lang w:val="es-PR"/>
        </w:rPr>
        <w:t xml:space="preserve"> SARM. Para comprobarlo, realizamos experimentos de secuenciación de ARN en </w:t>
      </w:r>
      <w:r>
        <w:rPr>
          <w:rFonts w:ascii="Times New Roman" w:hAnsi="Times New Roman" w:cs="Times New Roman"/>
          <w:lang w:val="es-PR"/>
        </w:rPr>
        <w:t xml:space="preserve">las </w:t>
      </w:r>
      <w:r w:rsidRPr="00A41AF9">
        <w:rPr>
          <w:rFonts w:ascii="Times New Roman" w:hAnsi="Times New Roman" w:cs="Times New Roman"/>
          <w:lang w:val="es-PR"/>
        </w:rPr>
        <w:t xml:space="preserve">cepas MW2 y LAC tratadas con el fago Evo2 y comparamos sus perfiles de transcripción con los de las cepas no tratadas </w:t>
      </w:r>
      <w:r>
        <w:rPr>
          <w:rFonts w:ascii="Times New Roman" w:hAnsi="Times New Roman" w:cs="Times New Roman"/>
          <w:lang w:val="es-PR"/>
        </w:rPr>
        <w:t xml:space="preserve">con fago </w:t>
      </w:r>
      <w:r w:rsidRPr="00A41AF9">
        <w:rPr>
          <w:rFonts w:ascii="Times New Roman" w:hAnsi="Times New Roman" w:cs="Times New Roman"/>
          <w:lang w:val="es-PR"/>
        </w:rPr>
        <w:t xml:space="preserve">(Figura 4, </w:t>
      </w:r>
      <w:r w:rsidR="00B806AE">
        <w:rPr>
          <w:rFonts w:ascii="Times New Roman" w:hAnsi="Times New Roman" w:cs="Times New Roman"/>
          <w:lang w:val="es-PR"/>
        </w:rPr>
        <w:t>Archivo suplementario 2</w:t>
      </w:r>
      <w:r w:rsidRPr="00A41AF9">
        <w:rPr>
          <w:rFonts w:ascii="Times New Roman" w:hAnsi="Times New Roman" w:cs="Times New Roman"/>
          <w:lang w:val="es-PR"/>
        </w:rPr>
        <w:t xml:space="preserve">). Observamos cambios significativos en la expresión génica tanto en MW2 como en LAC. Cabe destacar que, siguiendo la tendencia observada en los datos mutacionales, no observamos cambios significativos en la expresión de genes en </w:t>
      </w:r>
      <w:r>
        <w:rPr>
          <w:rFonts w:ascii="Times New Roman" w:hAnsi="Times New Roman" w:cs="Times New Roman"/>
          <w:lang w:val="es-PR"/>
        </w:rPr>
        <w:t>el locus</w:t>
      </w:r>
      <w:r w:rsidRPr="00A41AF9">
        <w:rPr>
          <w:rFonts w:ascii="Times New Roman" w:hAnsi="Times New Roman" w:cs="Times New Roman"/>
          <w:lang w:val="es-PR"/>
        </w:rPr>
        <w:t xml:space="preserve"> </w:t>
      </w:r>
      <w:r w:rsidRPr="00A41AF9">
        <w:rPr>
          <w:rFonts w:ascii="Times New Roman" w:hAnsi="Times New Roman" w:cs="Times New Roman"/>
          <w:i/>
          <w:iCs/>
          <w:lang w:val="es-PR"/>
        </w:rPr>
        <w:t>SCCmec</w:t>
      </w:r>
      <w:r w:rsidRPr="00A41AF9">
        <w:rPr>
          <w:rFonts w:ascii="Times New Roman" w:hAnsi="Times New Roman" w:cs="Times New Roman"/>
          <w:lang w:val="es-PR"/>
        </w:rPr>
        <w:t xml:space="preserve"> ni en </w:t>
      </w:r>
      <w:r w:rsidRPr="00A41AF9">
        <w:rPr>
          <w:rFonts w:ascii="Times New Roman" w:hAnsi="Times New Roman" w:cs="Times New Roman"/>
          <w:i/>
          <w:iCs/>
          <w:lang w:val="es-PR"/>
        </w:rPr>
        <w:t>blaZ</w:t>
      </w:r>
      <w:r w:rsidRPr="00A41AF9">
        <w:rPr>
          <w:rFonts w:ascii="Times New Roman" w:hAnsi="Times New Roman" w:cs="Times New Roman"/>
          <w:lang w:val="es-PR"/>
        </w:rPr>
        <w:t xml:space="preserve"> presentes en MW2 y LAC.</w:t>
      </w:r>
    </w:p>
    <w:p w14:paraId="00B69F23" w14:textId="77777777" w:rsidR="00D63644" w:rsidRDefault="00D63644" w:rsidP="00F7152B">
      <w:pPr>
        <w:pStyle w:val="NoSpacing"/>
        <w:rPr>
          <w:rFonts w:ascii="Times New Roman" w:hAnsi="Times New Roman" w:cs="Times New Roman"/>
          <w:lang w:val="es-PR"/>
        </w:rPr>
      </w:pPr>
    </w:p>
    <w:p w14:paraId="206D11E7" w14:textId="68589C02" w:rsidR="00D63644" w:rsidRDefault="00D63644" w:rsidP="00F7152B">
      <w:pPr>
        <w:pStyle w:val="NoSpacing"/>
        <w:rPr>
          <w:rFonts w:ascii="Times New Roman" w:hAnsi="Times New Roman" w:cs="Times New Roman"/>
          <w:lang w:val="es-PR"/>
        </w:rPr>
      </w:pPr>
      <w:r w:rsidRPr="00D63644">
        <w:rPr>
          <w:rFonts w:ascii="Times New Roman" w:hAnsi="Times New Roman" w:cs="Times New Roman"/>
          <w:lang w:val="es-PR"/>
        </w:rPr>
        <w:t xml:space="preserve">Primero comparamos nuestros datos de expresión con estudios transcriptómicos previos. Por ejemplo, Horswill y sus colegas demostraron que la deleción de </w:t>
      </w:r>
      <w:r w:rsidRPr="00D63644">
        <w:rPr>
          <w:rFonts w:ascii="Times New Roman" w:hAnsi="Times New Roman" w:cs="Times New Roman"/>
          <w:i/>
          <w:iCs/>
          <w:lang w:val="es-PR"/>
        </w:rPr>
        <w:t>arlRS</w:t>
      </w:r>
      <w:r w:rsidRPr="00D63644">
        <w:rPr>
          <w:rFonts w:ascii="Times New Roman" w:hAnsi="Times New Roman" w:cs="Times New Roman"/>
          <w:lang w:val="es-PR"/>
        </w:rPr>
        <w:t xml:space="preserve"> y </w:t>
      </w:r>
      <w:r w:rsidRPr="00D63644">
        <w:rPr>
          <w:rFonts w:ascii="Times New Roman" w:hAnsi="Times New Roman" w:cs="Times New Roman"/>
          <w:i/>
          <w:iCs/>
          <w:lang w:val="es-PR"/>
        </w:rPr>
        <w:t>mgrA</w:t>
      </w:r>
      <w:r w:rsidRPr="00D63644">
        <w:rPr>
          <w:rFonts w:ascii="Times New Roman" w:hAnsi="Times New Roman" w:cs="Times New Roman"/>
          <w:lang w:val="es-PR"/>
        </w:rPr>
        <w:t xml:space="preserve"> </w:t>
      </w:r>
      <w:r>
        <w:rPr>
          <w:rFonts w:ascii="Times New Roman" w:hAnsi="Times New Roman" w:cs="Times New Roman"/>
          <w:lang w:val="es-PR"/>
        </w:rPr>
        <w:t xml:space="preserve">aumenta la expresión de </w:t>
      </w:r>
      <w:r w:rsidRPr="00D63644">
        <w:rPr>
          <w:rFonts w:ascii="Times New Roman" w:hAnsi="Times New Roman" w:cs="Times New Roman"/>
          <w:lang w:val="es-PR"/>
        </w:rPr>
        <w:t xml:space="preserve">la proteína de unión a la matriz extracelular </w:t>
      </w:r>
      <w:r w:rsidRPr="00D63644">
        <w:rPr>
          <w:rFonts w:ascii="Times New Roman" w:hAnsi="Times New Roman" w:cs="Times New Roman"/>
          <w:i/>
          <w:iCs/>
          <w:lang w:val="es-PR"/>
        </w:rPr>
        <w:t>ebh</w:t>
      </w:r>
      <w:r w:rsidRPr="00D63644">
        <w:rPr>
          <w:rFonts w:ascii="Times New Roman" w:hAnsi="Times New Roman" w:cs="Times New Roman"/>
          <w:lang w:val="es-PR"/>
        </w:rPr>
        <w:t>. Además, estas deleciones también aumentaron la expresión de los genes de la ureasa involucrados en el ciclo de la urea TCA.</w:t>
      </w:r>
      <w:r w:rsidRPr="00D63644">
        <w:rPr>
          <w:rFonts w:ascii="Times New Roman" w:hAnsi="Times New Roman" w:cs="Times New Roman"/>
          <w:vertAlign w:val="superscript"/>
          <w:lang w:val="es-PR"/>
        </w:rPr>
        <w:t>33,37</w:t>
      </w:r>
      <w:r>
        <w:rPr>
          <w:rFonts w:ascii="Times New Roman" w:hAnsi="Times New Roman" w:cs="Times New Roman"/>
          <w:lang w:val="es-PR"/>
        </w:rPr>
        <w:t xml:space="preserve"> </w:t>
      </w:r>
      <w:r w:rsidRPr="00D63644">
        <w:rPr>
          <w:rFonts w:ascii="Times New Roman" w:hAnsi="Times New Roman" w:cs="Times New Roman"/>
          <w:lang w:val="es-PR"/>
        </w:rPr>
        <w:t xml:space="preserve">En nuestros experimentos, tanto las cepas MW2 como LAC desarrollaron mutaciones sin sentido en </w:t>
      </w:r>
      <w:r w:rsidRPr="00C87793">
        <w:rPr>
          <w:rFonts w:ascii="Times New Roman" w:hAnsi="Times New Roman" w:cs="Times New Roman"/>
          <w:i/>
          <w:iCs/>
          <w:lang w:val="es-PR"/>
        </w:rPr>
        <w:t>mgrA</w:t>
      </w:r>
      <w:r w:rsidRPr="00D63644">
        <w:rPr>
          <w:rFonts w:ascii="Times New Roman" w:hAnsi="Times New Roman" w:cs="Times New Roman"/>
          <w:lang w:val="es-PR"/>
        </w:rPr>
        <w:t xml:space="preserve"> y </w:t>
      </w:r>
      <w:r w:rsidRPr="00C87793">
        <w:rPr>
          <w:rFonts w:ascii="Times New Roman" w:hAnsi="Times New Roman" w:cs="Times New Roman"/>
          <w:i/>
          <w:iCs/>
          <w:lang w:val="es-PR"/>
        </w:rPr>
        <w:t>arlR</w:t>
      </w:r>
      <w:r w:rsidRPr="00D63644">
        <w:rPr>
          <w:rFonts w:ascii="Times New Roman" w:hAnsi="Times New Roman" w:cs="Times New Roman"/>
          <w:lang w:val="es-PR"/>
        </w:rPr>
        <w:t xml:space="preserve">, respectivamente. Por lo tanto, planteamos la hipótesis de que estas mutaciones imitarían los efectos de la deleción de genes y, asimismo, producirían niveles elevados de transcripción de los genes </w:t>
      </w:r>
      <w:r w:rsidRPr="00C87793">
        <w:rPr>
          <w:rFonts w:ascii="Times New Roman" w:hAnsi="Times New Roman" w:cs="Times New Roman"/>
          <w:i/>
          <w:iCs/>
          <w:lang w:val="es-PR"/>
        </w:rPr>
        <w:t>ebh</w:t>
      </w:r>
      <w:r w:rsidRPr="00D63644">
        <w:rPr>
          <w:rFonts w:ascii="Times New Roman" w:hAnsi="Times New Roman" w:cs="Times New Roman"/>
          <w:lang w:val="es-PR"/>
        </w:rPr>
        <w:t xml:space="preserve"> y </w:t>
      </w:r>
      <w:r w:rsidRPr="00C87793">
        <w:rPr>
          <w:rFonts w:ascii="Times New Roman" w:hAnsi="Times New Roman" w:cs="Times New Roman"/>
          <w:i/>
          <w:iCs/>
          <w:lang w:val="es-PR"/>
        </w:rPr>
        <w:t>ureasa</w:t>
      </w:r>
      <w:r w:rsidRPr="00D63644">
        <w:rPr>
          <w:rFonts w:ascii="Times New Roman" w:hAnsi="Times New Roman" w:cs="Times New Roman"/>
          <w:lang w:val="es-PR"/>
        </w:rPr>
        <w:t xml:space="preserve">. En consonancia con nuestra hipótesis, los datos de expresión diferencial tanto de MW2 como de LAC mostraron cambios log2 de &gt;7 para </w:t>
      </w:r>
      <w:r w:rsidR="00C87793">
        <w:rPr>
          <w:rFonts w:ascii="Times New Roman" w:hAnsi="Times New Roman" w:cs="Times New Roman"/>
          <w:lang w:val="es-PR"/>
        </w:rPr>
        <w:t>el</w:t>
      </w:r>
      <w:r w:rsidRPr="00D63644">
        <w:rPr>
          <w:rFonts w:ascii="Times New Roman" w:hAnsi="Times New Roman" w:cs="Times New Roman"/>
          <w:lang w:val="es-PR"/>
        </w:rPr>
        <w:t xml:space="preserve"> gen </w:t>
      </w:r>
      <w:r w:rsidRPr="00C87793">
        <w:rPr>
          <w:rFonts w:ascii="Times New Roman" w:hAnsi="Times New Roman" w:cs="Times New Roman"/>
          <w:i/>
          <w:iCs/>
          <w:lang w:val="es-PR"/>
        </w:rPr>
        <w:t>ebh</w:t>
      </w:r>
      <w:r w:rsidRPr="00D63644">
        <w:rPr>
          <w:rFonts w:ascii="Times New Roman" w:hAnsi="Times New Roman" w:cs="Times New Roman"/>
          <w:lang w:val="es-PR"/>
        </w:rPr>
        <w:t xml:space="preserve"> y &gt;3 para los genes </w:t>
      </w:r>
      <w:r w:rsidRPr="00C87793">
        <w:rPr>
          <w:rFonts w:ascii="Times New Roman" w:hAnsi="Times New Roman" w:cs="Times New Roman"/>
          <w:i/>
          <w:iCs/>
          <w:lang w:val="es-PR"/>
        </w:rPr>
        <w:t>ureABCDEFG</w:t>
      </w:r>
      <w:r w:rsidRPr="00D63644">
        <w:rPr>
          <w:rFonts w:ascii="Times New Roman" w:hAnsi="Times New Roman" w:cs="Times New Roman"/>
          <w:lang w:val="es-PR"/>
        </w:rPr>
        <w:t xml:space="preserve"> (</w:t>
      </w:r>
      <w:r w:rsidR="00B806AE">
        <w:rPr>
          <w:rFonts w:ascii="Times New Roman" w:hAnsi="Times New Roman" w:cs="Times New Roman"/>
          <w:lang w:val="es-PR"/>
        </w:rPr>
        <w:t>Archivo suplementario 2</w:t>
      </w:r>
      <w:r w:rsidRPr="00D63644">
        <w:rPr>
          <w:rFonts w:ascii="Times New Roman" w:hAnsi="Times New Roman" w:cs="Times New Roman"/>
          <w:lang w:val="es-PR"/>
        </w:rPr>
        <w:t>).</w:t>
      </w:r>
    </w:p>
    <w:p w14:paraId="267BFB22" w14:textId="77777777" w:rsidR="00B36A49" w:rsidRDefault="00B36A49" w:rsidP="001104C5">
      <w:pPr>
        <w:pStyle w:val="NoSpacing"/>
        <w:rPr>
          <w:rFonts w:ascii="Times New Roman" w:hAnsi="Times New Roman" w:cs="Times New Roman"/>
          <w:lang w:val="es-PR"/>
        </w:rPr>
      </w:pPr>
    </w:p>
    <w:p w14:paraId="1BAB4ED3" w14:textId="3E5358A1" w:rsidR="00B36A49" w:rsidRDefault="00C87793" w:rsidP="001104C5">
      <w:pPr>
        <w:pStyle w:val="NoSpacing"/>
        <w:rPr>
          <w:rFonts w:ascii="Times New Roman" w:hAnsi="Times New Roman" w:cs="Times New Roman"/>
          <w:lang w:val="es-PR"/>
        </w:rPr>
      </w:pPr>
      <w:r w:rsidRPr="00C87793">
        <w:rPr>
          <w:rFonts w:ascii="Times New Roman" w:hAnsi="Times New Roman" w:cs="Times New Roman"/>
          <w:lang w:val="es-PR"/>
        </w:rPr>
        <w:t xml:space="preserve">Además, tanto MW2 como LAC aumentaron considerablemente la expresión de varios genes implicados en el mantenimiento de la pared celular. Estos incluyen </w:t>
      </w:r>
      <w:r w:rsidRPr="00C87793">
        <w:rPr>
          <w:rFonts w:ascii="Times New Roman" w:hAnsi="Times New Roman" w:cs="Times New Roman"/>
          <w:i/>
          <w:iCs/>
          <w:lang w:val="es-PR"/>
        </w:rPr>
        <w:t>lytN</w:t>
      </w:r>
      <w:r w:rsidRPr="00C87793">
        <w:rPr>
          <w:rFonts w:ascii="Times New Roman" w:hAnsi="Times New Roman" w:cs="Times New Roman"/>
          <w:lang w:val="es-PR"/>
        </w:rPr>
        <w:t xml:space="preserve">, una </w:t>
      </w:r>
      <w:r>
        <w:rPr>
          <w:rFonts w:ascii="Times New Roman" w:hAnsi="Times New Roman" w:cs="Times New Roman"/>
          <w:lang w:val="es-PR"/>
        </w:rPr>
        <w:t xml:space="preserve">hidrolasa de </w:t>
      </w:r>
      <w:r w:rsidRPr="00C87793">
        <w:rPr>
          <w:rFonts w:ascii="Times New Roman" w:hAnsi="Times New Roman" w:cs="Times New Roman"/>
          <w:lang w:val="es-PR"/>
        </w:rPr>
        <w:t xml:space="preserve">mureína implicada en el compartimento </w:t>
      </w:r>
      <w:r>
        <w:rPr>
          <w:rFonts w:ascii="Times New Roman" w:hAnsi="Times New Roman" w:cs="Times New Roman"/>
          <w:lang w:val="es-PR"/>
        </w:rPr>
        <w:t xml:space="preserve">de la </w:t>
      </w:r>
      <w:r w:rsidRPr="00C87793">
        <w:rPr>
          <w:rFonts w:ascii="Times New Roman" w:hAnsi="Times New Roman" w:cs="Times New Roman"/>
          <w:lang w:val="es-PR"/>
        </w:rPr>
        <w:t xml:space="preserve">pared de </w:t>
      </w:r>
      <w:r w:rsidRPr="00C87793">
        <w:rPr>
          <w:rFonts w:ascii="Times New Roman" w:hAnsi="Times New Roman" w:cs="Times New Roman"/>
          <w:i/>
          <w:iCs/>
          <w:lang w:val="es-PR"/>
        </w:rPr>
        <w:t>S. aureus</w:t>
      </w:r>
      <w:r w:rsidRPr="00C87793">
        <w:rPr>
          <w:rFonts w:ascii="Times New Roman" w:hAnsi="Times New Roman" w:cs="Times New Roman"/>
          <w:lang w:val="es-PR"/>
        </w:rPr>
        <w:t xml:space="preserve">, y </w:t>
      </w:r>
      <w:r w:rsidRPr="00C87793">
        <w:rPr>
          <w:rFonts w:ascii="Times New Roman" w:hAnsi="Times New Roman" w:cs="Times New Roman"/>
          <w:i/>
          <w:iCs/>
          <w:lang w:val="es-PR"/>
        </w:rPr>
        <w:t>fmhC</w:t>
      </w:r>
      <w:r w:rsidRPr="00C87793">
        <w:rPr>
          <w:rFonts w:ascii="Times New Roman" w:hAnsi="Times New Roman" w:cs="Times New Roman"/>
          <w:lang w:val="es-PR"/>
        </w:rPr>
        <w:t xml:space="preserve">, que, como se describió previamente, incorpora dipéptidos Gly-Ser en los </w:t>
      </w:r>
      <w:r>
        <w:rPr>
          <w:rFonts w:ascii="Times New Roman" w:hAnsi="Times New Roman" w:cs="Times New Roman"/>
          <w:lang w:val="es-PR"/>
        </w:rPr>
        <w:t>entre</w:t>
      </w:r>
      <w:r w:rsidRPr="00C87793">
        <w:rPr>
          <w:rFonts w:ascii="Times New Roman" w:hAnsi="Times New Roman" w:cs="Times New Roman"/>
          <w:lang w:val="es-PR"/>
        </w:rPr>
        <w:t>cruza</w:t>
      </w:r>
      <w:r>
        <w:rPr>
          <w:rFonts w:ascii="Times New Roman" w:hAnsi="Times New Roman" w:cs="Times New Roman"/>
          <w:lang w:val="es-PR"/>
        </w:rPr>
        <w:t>mientos</w:t>
      </w:r>
      <w:r w:rsidRPr="00C87793">
        <w:rPr>
          <w:rFonts w:ascii="Times New Roman" w:hAnsi="Times New Roman" w:cs="Times New Roman"/>
          <w:lang w:val="es-PR"/>
        </w:rPr>
        <w:t xml:space="preserve"> de pentaglicina en la pared celular del peptidoglicano de </w:t>
      </w:r>
      <w:r w:rsidRPr="00C87793">
        <w:rPr>
          <w:rFonts w:ascii="Times New Roman" w:hAnsi="Times New Roman" w:cs="Times New Roman"/>
          <w:i/>
          <w:iCs/>
          <w:lang w:val="es-PR"/>
        </w:rPr>
        <w:t>S. aureus</w:t>
      </w:r>
      <w:r w:rsidRPr="00C87793">
        <w:rPr>
          <w:rFonts w:ascii="Times New Roman" w:hAnsi="Times New Roman" w:cs="Times New Roman"/>
          <w:lang w:val="es-PR"/>
        </w:rPr>
        <w:t xml:space="preserve">. Se ha demostrado que la sobreexpresión de </w:t>
      </w:r>
      <w:r w:rsidRPr="00C87793">
        <w:rPr>
          <w:rFonts w:ascii="Times New Roman" w:hAnsi="Times New Roman" w:cs="Times New Roman"/>
          <w:i/>
          <w:iCs/>
          <w:lang w:val="es-PR"/>
        </w:rPr>
        <w:t>lytN</w:t>
      </w:r>
      <w:r w:rsidRPr="00C87793">
        <w:rPr>
          <w:rFonts w:ascii="Times New Roman" w:hAnsi="Times New Roman" w:cs="Times New Roman"/>
          <w:lang w:val="es-PR"/>
        </w:rPr>
        <w:t xml:space="preserve"> daña la pared celular, lo cual a su vez se alivia con la sobreexpresión de </w:t>
      </w:r>
      <w:r w:rsidRPr="00C87793">
        <w:rPr>
          <w:rFonts w:ascii="Times New Roman" w:hAnsi="Times New Roman" w:cs="Times New Roman"/>
          <w:i/>
          <w:iCs/>
          <w:lang w:val="es-PR"/>
        </w:rPr>
        <w:t>fmhC</w:t>
      </w:r>
      <w:r w:rsidRPr="00C87793">
        <w:rPr>
          <w:rFonts w:ascii="Times New Roman" w:hAnsi="Times New Roman" w:cs="Times New Roman"/>
          <w:lang w:val="es-PR"/>
        </w:rPr>
        <w:t>.</w:t>
      </w:r>
      <w:r w:rsidRPr="00C87793">
        <w:rPr>
          <w:rFonts w:ascii="Times New Roman" w:hAnsi="Times New Roman" w:cs="Times New Roman"/>
          <w:vertAlign w:val="superscript"/>
          <w:lang w:val="es-PR"/>
        </w:rPr>
        <w:t>50</w:t>
      </w:r>
      <w:r>
        <w:rPr>
          <w:rFonts w:ascii="Times New Roman" w:hAnsi="Times New Roman" w:cs="Times New Roman"/>
          <w:lang w:val="es-PR"/>
        </w:rPr>
        <w:t xml:space="preserve"> </w:t>
      </w:r>
      <w:r w:rsidRPr="00C87793">
        <w:rPr>
          <w:rFonts w:ascii="Times New Roman" w:hAnsi="Times New Roman" w:cs="Times New Roman"/>
          <w:lang w:val="es-PR"/>
        </w:rPr>
        <w:t xml:space="preserve">Curiosamente, la </w:t>
      </w:r>
      <w:r w:rsidRPr="00C87793">
        <w:rPr>
          <w:rFonts w:ascii="Times New Roman" w:hAnsi="Times New Roman" w:cs="Times New Roman"/>
          <w:lang w:val="es-PR"/>
        </w:rPr>
        <w:lastRenderedPageBreak/>
        <w:t xml:space="preserve">sobreexpresión de </w:t>
      </w:r>
      <w:r w:rsidRPr="00C87793">
        <w:rPr>
          <w:rFonts w:ascii="Times New Roman" w:hAnsi="Times New Roman" w:cs="Times New Roman"/>
          <w:i/>
          <w:iCs/>
          <w:lang w:val="es-PR"/>
        </w:rPr>
        <w:t>fmhC</w:t>
      </w:r>
      <w:r w:rsidRPr="00C87793">
        <w:rPr>
          <w:rFonts w:ascii="Times New Roman" w:hAnsi="Times New Roman" w:cs="Times New Roman"/>
          <w:lang w:val="es-PR"/>
        </w:rPr>
        <w:t xml:space="preserve"> está relacionada con una mayor sensibilidad a los β-lactámicos y, por lo tanto, podría contribuir a la pérdida de los fenotipos de resistencia a los β-lactámicos que observamos en las cepas de SARM.</w:t>
      </w:r>
    </w:p>
    <w:p w14:paraId="7978B2AE" w14:textId="77777777" w:rsidR="00002E3D" w:rsidRDefault="00002E3D" w:rsidP="001104C5">
      <w:pPr>
        <w:pStyle w:val="NoSpacing"/>
        <w:rPr>
          <w:rFonts w:ascii="Times New Roman" w:hAnsi="Times New Roman" w:cs="Times New Roman"/>
          <w:lang w:val="es-PR"/>
        </w:rPr>
      </w:pPr>
    </w:p>
    <w:p w14:paraId="0C2F15C7" w14:textId="537D2B95" w:rsidR="00002E3D" w:rsidRDefault="00002E3D" w:rsidP="001104C5">
      <w:pPr>
        <w:pStyle w:val="NoSpacing"/>
        <w:rPr>
          <w:rFonts w:ascii="Times New Roman" w:hAnsi="Times New Roman" w:cs="Times New Roman"/>
          <w:lang w:val="es-PR"/>
        </w:rPr>
      </w:pPr>
      <w:r w:rsidRPr="00002E3D">
        <w:rPr>
          <w:rFonts w:ascii="Times New Roman" w:hAnsi="Times New Roman" w:cs="Times New Roman"/>
          <w:lang w:val="es-PR"/>
        </w:rPr>
        <w:t xml:space="preserve">MW2 y LAC también inhibieron la expresión de numerosos genes, muchos de los cuales son factores de virulencia. Ambas cepas redujeron los niveles de transcripción de genes en el locus del sistema de secreción tipo VII (locus </w:t>
      </w:r>
      <w:r w:rsidRPr="00002E3D">
        <w:rPr>
          <w:rFonts w:ascii="Times New Roman" w:hAnsi="Times New Roman" w:cs="Times New Roman"/>
          <w:i/>
          <w:iCs/>
          <w:lang w:val="es-PR"/>
        </w:rPr>
        <w:t>ess</w:t>
      </w:r>
      <w:r w:rsidRPr="00002E3D">
        <w:rPr>
          <w:rFonts w:ascii="Times New Roman" w:hAnsi="Times New Roman" w:cs="Times New Roman"/>
          <w:lang w:val="es-PR"/>
        </w:rPr>
        <w:t>), la biosíntesis de estafiloxantina (</w:t>
      </w:r>
      <w:r w:rsidRPr="00002E3D">
        <w:rPr>
          <w:rFonts w:ascii="Times New Roman" w:hAnsi="Times New Roman" w:cs="Times New Roman"/>
          <w:i/>
          <w:iCs/>
          <w:lang w:val="es-PR"/>
        </w:rPr>
        <w:t>crtM</w:t>
      </w:r>
      <w:r w:rsidRPr="00002E3D">
        <w:rPr>
          <w:rFonts w:ascii="Times New Roman" w:hAnsi="Times New Roman" w:cs="Times New Roman"/>
          <w:lang w:val="es-PR"/>
        </w:rPr>
        <w:t xml:space="preserve">, </w:t>
      </w:r>
      <w:r w:rsidRPr="00002E3D">
        <w:rPr>
          <w:rFonts w:ascii="Times New Roman" w:hAnsi="Times New Roman" w:cs="Times New Roman"/>
          <w:i/>
          <w:iCs/>
          <w:lang w:val="es-PR"/>
        </w:rPr>
        <w:t>crtN</w:t>
      </w:r>
      <w:r w:rsidRPr="00002E3D">
        <w:rPr>
          <w:rFonts w:ascii="Times New Roman" w:hAnsi="Times New Roman" w:cs="Times New Roman"/>
          <w:lang w:val="es-PR"/>
        </w:rPr>
        <w:t xml:space="preserve">, </w:t>
      </w:r>
      <w:r w:rsidRPr="00002E3D">
        <w:rPr>
          <w:rFonts w:ascii="Times New Roman" w:hAnsi="Times New Roman" w:cs="Times New Roman"/>
          <w:i/>
          <w:iCs/>
          <w:lang w:val="es-PR"/>
        </w:rPr>
        <w:t>crtP</w:t>
      </w:r>
      <w:r w:rsidRPr="00002E3D">
        <w:rPr>
          <w:rFonts w:ascii="Times New Roman" w:hAnsi="Times New Roman" w:cs="Times New Roman"/>
          <w:lang w:val="es-PR"/>
        </w:rPr>
        <w:t xml:space="preserve">) y la </w:t>
      </w:r>
      <w:r>
        <w:rPr>
          <w:rFonts w:ascii="Times New Roman" w:hAnsi="Times New Roman" w:cs="Times New Roman"/>
          <w:lang w:val="es-PR"/>
        </w:rPr>
        <w:t xml:space="preserve">percepción </w:t>
      </w:r>
      <w:r w:rsidRPr="00002E3D">
        <w:rPr>
          <w:rFonts w:ascii="Times New Roman" w:hAnsi="Times New Roman" w:cs="Times New Roman"/>
          <w:lang w:val="es-PR"/>
        </w:rPr>
        <w:t xml:space="preserve">de </w:t>
      </w:r>
      <w:r>
        <w:rPr>
          <w:rFonts w:ascii="Times New Roman" w:hAnsi="Times New Roman" w:cs="Times New Roman"/>
          <w:lang w:val="es-PR"/>
        </w:rPr>
        <w:t>c</w:t>
      </w:r>
      <w:r w:rsidRPr="00002E3D">
        <w:rPr>
          <w:rFonts w:ascii="Times New Roman" w:hAnsi="Times New Roman" w:cs="Times New Roman"/>
          <w:lang w:val="es-PR"/>
        </w:rPr>
        <w:t xml:space="preserve">uórum (p. ej., agrA) (Figura 4, </w:t>
      </w:r>
      <w:r w:rsidR="00B806AE">
        <w:rPr>
          <w:rFonts w:ascii="Times New Roman" w:hAnsi="Times New Roman" w:cs="Times New Roman"/>
          <w:lang w:val="es-PR"/>
        </w:rPr>
        <w:t>Archivo suplementario 2</w:t>
      </w:r>
      <w:r w:rsidRPr="00002E3D">
        <w:rPr>
          <w:rFonts w:ascii="Times New Roman" w:hAnsi="Times New Roman" w:cs="Times New Roman"/>
          <w:lang w:val="es-PR"/>
        </w:rPr>
        <w:t>). Individualmente, se ha demostrado que est</w:t>
      </w:r>
      <w:r>
        <w:rPr>
          <w:rFonts w:ascii="Times New Roman" w:hAnsi="Times New Roman" w:cs="Times New Roman"/>
          <w:lang w:val="es-PR"/>
        </w:rPr>
        <w:t xml:space="preserve">os genes </w:t>
      </w:r>
      <w:r w:rsidRPr="00002E3D">
        <w:rPr>
          <w:rFonts w:ascii="Times New Roman" w:hAnsi="Times New Roman" w:cs="Times New Roman"/>
          <w:lang w:val="es-PR"/>
        </w:rPr>
        <w:t xml:space="preserve">refuerzan la capacidad de </w:t>
      </w:r>
      <w:r w:rsidRPr="00002E3D">
        <w:rPr>
          <w:rFonts w:ascii="Times New Roman" w:hAnsi="Times New Roman" w:cs="Times New Roman"/>
          <w:i/>
          <w:iCs/>
          <w:lang w:val="es-PR"/>
        </w:rPr>
        <w:t>S. aureus</w:t>
      </w:r>
      <w:r w:rsidRPr="00002E3D">
        <w:rPr>
          <w:rFonts w:ascii="Times New Roman" w:hAnsi="Times New Roman" w:cs="Times New Roman"/>
          <w:lang w:val="es-PR"/>
        </w:rPr>
        <w:t xml:space="preserve"> para establecer la infección y evadir el sistema inmun</w:t>
      </w:r>
      <w:r>
        <w:rPr>
          <w:rFonts w:ascii="Times New Roman" w:hAnsi="Times New Roman" w:cs="Times New Roman"/>
          <w:lang w:val="es-PR"/>
        </w:rPr>
        <w:t>e</w:t>
      </w:r>
      <w:r w:rsidRPr="00002E3D">
        <w:rPr>
          <w:rFonts w:ascii="Times New Roman" w:hAnsi="Times New Roman" w:cs="Times New Roman"/>
          <w:lang w:val="es-PR"/>
        </w:rPr>
        <w:t xml:space="preserve"> del huésped.</w:t>
      </w:r>
      <w:r w:rsidRPr="00002E3D">
        <w:rPr>
          <w:rFonts w:ascii="Times New Roman" w:hAnsi="Times New Roman" w:cs="Times New Roman"/>
          <w:vertAlign w:val="superscript"/>
          <w:lang w:val="es-PR"/>
        </w:rPr>
        <w:t>52-54</w:t>
      </w:r>
      <w:r>
        <w:rPr>
          <w:rFonts w:ascii="Times New Roman" w:hAnsi="Times New Roman" w:cs="Times New Roman"/>
          <w:lang w:val="es-PR"/>
        </w:rPr>
        <w:t xml:space="preserve"> </w:t>
      </w:r>
      <w:r w:rsidRPr="00002E3D">
        <w:rPr>
          <w:rFonts w:ascii="Times New Roman" w:hAnsi="Times New Roman" w:cs="Times New Roman"/>
          <w:lang w:val="es-PR"/>
        </w:rPr>
        <w:t>Nuestros resultados sugieren que la infección por Evo2 puede provocar que SARM reduzca la expresión de todas est</w:t>
      </w:r>
      <w:r>
        <w:rPr>
          <w:rFonts w:ascii="Times New Roman" w:hAnsi="Times New Roman" w:cs="Times New Roman"/>
          <w:lang w:val="es-PR"/>
        </w:rPr>
        <w:t>o</w:t>
      </w:r>
      <w:r w:rsidRPr="00002E3D">
        <w:rPr>
          <w:rFonts w:ascii="Times New Roman" w:hAnsi="Times New Roman" w:cs="Times New Roman"/>
          <w:lang w:val="es-PR"/>
        </w:rPr>
        <w:t xml:space="preserve">s </w:t>
      </w:r>
      <w:r>
        <w:rPr>
          <w:rFonts w:ascii="Times New Roman" w:hAnsi="Times New Roman" w:cs="Times New Roman"/>
          <w:lang w:val="es-PR"/>
        </w:rPr>
        <w:t>genes</w:t>
      </w:r>
      <w:r w:rsidRPr="00002E3D">
        <w:rPr>
          <w:rFonts w:ascii="Times New Roman" w:hAnsi="Times New Roman" w:cs="Times New Roman"/>
          <w:lang w:val="es-PR"/>
        </w:rPr>
        <w:t xml:space="preserve">, lo que podría reducir la virulencia de </w:t>
      </w:r>
      <w:r w:rsidRPr="00002E3D">
        <w:rPr>
          <w:rFonts w:ascii="Times New Roman" w:hAnsi="Times New Roman" w:cs="Times New Roman"/>
          <w:i/>
          <w:iCs/>
          <w:lang w:val="es-PR"/>
        </w:rPr>
        <w:t>S. aureus</w:t>
      </w:r>
      <w:r w:rsidRPr="00002E3D">
        <w:rPr>
          <w:rFonts w:ascii="Times New Roman" w:hAnsi="Times New Roman" w:cs="Times New Roman"/>
          <w:lang w:val="es-PR"/>
        </w:rPr>
        <w:t>.</w:t>
      </w:r>
    </w:p>
    <w:p w14:paraId="7A9FF39E" w14:textId="77777777" w:rsidR="00002E3D" w:rsidRDefault="00002E3D" w:rsidP="001104C5">
      <w:pPr>
        <w:pStyle w:val="NoSpacing"/>
        <w:rPr>
          <w:rFonts w:ascii="Times New Roman" w:hAnsi="Times New Roman" w:cs="Times New Roman"/>
          <w:lang w:val="es-PR"/>
        </w:rPr>
      </w:pPr>
    </w:p>
    <w:p w14:paraId="4A9C1A72" w14:textId="6FEB8E71" w:rsidR="00002E3D" w:rsidRDefault="00002E3D" w:rsidP="001104C5">
      <w:pPr>
        <w:pStyle w:val="NoSpacing"/>
        <w:rPr>
          <w:rFonts w:ascii="Times New Roman" w:hAnsi="Times New Roman" w:cs="Times New Roman"/>
          <w:lang w:val="es-PR"/>
        </w:rPr>
      </w:pPr>
      <w:r w:rsidRPr="00002E3D">
        <w:rPr>
          <w:rFonts w:ascii="Times New Roman" w:hAnsi="Times New Roman" w:cs="Times New Roman"/>
          <w:lang w:val="es-PR"/>
        </w:rPr>
        <w:t xml:space="preserve">Finalmente, observamos que tanto MW2 como LAC mostraron cambios transcripcionales que parecen ser específicos de cada cepa. Por ejemplo, en MW2 se observó un aumento significativo del factor de virulencia </w:t>
      </w:r>
      <w:r w:rsidRPr="00002E3D">
        <w:rPr>
          <w:rFonts w:ascii="Times New Roman" w:hAnsi="Times New Roman" w:cs="Times New Roman"/>
          <w:i/>
          <w:iCs/>
          <w:lang w:val="es-PR"/>
        </w:rPr>
        <w:t>spa</w:t>
      </w:r>
      <w:r>
        <w:rPr>
          <w:rFonts w:ascii="Times New Roman" w:hAnsi="Times New Roman" w:cs="Times New Roman"/>
          <w:lang w:val="es-PR"/>
        </w:rPr>
        <w:t xml:space="preserve"> (gen codificante de proteína A)</w:t>
      </w:r>
      <w:r w:rsidRPr="00002E3D">
        <w:rPr>
          <w:rFonts w:ascii="Times New Roman" w:hAnsi="Times New Roman" w:cs="Times New Roman"/>
          <w:lang w:val="es-PR"/>
        </w:rPr>
        <w:t>, conocido por interferir con la respuesta inmunitaria del huésped e interactuar con otras especies bacterianas. También se ha demostrado que la presencia de proteína A unida a la pared celular disminuye la absorción de fagos, probablemente al enmascarar el WTA.</w:t>
      </w:r>
      <w:r w:rsidRPr="00002E3D">
        <w:rPr>
          <w:rFonts w:ascii="Times New Roman" w:hAnsi="Times New Roman" w:cs="Times New Roman"/>
          <w:vertAlign w:val="superscript"/>
          <w:lang w:val="es-PR"/>
        </w:rPr>
        <w:t>55</w:t>
      </w:r>
      <w:r>
        <w:rPr>
          <w:rFonts w:ascii="Times New Roman" w:hAnsi="Times New Roman" w:cs="Times New Roman"/>
          <w:lang w:val="es-PR"/>
        </w:rPr>
        <w:t xml:space="preserve"> </w:t>
      </w:r>
      <w:r w:rsidRPr="00002E3D">
        <w:rPr>
          <w:rFonts w:ascii="Times New Roman" w:hAnsi="Times New Roman" w:cs="Times New Roman"/>
          <w:lang w:val="es-PR"/>
        </w:rPr>
        <w:t xml:space="preserve">Además, en MW2, observamos que </w:t>
      </w:r>
      <w:r w:rsidRPr="00002E3D">
        <w:rPr>
          <w:rFonts w:ascii="Times New Roman" w:hAnsi="Times New Roman" w:cs="Times New Roman"/>
          <w:i/>
          <w:iCs/>
          <w:lang w:val="es-PR"/>
        </w:rPr>
        <w:t>tarM</w:t>
      </w:r>
      <w:r w:rsidRPr="00002E3D">
        <w:rPr>
          <w:rFonts w:ascii="Times New Roman" w:hAnsi="Times New Roman" w:cs="Times New Roman"/>
          <w:lang w:val="es-PR"/>
        </w:rPr>
        <w:t>, que añade α1,4-GlcNAc al WTA, mostró una fuerte sobreexpresión (</w:t>
      </w:r>
      <w:r>
        <w:rPr>
          <w:rFonts w:ascii="Times New Roman" w:hAnsi="Times New Roman" w:cs="Times New Roman"/>
          <w:lang w:val="es-PR"/>
        </w:rPr>
        <w:t>proporción</w:t>
      </w:r>
      <w:r w:rsidRPr="00002E3D">
        <w:rPr>
          <w:rFonts w:ascii="Times New Roman" w:hAnsi="Times New Roman" w:cs="Times New Roman"/>
          <w:lang w:val="es-PR"/>
        </w:rPr>
        <w:t xml:space="preserve"> log2 = 6</w:t>
      </w:r>
      <w:r>
        <w:rPr>
          <w:rFonts w:ascii="Times New Roman" w:hAnsi="Times New Roman" w:cs="Times New Roman"/>
          <w:lang w:val="es-PR"/>
        </w:rPr>
        <w:t>.</w:t>
      </w:r>
      <w:r w:rsidRPr="00002E3D">
        <w:rPr>
          <w:rFonts w:ascii="Times New Roman" w:hAnsi="Times New Roman" w:cs="Times New Roman"/>
          <w:lang w:val="es-PR"/>
        </w:rPr>
        <w:t>63). Esto concuerda con hallazgos previos que indican que niveles elevados de tarM y α1,4-GlcNAc-WTA pueden provocar resistencia a fagos en SARM. El LAC mostró un aumento en la expresión (</w:t>
      </w:r>
      <w:r>
        <w:rPr>
          <w:rFonts w:ascii="Times New Roman" w:hAnsi="Times New Roman" w:cs="Times New Roman"/>
          <w:lang w:val="es-PR"/>
        </w:rPr>
        <w:t>proporción</w:t>
      </w:r>
      <w:r w:rsidRPr="00002E3D">
        <w:rPr>
          <w:rFonts w:ascii="Times New Roman" w:hAnsi="Times New Roman" w:cs="Times New Roman"/>
          <w:lang w:val="es-PR"/>
        </w:rPr>
        <w:t xml:space="preserve"> log2 &gt;3,8) de los genes de la citotoxina hemolítica lukD/E, que lisa las células huésped</w:t>
      </w:r>
      <w:r>
        <w:rPr>
          <w:rFonts w:ascii="Times New Roman" w:hAnsi="Times New Roman" w:cs="Times New Roman"/>
          <w:lang w:val="es-PR"/>
        </w:rPr>
        <w:t xml:space="preserve">, entre ellas </w:t>
      </w:r>
      <w:r w:rsidRPr="00002E3D">
        <w:rPr>
          <w:rFonts w:ascii="Times New Roman" w:hAnsi="Times New Roman" w:cs="Times New Roman"/>
          <w:lang w:val="es-PR"/>
        </w:rPr>
        <w:t>a los neutrófilos.</w:t>
      </w:r>
      <w:r w:rsidRPr="00002E3D">
        <w:rPr>
          <w:rFonts w:ascii="Times New Roman" w:hAnsi="Times New Roman" w:cs="Times New Roman"/>
          <w:vertAlign w:val="superscript"/>
          <w:lang w:val="es-PR"/>
        </w:rPr>
        <w:t>56</w:t>
      </w:r>
      <w:r>
        <w:rPr>
          <w:rFonts w:ascii="Times New Roman" w:hAnsi="Times New Roman" w:cs="Times New Roman"/>
          <w:lang w:val="es-PR"/>
        </w:rPr>
        <w:t xml:space="preserve"> </w:t>
      </w:r>
      <w:r w:rsidRPr="00002E3D">
        <w:rPr>
          <w:rFonts w:ascii="Times New Roman" w:hAnsi="Times New Roman" w:cs="Times New Roman"/>
          <w:lang w:val="es-PR"/>
        </w:rPr>
        <w:t>Se desconoce si el aumento de la expresión de estos genes resulta en un mayor nivel de producción y secreción de proteínas, pero estos cambios transcripcionales podrían representar una posible</w:t>
      </w:r>
      <w:r>
        <w:rPr>
          <w:rFonts w:ascii="Times New Roman" w:hAnsi="Times New Roman" w:cs="Times New Roman"/>
          <w:lang w:val="es-PR"/>
        </w:rPr>
        <w:t xml:space="preserve"> compensación evolutiva con consecuencias negativas para la clínica</w:t>
      </w:r>
      <w:r w:rsidRPr="00002E3D">
        <w:rPr>
          <w:rFonts w:ascii="Times New Roman" w:hAnsi="Times New Roman" w:cs="Times New Roman"/>
          <w:lang w:val="es-PR"/>
        </w:rPr>
        <w:t xml:space="preserve">. Se necesitarán estudios adicionales para evaluar completamente los efectos fisiológicos y ecológicos de estos genes sobreexpresados ​​en SARM. En conjunto, nuestros resultados de </w:t>
      </w:r>
      <w:r w:rsidR="006C7EE0">
        <w:rPr>
          <w:rFonts w:ascii="Times New Roman" w:hAnsi="Times New Roman" w:cs="Times New Roman"/>
          <w:lang w:val="es-PR"/>
        </w:rPr>
        <w:t xml:space="preserve">secuenciación de </w:t>
      </w:r>
      <w:r w:rsidRPr="00002E3D">
        <w:rPr>
          <w:rFonts w:ascii="Times New Roman" w:hAnsi="Times New Roman" w:cs="Times New Roman"/>
          <w:lang w:val="es-PR"/>
        </w:rPr>
        <w:t>ARN sugieren que la infección por fagos y la resistencia en SARM causan cambios transcripcionales significativos en una amplia gama de genes de virulencia, metabólicos y asociados a la pared celular.</w:t>
      </w:r>
    </w:p>
    <w:p w14:paraId="4D8CC233" w14:textId="77777777" w:rsidR="0047696A" w:rsidRDefault="0047696A" w:rsidP="001104C5">
      <w:pPr>
        <w:pStyle w:val="NoSpacing"/>
        <w:rPr>
          <w:rFonts w:ascii="Times New Roman" w:hAnsi="Times New Roman" w:cs="Times New Roman"/>
          <w:lang w:val="es-PR"/>
        </w:rPr>
      </w:pPr>
    </w:p>
    <w:p w14:paraId="206D89E8" w14:textId="77777777" w:rsidR="0047696A" w:rsidRPr="00D44FBE" w:rsidRDefault="0047696A" w:rsidP="001104C5">
      <w:pPr>
        <w:pStyle w:val="NoSpacing"/>
        <w:rPr>
          <w:rFonts w:ascii="Times New Roman" w:hAnsi="Times New Roman" w:cs="Times New Roman"/>
          <w:b/>
          <w:bCs/>
          <w:lang w:val="es-PR"/>
        </w:rPr>
      </w:pPr>
      <w:r w:rsidRPr="00D44FBE">
        <w:rPr>
          <w:rFonts w:ascii="Times New Roman" w:hAnsi="Times New Roman" w:cs="Times New Roman"/>
          <w:b/>
          <w:bCs/>
          <w:lang w:val="es-PR"/>
        </w:rPr>
        <w:t xml:space="preserve">Las cepas de SARM tratadas con fagos presentan fenotipos de virulencia reducidos. </w:t>
      </w:r>
    </w:p>
    <w:p w14:paraId="099A38D7" w14:textId="6C735513" w:rsidR="0047696A" w:rsidRDefault="0047696A" w:rsidP="001104C5">
      <w:pPr>
        <w:pStyle w:val="NoSpacing"/>
        <w:rPr>
          <w:rFonts w:ascii="Times New Roman" w:hAnsi="Times New Roman" w:cs="Times New Roman"/>
          <w:lang w:val="es-PR"/>
        </w:rPr>
      </w:pPr>
      <w:r w:rsidRPr="0047696A">
        <w:rPr>
          <w:rFonts w:ascii="Times New Roman" w:hAnsi="Times New Roman" w:cs="Times New Roman"/>
          <w:i/>
          <w:iCs/>
          <w:lang w:val="es-PR"/>
        </w:rPr>
        <w:t>S. aureus</w:t>
      </w:r>
      <w:r w:rsidRPr="0047696A">
        <w:rPr>
          <w:rFonts w:ascii="Times New Roman" w:hAnsi="Times New Roman" w:cs="Times New Roman"/>
          <w:lang w:val="es-PR"/>
        </w:rPr>
        <w:t xml:space="preserve"> es un patógeno altamente virulento que depende de una amplia gama de toxinas y proteínas de evasión inmunitaria para promover infección.</w:t>
      </w:r>
      <w:r w:rsidRPr="0047696A">
        <w:rPr>
          <w:rFonts w:ascii="Times New Roman" w:hAnsi="Times New Roman" w:cs="Times New Roman"/>
          <w:vertAlign w:val="superscript"/>
          <w:lang w:val="es-PR"/>
        </w:rPr>
        <w:t>57</w:t>
      </w:r>
      <w:r w:rsidRPr="0047696A">
        <w:rPr>
          <w:rFonts w:ascii="Times New Roman" w:hAnsi="Times New Roman" w:cs="Times New Roman"/>
          <w:lang w:val="es-PR"/>
        </w:rPr>
        <w:t xml:space="preserve"> </w:t>
      </w:r>
      <w:r w:rsidRPr="00B806AE">
        <w:rPr>
          <w:rFonts w:ascii="Times New Roman" w:hAnsi="Times New Roman" w:cs="Times New Roman"/>
          <w:lang w:val="es-PR"/>
        </w:rPr>
        <w:t xml:space="preserve">Las cepas MW2 y LAC </w:t>
      </w:r>
      <w:r w:rsidR="00B806AE" w:rsidRPr="00B806AE">
        <w:rPr>
          <w:rFonts w:ascii="Times New Roman" w:hAnsi="Times New Roman" w:cs="Times New Roman"/>
          <w:lang w:val="es-PR"/>
        </w:rPr>
        <w:t>son utilizados como</w:t>
      </w:r>
      <w:r w:rsidRPr="00B806AE">
        <w:rPr>
          <w:rFonts w:ascii="Times New Roman" w:hAnsi="Times New Roman" w:cs="Times New Roman"/>
          <w:lang w:val="es-PR"/>
        </w:rPr>
        <w:t xml:space="preserve"> modelos de virulencia de SARM</w:t>
      </w:r>
      <w:r w:rsidRPr="00BB4366">
        <w:rPr>
          <w:rFonts w:ascii="Times New Roman" w:hAnsi="Times New Roman" w:cs="Times New Roman"/>
          <w:b/>
          <w:bCs/>
          <w:lang w:val="es-PR"/>
        </w:rPr>
        <w:t>.</w:t>
      </w:r>
      <w:r w:rsidRPr="0005458D">
        <w:rPr>
          <w:rFonts w:ascii="Times New Roman" w:hAnsi="Times New Roman" w:cs="Times New Roman"/>
          <w:vertAlign w:val="superscript"/>
          <w:lang w:val="es-PR"/>
        </w:rPr>
        <w:t>33,34</w:t>
      </w:r>
      <w:r w:rsidRPr="0047696A">
        <w:rPr>
          <w:rFonts w:ascii="Times New Roman" w:hAnsi="Times New Roman" w:cs="Times New Roman"/>
          <w:lang w:val="es-PR"/>
        </w:rPr>
        <w:t xml:space="preserve"> A la luz de nuestros datos mutacionales y transcriptómicos, planteamos la hipótesis de que las células de SARM tratadas con fagos presentarían fenotipos de virulencia alterados, además de una menor resistencia a β-lactámicos. Primero, evaluamos la capacidad de las cepas de SARM que sobrevivieron a la depredación por fagos para formar biopelículas en un ensayo de Cristal</w:t>
      </w:r>
      <w:r w:rsidR="002C7131">
        <w:rPr>
          <w:rFonts w:ascii="Times New Roman" w:hAnsi="Times New Roman" w:cs="Times New Roman"/>
          <w:lang w:val="es-PR"/>
        </w:rPr>
        <w:t xml:space="preserve"> Violeta</w:t>
      </w:r>
      <w:r w:rsidRPr="0047696A">
        <w:rPr>
          <w:rFonts w:ascii="Times New Roman" w:hAnsi="Times New Roman" w:cs="Times New Roman"/>
          <w:lang w:val="es-PR"/>
        </w:rPr>
        <w:t xml:space="preserve">. Observamos que la infección de MRSA252 con Evo2 resultó en una reducción significativa en la absorción de </w:t>
      </w:r>
      <w:r w:rsidR="00B806AE">
        <w:rPr>
          <w:rFonts w:ascii="Times New Roman" w:hAnsi="Times New Roman" w:cs="Times New Roman"/>
          <w:lang w:val="es-PR"/>
        </w:rPr>
        <w:t>Cristal Violeta</w:t>
      </w:r>
      <w:r w:rsidRPr="0047696A">
        <w:rPr>
          <w:rFonts w:ascii="Times New Roman" w:hAnsi="Times New Roman" w:cs="Times New Roman"/>
          <w:lang w:val="es-PR"/>
        </w:rPr>
        <w:t xml:space="preserve"> en comparación con la cepa parental</w:t>
      </w:r>
      <w:r w:rsidR="002C7131">
        <w:rPr>
          <w:rFonts w:ascii="Times New Roman" w:hAnsi="Times New Roman" w:cs="Times New Roman"/>
          <w:lang w:val="es-PR"/>
        </w:rPr>
        <w:t>, lo que muestra una disminución en formación de biopelículas</w:t>
      </w:r>
      <w:r w:rsidRPr="0047696A">
        <w:rPr>
          <w:rFonts w:ascii="Times New Roman" w:hAnsi="Times New Roman" w:cs="Times New Roman"/>
          <w:lang w:val="es-PR"/>
        </w:rPr>
        <w:t>. Sin embargo, no mostramos diferencias significativas en la absorción de Cristal</w:t>
      </w:r>
      <w:r w:rsidR="00B806AE">
        <w:rPr>
          <w:rFonts w:ascii="Times New Roman" w:hAnsi="Times New Roman" w:cs="Times New Roman"/>
          <w:lang w:val="es-PR"/>
        </w:rPr>
        <w:t xml:space="preserve"> Violeta</w:t>
      </w:r>
      <w:r w:rsidRPr="0047696A">
        <w:rPr>
          <w:rFonts w:ascii="Times New Roman" w:hAnsi="Times New Roman" w:cs="Times New Roman"/>
          <w:lang w:val="es-PR"/>
        </w:rPr>
        <w:t xml:space="preserve"> entre las cepas </w:t>
      </w:r>
      <w:r w:rsidR="002C7131">
        <w:rPr>
          <w:rFonts w:ascii="Times New Roman" w:hAnsi="Times New Roman" w:cs="Times New Roman"/>
          <w:lang w:val="es-PR"/>
        </w:rPr>
        <w:t xml:space="preserve">MW2 y LAC </w:t>
      </w:r>
      <w:r w:rsidRPr="0047696A">
        <w:rPr>
          <w:rFonts w:ascii="Times New Roman" w:hAnsi="Times New Roman" w:cs="Times New Roman"/>
          <w:lang w:val="es-PR"/>
        </w:rPr>
        <w:t xml:space="preserve">parentales, las tratadas con placebo y las tratadas con fagos (Figura </w:t>
      </w:r>
      <w:r w:rsidR="00B806AE">
        <w:rPr>
          <w:rFonts w:ascii="Times New Roman" w:hAnsi="Times New Roman" w:cs="Times New Roman"/>
          <w:lang w:val="es-PR"/>
        </w:rPr>
        <w:t>5-Figura suplementaria 1</w:t>
      </w:r>
      <w:r w:rsidRPr="0047696A">
        <w:rPr>
          <w:rFonts w:ascii="Times New Roman" w:hAnsi="Times New Roman" w:cs="Times New Roman"/>
          <w:lang w:val="es-PR"/>
        </w:rPr>
        <w:t>).</w:t>
      </w:r>
    </w:p>
    <w:p w14:paraId="18E0F156" w14:textId="77777777" w:rsidR="002C7131" w:rsidRDefault="002C7131" w:rsidP="001104C5">
      <w:pPr>
        <w:pStyle w:val="NoSpacing"/>
        <w:rPr>
          <w:rFonts w:ascii="Times New Roman" w:hAnsi="Times New Roman" w:cs="Times New Roman"/>
          <w:lang w:val="es-PR"/>
        </w:rPr>
      </w:pPr>
    </w:p>
    <w:p w14:paraId="2BB79F32" w14:textId="0A399397" w:rsidR="002C7131" w:rsidRDefault="002C7131" w:rsidP="001104C5">
      <w:pPr>
        <w:pStyle w:val="NoSpacing"/>
        <w:rPr>
          <w:rFonts w:ascii="Times New Roman" w:hAnsi="Times New Roman" w:cs="Times New Roman"/>
          <w:lang w:val="es-PR"/>
        </w:rPr>
      </w:pPr>
      <w:r>
        <w:rPr>
          <w:rFonts w:ascii="Times New Roman" w:hAnsi="Times New Roman" w:cs="Times New Roman"/>
          <w:lang w:val="es-PR"/>
        </w:rPr>
        <w:lastRenderedPageBreak/>
        <w:t>Luego</w:t>
      </w:r>
      <w:r w:rsidRPr="002C7131">
        <w:rPr>
          <w:rFonts w:ascii="Times New Roman" w:hAnsi="Times New Roman" w:cs="Times New Roman"/>
          <w:lang w:val="es-PR"/>
        </w:rPr>
        <w:t xml:space="preserve">, evaluamos si la infección por fagos podría afectar la hemólisis de las células sanguíneas de conejo. La hemólisis está mediada por la secreción de toxinas, en particular la </w:t>
      </w:r>
      <w:r>
        <w:rPr>
          <w:rFonts w:ascii="Times New Roman" w:hAnsi="Times New Roman" w:cs="Times New Roman"/>
          <w:lang w:val="es-PR"/>
        </w:rPr>
        <w:t>hemolisina</w:t>
      </w:r>
      <w:r w:rsidRPr="002C7131">
        <w:rPr>
          <w:rFonts w:ascii="Times New Roman" w:hAnsi="Times New Roman" w:cs="Times New Roman"/>
          <w:lang w:val="es-PR"/>
        </w:rPr>
        <w:t xml:space="preserve"> alfa codificada por el gen </w:t>
      </w:r>
      <w:r w:rsidRPr="002C7131">
        <w:rPr>
          <w:rFonts w:ascii="Times New Roman" w:hAnsi="Times New Roman" w:cs="Times New Roman"/>
          <w:i/>
          <w:iCs/>
          <w:lang w:val="es-PR"/>
        </w:rPr>
        <w:t>hla</w:t>
      </w:r>
      <w:r w:rsidRPr="002C7131">
        <w:rPr>
          <w:rFonts w:ascii="Times New Roman" w:hAnsi="Times New Roman" w:cs="Times New Roman"/>
          <w:lang w:val="es-PR"/>
        </w:rPr>
        <w:t xml:space="preserve">, y desempeña un papel importante en la infección </w:t>
      </w:r>
      <w:r>
        <w:rPr>
          <w:rFonts w:ascii="Times New Roman" w:hAnsi="Times New Roman" w:cs="Times New Roman"/>
          <w:lang w:val="es-PR"/>
        </w:rPr>
        <w:t>de</w:t>
      </w:r>
      <w:r w:rsidRPr="002C7131">
        <w:rPr>
          <w:rFonts w:ascii="Times New Roman" w:hAnsi="Times New Roman" w:cs="Times New Roman"/>
          <w:lang w:val="es-PR"/>
        </w:rPr>
        <w:t xml:space="preserve"> SARM.</w:t>
      </w:r>
      <w:r w:rsidRPr="002C7131">
        <w:rPr>
          <w:rFonts w:ascii="Times New Roman" w:hAnsi="Times New Roman" w:cs="Times New Roman"/>
          <w:vertAlign w:val="superscript"/>
          <w:lang w:val="es-PR"/>
        </w:rPr>
        <w:t>58</w:t>
      </w:r>
      <w:r w:rsidRPr="002C7131">
        <w:rPr>
          <w:rFonts w:ascii="Times New Roman" w:hAnsi="Times New Roman" w:cs="Times New Roman"/>
          <w:lang w:val="es-PR"/>
        </w:rPr>
        <w:t xml:space="preserve"> La expresión de estas toxinas está regulada por vías </w:t>
      </w:r>
      <w:r>
        <w:rPr>
          <w:rFonts w:ascii="Times New Roman" w:hAnsi="Times New Roman" w:cs="Times New Roman"/>
          <w:lang w:val="es-PR"/>
        </w:rPr>
        <w:t xml:space="preserve">de señalización </w:t>
      </w:r>
      <w:r w:rsidRPr="002C7131">
        <w:rPr>
          <w:rFonts w:ascii="Times New Roman" w:hAnsi="Times New Roman" w:cs="Times New Roman"/>
          <w:lang w:val="es-PR"/>
        </w:rPr>
        <w:t xml:space="preserve">de virulencia que comprenden numerosos factores de transcripción, como </w:t>
      </w:r>
      <w:r w:rsidRPr="002C7131">
        <w:rPr>
          <w:rFonts w:ascii="Times New Roman" w:hAnsi="Times New Roman" w:cs="Times New Roman"/>
          <w:i/>
          <w:iCs/>
          <w:lang w:val="es-PR"/>
        </w:rPr>
        <w:t>mgrA</w:t>
      </w:r>
      <w:r w:rsidRPr="002C7131">
        <w:rPr>
          <w:rFonts w:ascii="Times New Roman" w:hAnsi="Times New Roman" w:cs="Times New Roman"/>
          <w:lang w:val="es-PR"/>
        </w:rPr>
        <w:t xml:space="preserve">, </w:t>
      </w:r>
      <w:r w:rsidRPr="002C7131">
        <w:rPr>
          <w:rFonts w:ascii="Times New Roman" w:hAnsi="Times New Roman" w:cs="Times New Roman"/>
          <w:i/>
          <w:iCs/>
          <w:lang w:val="es-PR"/>
        </w:rPr>
        <w:t>arlR</w:t>
      </w:r>
      <w:r w:rsidRPr="002C7131">
        <w:rPr>
          <w:rFonts w:ascii="Times New Roman" w:hAnsi="Times New Roman" w:cs="Times New Roman"/>
          <w:lang w:val="es-PR"/>
        </w:rPr>
        <w:t xml:space="preserve"> y </w:t>
      </w:r>
      <w:r w:rsidRPr="002C7131">
        <w:rPr>
          <w:rFonts w:ascii="Times New Roman" w:hAnsi="Times New Roman" w:cs="Times New Roman"/>
          <w:i/>
          <w:iCs/>
          <w:lang w:val="es-PR"/>
        </w:rPr>
        <w:t>sarA</w:t>
      </w:r>
      <w:r w:rsidRPr="002C7131">
        <w:rPr>
          <w:rFonts w:ascii="Times New Roman" w:hAnsi="Times New Roman" w:cs="Times New Roman"/>
          <w:lang w:val="es-PR"/>
        </w:rPr>
        <w:t xml:space="preserve">. Además, en nuestros resultados de </w:t>
      </w:r>
      <w:r>
        <w:rPr>
          <w:rFonts w:ascii="Times New Roman" w:hAnsi="Times New Roman" w:cs="Times New Roman"/>
          <w:lang w:val="es-PR"/>
        </w:rPr>
        <w:t xml:space="preserve">secuenciación de </w:t>
      </w:r>
      <w:r w:rsidRPr="002C7131">
        <w:rPr>
          <w:rFonts w:ascii="Times New Roman" w:hAnsi="Times New Roman" w:cs="Times New Roman"/>
          <w:lang w:val="es-PR"/>
        </w:rPr>
        <w:t>ARN, observamos que las cepas de SARM resistentes a los fagos mostraron una expresión reducida de otras citotoxinas. Las colonias parentales de MW2 y LAC lisaron células sanguíneas de conejo en pla</w:t>
      </w:r>
      <w:r>
        <w:rPr>
          <w:rFonts w:ascii="Times New Roman" w:hAnsi="Times New Roman" w:cs="Times New Roman"/>
          <w:lang w:val="es-PR"/>
        </w:rPr>
        <w:t>tos</w:t>
      </w:r>
      <w:r w:rsidRPr="002C7131">
        <w:rPr>
          <w:rFonts w:ascii="Times New Roman" w:hAnsi="Times New Roman" w:cs="Times New Roman"/>
          <w:lang w:val="es-PR"/>
        </w:rPr>
        <w:t xml:space="preserve"> de agar </w:t>
      </w:r>
      <w:r>
        <w:rPr>
          <w:rFonts w:ascii="Times New Roman" w:hAnsi="Times New Roman" w:cs="Times New Roman"/>
          <w:lang w:val="es-PR"/>
        </w:rPr>
        <w:t xml:space="preserve">de </w:t>
      </w:r>
      <w:r w:rsidRPr="002C7131">
        <w:rPr>
          <w:rFonts w:ascii="Times New Roman" w:hAnsi="Times New Roman" w:cs="Times New Roman"/>
          <w:lang w:val="es-PR"/>
        </w:rPr>
        <w:t>sangre, produciendo halos distintivos de aclaramiento alrededor de las células bacterianas. En el caso de LAC sin trata</w:t>
      </w:r>
      <w:r w:rsidR="00BB4366">
        <w:rPr>
          <w:rFonts w:ascii="Times New Roman" w:hAnsi="Times New Roman" w:cs="Times New Roman"/>
          <w:lang w:val="es-PR"/>
        </w:rPr>
        <w:t>miento de fago</w:t>
      </w:r>
      <w:r w:rsidRPr="002C7131">
        <w:rPr>
          <w:rFonts w:ascii="Times New Roman" w:hAnsi="Times New Roman" w:cs="Times New Roman"/>
          <w:lang w:val="es-PR"/>
        </w:rPr>
        <w:t>, el área total de hemólisis fue, en promedio, tres veces mayor que la de MW2 sin trata</w:t>
      </w:r>
      <w:r w:rsidR="00BB4366">
        <w:rPr>
          <w:rFonts w:ascii="Times New Roman" w:hAnsi="Times New Roman" w:cs="Times New Roman"/>
          <w:lang w:val="es-PR"/>
        </w:rPr>
        <w:t>miento</w:t>
      </w:r>
      <w:r w:rsidRPr="002C7131">
        <w:rPr>
          <w:rFonts w:ascii="Times New Roman" w:hAnsi="Times New Roman" w:cs="Times New Roman"/>
          <w:lang w:val="es-PR"/>
        </w:rPr>
        <w:t xml:space="preserve"> (~210 mm² frente a ~70 mm², respectivamente); en cambio, con MRSA252 no se detectó lisis (Figura 5A). Tras el tratamiento con ΦStaph1N, observamos que MW2 y LAC presentaron una reducción del área de hemólisis de 4 a 5 veces. Con las células tratadas con Evo2, observamos que en MW2 la reducción fue comparable a la de las células tratadas con ΦStaph1N. Sin embargo, en LAC tratada con Evo2, la pérdida de hemólisis fue aún más pronunciada, con dos réplicas sin hemólisis detectable. Observamos que ni MW2 ni LAC mostraron una reducción en la expresión de la transcripción de </w:t>
      </w:r>
      <w:r w:rsidRPr="00BB4366">
        <w:rPr>
          <w:rFonts w:ascii="Times New Roman" w:hAnsi="Times New Roman" w:cs="Times New Roman"/>
          <w:i/>
          <w:iCs/>
          <w:lang w:val="es-PR"/>
        </w:rPr>
        <w:t>hla</w:t>
      </w:r>
      <w:r w:rsidRPr="002C7131">
        <w:rPr>
          <w:rFonts w:ascii="Times New Roman" w:hAnsi="Times New Roman" w:cs="Times New Roman"/>
          <w:lang w:val="es-PR"/>
        </w:rPr>
        <w:t xml:space="preserve">. Postulamos que la pérdida de hemólisis podría deberse a la incapacidad del SARM </w:t>
      </w:r>
      <w:r w:rsidR="00BB4366">
        <w:rPr>
          <w:rFonts w:ascii="Times New Roman" w:hAnsi="Times New Roman" w:cs="Times New Roman"/>
          <w:lang w:val="es-PR"/>
        </w:rPr>
        <w:t>tratado</w:t>
      </w:r>
      <w:r w:rsidRPr="002C7131">
        <w:rPr>
          <w:rFonts w:ascii="Times New Roman" w:hAnsi="Times New Roman" w:cs="Times New Roman"/>
          <w:lang w:val="es-PR"/>
        </w:rPr>
        <w:t xml:space="preserve"> por fagos </w:t>
      </w:r>
      <w:r w:rsidR="00BB4366">
        <w:rPr>
          <w:rFonts w:ascii="Times New Roman" w:hAnsi="Times New Roman" w:cs="Times New Roman"/>
          <w:lang w:val="es-PR"/>
        </w:rPr>
        <w:t>de</w:t>
      </w:r>
      <w:r w:rsidRPr="002C7131">
        <w:rPr>
          <w:rFonts w:ascii="Times New Roman" w:hAnsi="Times New Roman" w:cs="Times New Roman"/>
          <w:lang w:val="es-PR"/>
        </w:rPr>
        <w:t xml:space="preserve"> secretar la toxina.</w:t>
      </w:r>
    </w:p>
    <w:p w14:paraId="696AB156" w14:textId="77777777" w:rsidR="00BB4366" w:rsidRDefault="00BB4366" w:rsidP="001104C5">
      <w:pPr>
        <w:pStyle w:val="NoSpacing"/>
        <w:rPr>
          <w:rFonts w:ascii="Times New Roman" w:hAnsi="Times New Roman" w:cs="Times New Roman"/>
          <w:lang w:val="es-PR"/>
        </w:rPr>
      </w:pPr>
    </w:p>
    <w:p w14:paraId="60595D3C" w14:textId="42A836CF" w:rsidR="00BB4366" w:rsidRDefault="00BB4366" w:rsidP="001104C5">
      <w:pPr>
        <w:pStyle w:val="NoSpacing"/>
        <w:rPr>
          <w:rFonts w:ascii="Times New Roman" w:hAnsi="Times New Roman" w:cs="Times New Roman"/>
          <w:lang w:val="es-PR"/>
        </w:rPr>
      </w:pPr>
      <w:r>
        <w:rPr>
          <w:rFonts w:ascii="Times New Roman" w:hAnsi="Times New Roman" w:cs="Times New Roman"/>
          <w:lang w:val="es-PR"/>
        </w:rPr>
        <w:t>Finalmente</w:t>
      </w:r>
      <w:r w:rsidRPr="00BB4366">
        <w:rPr>
          <w:rFonts w:ascii="Times New Roman" w:hAnsi="Times New Roman" w:cs="Times New Roman"/>
          <w:lang w:val="es-PR"/>
        </w:rPr>
        <w:t>, analizamos cómo la infección por fagos afecta la aglutinación celular (o agregación</w:t>
      </w:r>
      <w:r>
        <w:rPr>
          <w:rFonts w:ascii="Times New Roman" w:hAnsi="Times New Roman" w:cs="Times New Roman"/>
          <w:lang w:val="es-PR"/>
        </w:rPr>
        <w:t xml:space="preserve">, </w:t>
      </w:r>
      <w:r>
        <w:rPr>
          <w:rFonts w:ascii="Times New Roman" w:hAnsi="Times New Roman" w:cs="Times New Roman"/>
          <w:i/>
          <w:iCs/>
          <w:lang w:val="es-PR"/>
        </w:rPr>
        <w:t xml:space="preserve">clumping </w:t>
      </w:r>
      <w:r>
        <w:rPr>
          <w:rFonts w:ascii="Times New Roman" w:hAnsi="Times New Roman" w:cs="Times New Roman"/>
          <w:lang w:val="es-PR"/>
        </w:rPr>
        <w:t>en inglés</w:t>
      </w:r>
      <w:r w:rsidRPr="00BB4366">
        <w:rPr>
          <w:rFonts w:ascii="Times New Roman" w:hAnsi="Times New Roman" w:cs="Times New Roman"/>
          <w:lang w:val="es-PR"/>
        </w:rPr>
        <w:t xml:space="preserve">) en SARM. </w:t>
      </w:r>
      <w:r w:rsidRPr="00BB4366">
        <w:rPr>
          <w:rFonts w:ascii="Times New Roman" w:hAnsi="Times New Roman" w:cs="Times New Roman"/>
          <w:i/>
          <w:iCs/>
          <w:lang w:val="es-PR"/>
        </w:rPr>
        <w:t>S. aureus</w:t>
      </w:r>
      <w:r w:rsidRPr="00BB4366">
        <w:rPr>
          <w:rFonts w:ascii="Times New Roman" w:hAnsi="Times New Roman" w:cs="Times New Roman"/>
          <w:lang w:val="es-PR"/>
        </w:rPr>
        <w:t xml:space="preserve"> se </w:t>
      </w:r>
      <w:r>
        <w:rPr>
          <w:rFonts w:ascii="Times New Roman" w:hAnsi="Times New Roman" w:cs="Times New Roman"/>
          <w:lang w:val="es-PR"/>
        </w:rPr>
        <w:t>enlaza</w:t>
      </w:r>
      <w:r w:rsidRPr="00BB4366">
        <w:rPr>
          <w:rFonts w:ascii="Times New Roman" w:hAnsi="Times New Roman" w:cs="Times New Roman"/>
          <w:lang w:val="es-PR"/>
        </w:rPr>
        <w:t xml:space="preserve"> al fibrinógeno y forma agregados bacterian</w:t>
      </w:r>
      <w:r>
        <w:rPr>
          <w:rFonts w:ascii="Times New Roman" w:hAnsi="Times New Roman" w:cs="Times New Roman"/>
          <w:lang w:val="es-PR"/>
        </w:rPr>
        <w:t>o</w:t>
      </w:r>
      <w:r w:rsidRPr="00BB4366">
        <w:rPr>
          <w:rFonts w:ascii="Times New Roman" w:hAnsi="Times New Roman" w:cs="Times New Roman"/>
          <w:lang w:val="es-PR"/>
        </w:rPr>
        <w:t xml:space="preserve">s. Se cree que </w:t>
      </w:r>
      <w:r>
        <w:rPr>
          <w:rFonts w:ascii="Times New Roman" w:hAnsi="Times New Roman" w:cs="Times New Roman"/>
          <w:lang w:val="es-PR"/>
        </w:rPr>
        <w:t>est</w:t>
      </w:r>
      <w:r w:rsidRPr="00BB4366">
        <w:rPr>
          <w:rFonts w:ascii="Times New Roman" w:hAnsi="Times New Roman" w:cs="Times New Roman"/>
          <w:lang w:val="es-PR"/>
        </w:rPr>
        <w:t>a agregación tiene varias funciones en el contexto de las infecciones estafilocócicas, facilitando la adhesión al tejido del huésped. También es probable que las agregaciones sean más resistentes a la eliminación por el sistema inmun</w:t>
      </w:r>
      <w:r>
        <w:rPr>
          <w:rFonts w:ascii="Times New Roman" w:hAnsi="Times New Roman" w:cs="Times New Roman"/>
          <w:lang w:val="es-PR"/>
        </w:rPr>
        <w:t>e</w:t>
      </w:r>
      <w:r w:rsidRPr="00BB4366">
        <w:rPr>
          <w:rFonts w:ascii="Times New Roman" w:hAnsi="Times New Roman" w:cs="Times New Roman"/>
          <w:lang w:val="es-PR"/>
        </w:rPr>
        <w:t>, en parte porque pueden ser demasiado grandes para ser fagocitadas por los neutrófilos.</w:t>
      </w:r>
      <w:r w:rsidRPr="00BB4366">
        <w:rPr>
          <w:rFonts w:ascii="Times New Roman" w:hAnsi="Times New Roman" w:cs="Times New Roman"/>
          <w:vertAlign w:val="superscript"/>
          <w:lang w:val="es-PR"/>
        </w:rPr>
        <w:t>34</w:t>
      </w:r>
      <w:r w:rsidRPr="00BB4366">
        <w:rPr>
          <w:rFonts w:ascii="Times New Roman" w:hAnsi="Times New Roman" w:cs="Times New Roman"/>
          <w:lang w:val="es-PR"/>
        </w:rPr>
        <w:t xml:space="preserve"> En nuestros datos transcripcionales, observamos que varias proteínas de la superficie celular conocidas por reducir la agregación celular, como </w:t>
      </w:r>
      <w:r w:rsidRPr="00BB4366">
        <w:rPr>
          <w:rFonts w:ascii="Times New Roman" w:hAnsi="Times New Roman" w:cs="Times New Roman"/>
          <w:i/>
          <w:iCs/>
          <w:lang w:val="es-PR"/>
        </w:rPr>
        <w:t>ebh</w:t>
      </w:r>
      <w:r w:rsidRPr="00BB4366">
        <w:rPr>
          <w:rFonts w:ascii="Times New Roman" w:hAnsi="Times New Roman" w:cs="Times New Roman"/>
          <w:lang w:val="es-PR"/>
        </w:rPr>
        <w:t xml:space="preserve">, </w:t>
      </w:r>
      <w:r>
        <w:rPr>
          <w:rFonts w:ascii="Times New Roman" w:hAnsi="Times New Roman" w:cs="Times New Roman"/>
          <w:lang w:val="es-PR"/>
        </w:rPr>
        <w:t xml:space="preserve">fueron </w:t>
      </w:r>
      <w:r w:rsidRPr="00BB4366">
        <w:rPr>
          <w:rFonts w:ascii="Times New Roman" w:hAnsi="Times New Roman" w:cs="Times New Roman"/>
          <w:lang w:val="es-PR"/>
        </w:rPr>
        <w:t>sobreexpresa</w:t>
      </w:r>
      <w:r>
        <w:rPr>
          <w:rFonts w:ascii="Times New Roman" w:hAnsi="Times New Roman" w:cs="Times New Roman"/>
          <w:lang w:val="es-PR"/>
        </w:rPr>
        <w:t>das</w:t>
      </w:r>
      <w:r w:rsidRPr="00BB4366">
        <w:rPr>
          <w:rFonts w:ascii="Times New Roman" w:hAnsi="Times New Roman" w:cs="Times New Roman"/>
          <w:lang w:val="es-PR"/>
        </w:rPr>
        <w:t xml:space="preserve"> en SARM resistente a fagos. Horswill y sus colegas descubrieron que la desrepresión de </w:t>
      </w:r>
      <w:r w:rsidRPr="00BB4366">
        <w:rPr>
          <w:rFonts w:ascii="Times New Roman" w:hAnsi="Times New Roman" w:cs="Times New Roman"/>
          <w:i/>
          <w:iCs/>
          <w:lang w:val="es-PR"/>
        </w:rPr>
        <w:t>ebh</w:t>
      </w:r>
      <w:r w:rsidRPr="00BB4366">
        <w:rPr>
          <w:rFonts w:ascii="Times New Roman" w:hAnsi="Times New Roman" w:cs="Times New Roman"/>
          <w:lang w:val="es-PR"/>
        </w:rPr>
        <w:t xml:space="preserve"> reduce la agregación. De hecho, MW2 y LAC tratadas con fagos mostraron menos agregación que la cepa con tratamiento </w:t>
      </w:r>
      <w:r>
        <w:rPr>
          <w:rFonts w:ascii="Times New Roman" w:hAnsi="Times New Roman" w:cs="Times New Roman"/>
          <w:lang w:val="es-PR"/>
        </w:rPr>
        <w:t>sin fago</w:t>
      </w:r>
      <w:r w:rsidRPr="00BB4366">
        <w:rPr>
          <w:rFonts w:ascii="Times New Roman" w:hAnsi="Times New Roman" w:cs="Times New Roman"/>
          <w:lang w:val="es-PR"/>
        </w:rPr>
        <w:t xml:space="preserve"> o la cepa parental. En el caso de MW2, la infección con ΦStaph1N produjo una reducción moderada, mientras que la infección con Evo2 resultó en una reducción de aproximadamente el triple (Figura 5B). En LAC, observamos que tanto el tratamiento con ΦStaph1N como con Evo2 produjo reducciones comparables de la agregación en las células supervivientes. En general, estos resultados fenotípicos coinciden con nuestros datos genéticos y transcriptómicos, lo que demuestra que la infección por fagos puede conducir a poblaciones de SARM a fenotipos de virulencia reducida.</w:t>
      </w:r>
    </w:p>
    <w:p w14:paraId="4D5376F1" w14:textId="77777777" w:rsidR="00BB4366" w:rsidRDefault="00BB4366" w:rsidP="001104C5">
      <w:pPr>
        <w:pStyle w:val="NoSpacing"/>
        <w:rPr>
          <w:rFonts w:ascii="Times New Roman" w:hAnsi="Times New Roman" w:cs="Times New Roman"/>
          <w:lang w:val="es-PR"/>
        </w:rPr>
      </w:pPr>
    </w:p>
    <w:p w14:paraId="5D7D7CA8" w14:textId="246EB632" w:rsidR="00BB4366" w:rsidRPr="00D44FBE" w:rsidRDefault="00BB4366" w:rsidP="00BB4366">
      <w:pPr>
        <w:pStyle w:val="NoSpacing"/>
        <w:rPr>
          <w:rFonts w:ascii="Times New Roman" w:hAnsi="Times New Roman" w:cs="Times New Roman"/>
          <w:b/>
          <w:bCs/>
          <w:lang w:val="es-PR"/>
        </w:rPr>
      </w:pPr>
      <w:r w:rsidRPr="00D44FBE">
        <w:rPr>
          <w:rFonts w:ascii="Times New Roman" w:hAnsi="Times New Roman" w:cs="Times New Roman"/>
          <w:b/>
          <w:bCs/>
          <w:lang w:val="es-PR"/>
        </w:rPr>
        <w:t>Tratamiento combinado de Evo2 y β-lactámicos</w:t>
      </w:r>
    </w:p>
    <w:p w14:paraId="2054A212" w14:textId="0B7C6ECB" w:rsidR="00BB4366" w:rsidRDefault="00BB4366" w:rsidP="00BB4366">
      <w:pPr>
        <w:pStyle w:val="NoSpacing"/>
        <w:rPr>
          <w:rFonts w:ascii="Times New Roman" w:hAnsi="Times New Roman" w:cs="Times New Roman"/>
          <w:lang w:val="es-PR"/>
        </w:rPr>
      </w:pPr>
      <w:r w:rsidRPr="00BB4366">
        <w:rPr>
          <w:rFonts w:ascii="Times New Roman" w:hAnsi="Times New Roman" w:cs="Times New Roman"/>
          <w:lang w:val="es-PR"/>
        </w:rPr>
        <w:t xml:space="preserve">Los resultados </w:t>
      </w:r>
      <w:r>
        <w:rPr>
          <w:rFonts w:ascii="Times New Roman" w:hAnsi="Times New Roman" w:cs="Times New Roman"/>
          <w:lang w:val="es-PR"/>
        </w:rPr>
        <w:t>anteriores</w:t>
      </w:r>
      <w:r w:rsidRPr="00BB4366">
        <w:rPr>
          <w:rFonts w:ascii="Times New Roman" w:hAnsi="Times New Roman" w:cs="Times New Roman"/>
          <w:lang w:val="es-PR"/>
        </w:rPr>
        <w:t xml:space="preserve"> sugieren que las células de SARM desarrollan resistencia a los fagos tras la infección, lo que se asocia a compensaciones en la virulencia y la resistencia a β-lactámic</w:t>
      </w:r>
      <w:r>
        <w:rPr>
          <w:rFonts w:ascii="Times New Roman" w:hAnsi="Times New Roman" w:cs="Times New Roman"/>
          <w:lang w:val="es-PR"/>
        </w:rPr>
        <w:t>o</w:t>
      </w:r>
      <w:r w:rsidRPr="00BB4366">
        <w:rPr>
          <w:rFonts w:ascii="Times New Roman" w:hAnsi="Times New Roman" w:cs="Times New Roman"/>
          <w:lang w:val="es-PR"/>
        </w:rPr>
        <w:t xml:space="preserve">s. A continuación, nos preguntamos cómo evolucionarían las poblaciones de SARM bajo cotratamiento </w:t>
      </w:r>
      <w:r w:rsidR="00730BE1">
        <w:rPr>
          <w:rFonts w:ascii="Times New Roman" w:hAnsi="Times New Roman" w:cs="Times New Roman"/>
          <w:lang w:val="es-PR"/>
        </w:rPr>
        <w:t>de</w:t>
      </w:r>
      <w:r w:rsidRPr="00BB4366">
        <w:rPr>
          <w:rFonts w:ascii="Times New Roman" w:hAnsi="Times New Roman" w:cs="Times New Roman"/>
          <w:lang w:val="es-PR"/>
        </w:rPr>
        <w:t xml:space="preserve"> fagos y β-lactámic</w:t>
      </w:r>
      <w:r w:rsidR="00730BE1">
        <w:rPr>
          <w:rFonts w:ascii="Times New Roman" w:hAnsi="Times New Roman" w:cs="Times New Roman"/>
          <w:lang w:val="es-PR"/>
        </w:rPr>
        <w:t>o</w:t>
      </w:r>
      <w:r w:rsidRPr="00BB4366">
        <w:rPr>
          <w:rFonts w:ascii="Times New Roman" w:hAnsi="Times New Roman" w:cs="Times New Roman"/>
          <w:lang w:val="es-PR"/>
        </w:rPr>
        <w:t xml:space="preserve">s. En principio, estas dos presiones selectivas simultáneas podrían impulsar la evolución de la resistencia tanto al fago como al antibiótico, anulando las compensaciones en la resistencia a </w:t>
      </w:r>
      <w:r w:rsidR="00730BE1">
        <w:rPr>
          <w:rFonts w:ascii="Times New Roman" w:hAnsi="Times New Roman" w:cs="Times New Roman"/>
          <w:lang w:val="es-PR"/>
        </w:rPr>
        <w:t>antibioticos</w:t>
      </w:r>
      <w:r w:rsidRPr="00BB4366">
        <w:rPr>
          <w:rFonts w:ascii="Times New Roman" w:hAnsi="Times New Roman" w:cs="Times New Roman"/>
          <w:lang w:val="es-PR"/>
        </w:rPr>
        <w:t xml:space="preserve">. Para comprobarlo, realizamos ensayos con </w:t>
      </w:r>
      <w:r w:rsidR="00730BE1">
        <w:rPr>
          <w:rFonts w:ascii="Times New Roman" w:hAnsi="Times New Roman" w:cs="Times New Roman"/>
          <w:lang w:val="es-PR"/>
        </w:rPr>
        <w:t xml:space="preserve">cotratamiento de </w:t>
      </w:r>
      <w:r w:rsidRPr="00BB4366">
        <w:rPr>
          <w:rFonts w:ascii="Times New Roman" w:hAnsi="Times New Roman" w:cs="Times New Roman"/>
          <w:lang w:val="es-PR"/>
        </w:rPr>
        <w:t xml:space="preserve">fagos y oxacilina en MRSA252, MW2 y LAC. Se mezclaron diluciones seriadas de Evo2 o ΦStaph1N con diluciones seriadas de oxacilina en una placa de 96 </w:t>
      </w:r>
      <w:r w:rsidRPr="00BB4366">
        <w:rPr>
          <w:rFonts w:ascii="Times New Roman" w:hAnsi="Times New Roman" w:cs="Times New Roman"/>
          <w:lang w:val="es-PR"/>
        </w:rPr>
        <w:lastRenderedPageBreak/>
        <w:t>pocillos (Figura 6A), tras lo cual se añadieron las cepas de SARM a la placa y se dejaron crecer durante 24 horas. Tras 24 horas, se transfirió el 1% del cultivo de cada pocillo a un pocillo de placa nuevo con medio no selectivo, y se dejó crecer durante 24 horas más (48 horas en total). Durante el experimento, se monitoreó la densidad celular midiendo la densidad óptica en cada pocillo de la placa.</w:t>
      </w:r>
    </w:p>
    <w:p w14:paraId="54AC5898" w14:textId="77777777" w:rsidR="00730BE1" w:rsidRDefault="00730BE1" w:rsidP="00BB4366">
      <w:pPr>
        <w:pStyle w:val="NoSpacing"/>
        <w:rPr>
          <w:rFonts w:ascii="Times New Roman" w:hAnsi="Times New Roman" w:cs="Times New Roman"/>
          <w:lang w:val="es-PR"/>
        </w:rPr>
      </w:pPr>
    </w:p>
    <w:p w14:paraId="2143C538" w14:textId="10580AD9" w:rsidR="00730BE1" w:rsidRDefault="00730BE1" w:rsidP="00BB4366">
      <w:pPr>
        <w:pStyle w:val="NoSpacing"/>
        <w:rPr>
          <w:rFonts w:ascii="Times New Roman" w:hAnsi="Times New Roman" w:cs="Times New Roman"/>
          <w:lang w:val="es-PR"/>
        </w:rPr>
      </w:pPr>
      <w:r w:rsidRPr="00730BE1">
        <w:rPr>
          <w:rFonts w:ascii="Times New Roman" w:hAnsi="Times New Roman" w:cs="Times New Roman"/>
          <w:lang w:val="es-PR"/>
        </w:rPr>
        <w:t>Primero examinamos el crecimiento del SARM en combinaciones de Evo2 y antibiótico (Figura 6A, fila superior). En el caso de MRSA252, las células crecieron con niveles bajos de fago (MOI de 0,01 o inferior) y oxacilina (&lt;0</w:t>
      </w:r>
      <w:r>
        <w:rPr>
          <w:rFonts w:ascii="Times New Roman" w:hAnsi="Times New Roman" w:cs="Times New Roman"/>
          <w:lang w:val="es-PR"/>
        </w:rPr>
        <w:t>.</w:t>
      </w:r>
      <w:r w:rsidRPr="00730BE1">
        <w:rPr>
          <w:rFonts w:ascii="Times New Roman" w:hAnsi="Times New Roman" w:cs="Times New Roman"/>
          <w:lang w:val="es-PR"/>
        </w:rPr>
        <w:t>125 µg/mL) (Figura 6A). LAC mostró mayor sensibilidad, sin crecimiento detectable después de 48 horas en presencia de fago, independientemente de la presencia de oxacilina. En el caso de MW2, las células mostraron un crecimiento limitado con MOI &lt;1 y niveles de oxacilina &lt;0</w:t>
      </w:r>
      <w:r>
        <w:rPr>
          <w:rFonts w:ascii="Times New Roman" w:hAnsi="Times New Roman" w:cs="Times New Roman"/>
          <w:lang w:val="es-PR"/>
        </w:rPr>
        <w:t>.</w:t>
      </w:r>
      <w:r w:rsidRPr="00730BE1">
        <w:rPr>
          <w:rFonts w:ascii="Times New Roman" w:hAnsi="Times New Roman" w:cs="Times New Roman"/>
          <w:lang w:val="es-PR"/>
        </w:rPr>
        <w:t>125 µg/mL. Para cada cepa, seleccionamos células de pocillos con una DO600 &gt;0</w:t>
      </w:r>
      <w:r>
        <w:rPr>
          <w:rFonts w:ascii="Times New Roman" w:hAnsi="Times New Roman" w:cs="Times New Roman"/>
          <w:lang w:val="es-PR"/>
        </w:rPr>
        <w:t>.</w:t>
      </w:r>
      <w:r w:rsidRPr="00730BE1">
        <w:rPr>
          <w:rFonts w:ascii="Times New Roman" w:hAnsi="Times New Roman" w:cs="Times New Roman"/>
          <w:lang w:val="es-PR"/>
        </w:rPr>
        <w:t>5 y las inoculamos en medio fresco no selectivo. Como control, también regeneramos células que no fueron tratadas con fago ni oxacilina (pocillo B1). En el caso de MRSA252, dos pocillos (E2 y F2) contenían células SARM viables, que formaron cultivos turbios; en el caso de MW2, seis pocillos (D4, E2, E3, E5, F2 y F3) seleccionados volvieron a crecer (Figura 6B). Suponemos que las células de los cultivos fallidos presentaron una viabilidad reducida debido al tratamiento con fagos y antibióticos. Analizamos la susceptibilidad de estos cultivos regenerados a fagos y oxacilina. Como era de esperar, las células MRSA252 y MW2 de los pocillos de control B1 fueron sensibles a Evo2, pero resistentes a oxacilina. En el caso de MRSA252, las células de E2 y F2 fueron resistentes a la infección por Evo2 y mostraron una disminución de 1000 veces en la CMI frente a oxacilina. De forma similar, en MW2, los seis cultivos viables mostraron resistencia a Evo2 y una disminución de 10 a 100 veces en la CMI. En conjunto, estos resultados coinciden con los del SAMR que se sometió a una selección única con Evo2.</w:t>
      </w:r>
    </w:p>
    <w:p w14:paraId="560E7503" w14:textId="77777777" w:rsidR="000364B3" w:rsidRDefault="000364B3" w:rsidP="00BB4366">
      <w:pPr>
        <w:pStyle w:val="NoSpacing"/>
        <w:rPr>
          <w:rFonts w:ascii="Times New Roman" w:hAnsi="Times New Roman" w:cs="Times New Roman"/>
          <w:lang w:val="es-PR"/>
        </w:rPr>
      </w:pPr>
    </w:p>
    <w:p w14:paraId="6FB7A443" w14:textId="50BCF40A" w:rsidR="000364B3" w:rsidRDefault="000364B3" w:rsidP="00BB4366">
      <w:pPr>
        <w:pStyle w:val="NoSpacing"/>
        <w:rPr>
          <w:rFonts w:ascii="Times New Roman" w:hAnsi="Times New Roman" w:cs="Times New Roman"/>
          <w:lang w:val="es-PR"/>
        </w:rPr>
      </w:pPr>
      <w:r>
        <w:rPr>
          <w:rFonts w:ascii="Times New Roman" w:hAnsi="Times New Roman" w:cs="Times New Roman"/>
          <w:lang w:val="es-PR"/>
        </w:rPr>
        <w:t>Luego</w:t>
      </w:r>
      <w:r w:rsidRPr="000364B3">
        <w:rPr>
          <w:rFonts w:ascii="Times New Roman" w:hAnsi="Times New Roman" w:cs="Times New Roman"/>
          <w:lang w:val="es-PR"/>
        </w:rPr>
        <w:t>, analizamos el crecimiento del SARM en las combinaciones de ΦStaph1N/</w:t>
      </w:r>
      <w:r>
        <w:rPr>
          <w:rFonts w:ascii="Times New Roman" w:hAnsi="Times New Roman" w:cs="Times New Roman"/>
          <w:lang w:val="es-PR"/>
        </w:rPr>
        <w:t>oxacilina</w:t>
      </w:r>
      <w:r w:rsidRPr="000364B3">
        <w:rPr>
          <w:rFonts w:ascii="Times New Roman" w:hAnsi="Times New Roman" w:cs="Times New Roman"/>
          <w:lang w:val="es-PR"/>
        </w:rPr>
        <w:t xml:space="preserve"> (Figura 6A, fila inferior). Ni </w:t>
      </w:r>
      <w:r>
        <w:rPr>
          <w:rFonts w:ascii="Times New Roman" w:hAnsi="Times New Roman" w:cs="Times New Roman"/>
          <w:lang w:val="es-PR"/>
        </w:rPr>
        <w:t>MRSA</w:t>
      </w:r>
      <w:r w:rsidRPr="000364B3">
        <w:rPr>
          <w:rFonts w:ascii="Times New Roman" w:hAnsi="Times New Roman" w:cs="Times New Roman"/>
          <w:lang w:val="es-PR"/>
        </w:rPr>
        <w:t>252 ni LAC pudieron crecer en ninguna combinación de ΦStaph1N/oxacilina; por el contrario, MW2 creció en una amplia gama de combinaciones de ΦStaph1N/oxacilina. Cuando MW2 infectado con ΦStaph1N se trató con altos niveles de oxacilina (16 µg/mL), las células recuperadas (pocillos D11 y E11) no mostraron una reducción en la CMI frente a la oxacilina (Figura 6C). Sin embargo, la eficiencia de plaqueo del ΦStaph1N se redujo entre 3 y 6 órdenes de magnitud. La secuenciación de</w:t>
      </w:r>
      <w:r>
        <w:rPr>
          <w:rFonts w:ascii="Times New Roman" w:hAnsi="Times New Roman" w:cs="Times New Roman"/>
          <w:lang w:val="es-PR"/>
        </w:rPr>
        <w:t xml:space="preserve"> sus</w:t>
      </w:r>
      <w:r w:rsidRPr="000364B3">
        <w:rPr>
          <w:rFonts w:ascii="Times New Roman" w:hAnsi="Times New Roman" w:cs="Times New Roman"/>
          <w:lang w:val="es-PR"/>
        </w:rPr>
        <w:t xml:space="preserve"> genoma</w:t>
      </w:r>
      <w:r>
        <w:rPr>
          <w:rFonts w:ascii="Times New Roman" w:hAnsi="Times New Roman" w:cs="Times New Roman"/>
          <w:lang w:val="es-PR"/>
        </w:rPr>
        <w:t>s</w:t>
      </w:r>
      <w:r w:rsidRPr="000364B3">
        <w:rPr>
          <w:rFonts w:ascii="Times New Roman" w:hAnsi="Times New Roman" w:cs="Times New Roman"/>
          <w:lang w:val="es-PR"/>
        </w:rPr>
        <w:t xml:space="preserve"> reveló que estas células desarrollaron un conjunto único de mutaciones diferentes </w:t>
      </w:r>
      <w:r>
        <w:rPr>
          <w:rFonts w:ascii="Times New Roman" w:hAnsi="Times New Roman" w:cs="Times New Roman"/>
          <w:lang w:val="es-PR"/>
        </w:rPr>
        <w:t>a</w:t>
      </w:r>
      <w:r w:rsidRPr="000364B3">
        <w:rPr>
          <w:rFonts w:ascii="Times New Roman" w:hAnsi="Times New Roman" w:cs="Times New Roman"/>
          <w:lang w:val="es-PR"/>
        </w:rPr>
        <w:t xml:space="preserve"> las observadas en las condiciones de tratamiento con un solo fago (Tabla </w:t>
      </w:r>
      <w:r w:rsidR="00B806AE">
        <w:rPr>
          <w:rFonts w:ascii="Times New Roman" w:hAnsi="Times New Roman" w:cs="Times New Roman"/>
          <w:lang w:val="es-PR"/>
        </w:rPr>
        <w:t>4</w:t>
      </w:r>
      <w:r w:rsidRPr="000364B3">
        <w:rPr>
          <w:rFonts w:ascii="Times New Roman" w:hAnsi="Times New Roman" w:cs="Times New Roman"/>
          <w:lang w:val="es-PR"/>
        </w:rPr>
        <w:t>). Sin embargo, cuando las células MW2 infectadas con ΦStaph1N fueron tratadas simultáneamente con niveles bajos (&lt;0,125 µg/mL) de oxacilina, las células recuperadas (C3) mostraron una fuerte resistencia a los fagos y una reducción de 100 veces en la resistencia a la oxacilina, lo que refleja los fenotipos observados en los experimentos de tratamiento con un solo fago.</w:t>
      </w:r>
    </w:p>
    <w:p w14:paraId="7FE4CADE" w14:textId="77777777" w:rsidR="000364B3" w:rsidRDefault="000364B3" w:rsidP="00BB4366">
      <w:pPr>
        <w:pStyle w:val="NoSpacing"/>
        <w:rPr>
          <w:rFonts w:ascii="Times New Roman" w:hAnsi="Times New Roman" w:cs="Times New Roman"/>
          <w:lang w:val="es-PR"/>
        </w:rPr>
      </w:pPr>
    </w:p>
    <w:p w14:paraId="63294752" w14:textId="3BFCFE87" w:rsidR="000364B3" w:rsidRDefault="000364B3" w:rsidP="00BB4366">
      <w:pPr>
        <w:pStyle w:val="NoSpacing"/>
        <w:rPr>
          <w:rFonts w:ascii="Times New Roman" w:hAnsi="Times New Roman" w:cs="Times New Roman"/>
          <w:lang w:val="es-PR"/>
        </w:rPr>
      </w:pPr>
      <w:r w:rsidRPr="000364B3">
        <w:rPr>
          <w:rFonts w:ascii="Times New Roman" w:hAnsi="Times New Roman" w:cs="Times New Roman"/>
          <w:lang w:val="es-PR"/>
        </w:rPr>
        <w:t xml:space="preserve">Observamos que, de las tres cepas de SARM analizadas, MW2 es la menos sensible a la infección por ΦStaph1N. Postulamos que la presión selectiva ejercida por los altos niveles de β-lactámicos predomina sobre la presión selectiva de ΦStaph1N, lo que conduce a la evolución de células con resistencia continua a los β-lactámicos y resistencia limitada a los fagos. Sin embargo, a niveles más bajos de β-lactámicos, predomina la presión ejercida por la infección por fagos, lo que conduce al aumento de células con resistencia completa a los fagos y a una </w:t>
      </w:r>
      <w:r>
        <w:rPr>
          <w:rFonts w:ascii="Times New Roman" w:hAnsi="Times New Roman" w:cs="Times New Roman"/>
          <w:lang w:val="es-PR"/>
        </w:rPr>
        <w:lastRenderedPageBreak/>
        <w:t xml:space="preserve">disminución </w:t>
      </w:r>
      <w:r w:rsidRPr="000364B3">
        <w:rPr>
          <w:rFonts w:ascii="Times New Roman" w:hAnsi="Times New Roman" w:cs="Times New Roman"/>
          <w:lang w:val="es-PR"/>
        </w:rPr>
        <w:t>en la resistencia a los β-lactámicos. Esta selección dependiente de la dosis</w:t>
      </w:r>
      <w:r>
        <w:rPr>
          <w:rFonts w:ascii="Times New Roman" w:hAnsi="Times New Roman" w:cs="Times New Roman"/>
          <w:lang w:val="es-PR"/>
        </w:rPr>
        <w:t xml:space="preserve"> </w:t>
      </w:r>
      <w:r w:rsidRPr="000364B3">
        <w:rPr>
          <w:rFonts w:ascii="Times New Roman" w:hAnsi="Times New Roman" w:cs="Times New Roman"/>
          <w:lang w:val="es-PR"/>
        </w:rPr>
        <w:t>por oxacilina no se observa cuando se utiliza un fago más activo (p. ej., Evo2). Aunque limitados a una cepa de SARM, estos resultados sugieren que diferentes combinaciones de fagos/β-lactámicos pueden producir resultados evolutivos divergentes en el SARM, cada uno con posibles implicaciones clínicas.</w:t>
      </w:r>
    </w:p>
    <w:p w14:paraId="110C1065" w14:textId="77777777" w:rsidR="000364B3" w:rsidRDefault="000364B3" w:rsidP="00BB4366">
      <w:pPr>
        <w:pStyle w:val="NoSpacing"/>
        <w:rPr>
          <w:rFonts w:ascii="Times New Roman" w:hAnsi="Times New Roman" w:cs="Times New Roman"/>
          <w:lang w:val="es-PR"/>
        </w:rPr>
      </w:pPr>
    </w:p>
    <w:p w14:paraId="515084E0" w14:textId="6F169DB9" w:rsidR="000364B3" w:rsidRPr="00D44FBE" w:rsidRDefault="000364B3" w:rsidP="00BB4366">
      <w:pPr>
        <w:pStyle w:val="NoSpacing"/>
        <w:rPr>
          <w:rFonts w:ascii="Times New Roman" w:hAnsi="Times New Roman" w:cs="Times New Roman"/>
          <w:b/>
          <w:bCs/>
          <w:u w:val="single"/>
          <w:lang w:val="es-PR"/>
        </w:rPr>
      </w:pPr>
      <w:r w:rsidRPr="00D44FBE">
        <w:rPr>
          <w:rFonts w:ascii="Times New Roman" w:hAnsi="Times New Roman" w:cs="Times New Roman"/>
          <w:b/>
          <w:bCs/>
          <w:u w:val="single"/>
          <w:lang w:val="es-PR"/>
        </w:rPr>
        <w:t>Discusión</w:t>
      </w:r>
    </w:p>
    <w:p w14:paraId="5E3CAD4D" w14:textId="7FD02C9E" w:rsidR="000364B3" w:rsidRDefault="000364B3" w:rsidP="00BB4366">
      <w:pPr>
        <w:pStyle w:val="NoSpacing"/>
        <w:rPr>
          <w:rFonts w:ascii="Times New Roman" w:hAnsi="Times New Roman" w:cs="Times New Roman"/>
          <w:lang w:val="es-PR"/>
        </w:rPr>
      </w:pPr>
      <w:r w:rsidRPr="000364B3">
        <w:rPr>
          <w:rFonts w:ascii="Times New Roman" w:hAnsi="Times New Roman" w:cs="Times New Roman"/>
          <w:lang w:val="es-PR"/>
        </w:rPr>
        <w:t xml:space="preserve">En este trabajo, informamos del descubrimiento de que la infección por ciertos fagos puede impulsar a las poblaciones de SARM a desarrollar compensaciones </w:t>
      </w:r>
      <w:r>
        <w:rPr>
          <w:rFonts w:ascii="Times New Roman" w:hAnsi="Times New Roman" w:cs="Times New Roman"/>
          <w:lang w:val="es-PR"/>
        </w:rPr>
        <w:t>evolutivas</w:t>
      </w:r>
      <w:r w:rsidRPr="000364B3">
        <w:rPr>
          <w:rFonts w:ascii="Times New Roman" w:hAnsi="Times New Roman" w:cs="Times New Roman"/>
          <w:lang w:val="es-PR"/>
        </w:rPr>
        <w:t xml:space="preserve"> favorables entre la resistencia a fagos y β-lactámicos. Se ha propuesto aprovechar estas compensaciones para combatir la resistencia en patógenos bacterianos.</w:t>
      </w:r>
      <w:r w:rsidRPr="00F65448">
        <w:rPr>
          <w:rFonts w:ascii="Times New Roman" w:hAnsi="Times New Roman" w:cs="Times New Roman"/>
          <w:vertAlign w:val="superscript"/>
          <w:lang w:val="es-PR"/>
        </w:rPr>
        <w:t>18</w:t>
      </w:r>
      <w:r w:rsidR="00F65448">
        <w:rPr>
          <w:rFonts w:ascii="Times New Roman" w:hAnsi="Times New Roman" w:cs="Times New Roman"/>
          <w:lang w:val="es-PR"/>
        </w:rPr>
        <w:t xml:space="preserve"> </w:t>
      </w:r>
      <w:r w:rsidRPr="000364B3">
        <w:rPr>
          <w:rFonts w:ascii="Times New Roman" w:hAnsi="Times New Roman" w:cs="Times New Roman"/>
          <w:lang w:val="es-PR"/>
        </w:rPr>
        <w:t xml:space="preserve">Los tratamientos con fagos no solo podrían reducir la carga bacteriana de una infección, sino también potencialmente resensibilizar las poblaciones bacterianas a antibióticos a los que previamente eran resistentes. Demostramos que las cepas de SARM infectadas con los virus ΦStaph1N, Evo2 y SATA8505 desarrollaron resistencia a los fagos, pero presentaron una pérdida de hasta 1000 veces en sus CMI frente a los antibióticos β-lactámicos. Además, estos SARM evolucionados presentan fenotipos de virulencia reducida, como niveles más bajos de hemólisis y agregación. Nuestros hallazgos demuestran que los fagos pueden resensibilizar el SARM a los β-lactámicos e incluso disminuir su virulencia, resultados de gran valor biomédico. Sin embargo, no todos los fagos estafilocócicos pueden mediar estas compensaciones: la infección con </w:t>
      </w:r>
      <w:r w:rsidR="00F65448">
        <w:rPr>
          <w:rFonts w:ascii="Times New Roman" w:hAnsi="Times New Roman" w:cs="Times New Roman"/>
          <w:lang w:val="es-PR"/>
        </w:rPr>
        <w:t>Φ</w:t>
      </w:r>
      <w:r w:rsidRPr="000364B3">
        <w:rPr>
          <w:rFonts w:ascii="Times New Roman" w:hAnsi="Times New Roman" w:cs="Times New Roman"/>
          <w:lang w:val="es-PR"/>
        </w:rPr>
        <w:t>NM1</w:t>
      </w:r>
      <w:r w:rsidR="00F65448">
        <w:rPr>
          <w:rFonts w:ascii="Times New Roman" w:hAnsi="Times New Roman" w:cs="Times New Roman"/>
          <w:lang w:val="es-PR"/>
        </w:rPr>
        <w:t>γ</w:t>
      </w:r>
      <w:r w:rsidRPr="000364B3">
        <w:rPr>
          <w:rFonts w:ascii="Times New Roman" w:hAnsi="Times New Roman" w:cs="Times New Roman"/>
          <w:lang w:val="es-PR"/>
        </w:rPr>
        <w:t>6, un fago del género Dubowvirus, generó resistencia a los fagos en el SARM, pero no redujo la resistencia a los β-lactámicos. Una importante línea de investigación futura será determinar qué tipos de fagos generan estas compensaciones evolutivas beneficiosas en el SARM.</w:t>
      </w:r>
    </w:p>
    <w:p w14:paraId="4A664FFF" w14:textId="77777777" w:rsidR="00F65448" w:rsidRDefault="00F65448" w:rsidP="00BB4366">
      <w:pPr>
        <w:pStyle w:val="NoSpacing"/>
        <w:rPr>
          <w:rFonts w:ascii="Times New Roman" w:hAnsi="Times New Roman" w:cs="Times New Roman"/>
          <w:lang w:val="es-PR"/>
        </w:rPr>
      </w:pPr>
    </w:p>
    <w:p w14:paraId="755F693B" w14:textId="69ED3854" w:rsidR="00F65448" w:rsidRDefault="00F65448" w:rsidP="00BB4366">
      <w:pPr>
        <w:pStyle w:val="NoSpacing"/>
        <w:rPr>
          <w:rFonts w:ascii="Times New Roman" w:hAnsi="Times New Roman" w:cs="Times New Roman"/>
          <w:lang w:val="es-PR"/>
        </w:rPr>
      </w:pPr>
      <w:r w:rsidRPr="00F65448">
        <w:rPr>
          <w:rFonts w:ascii="Times New Roman" w:hAnsi="Times New Roman" w:cs="Times New Roman"/>
          <w:lang w:val="es-PR"/>
        </w:rPr>
        <w:t xml:space="preserve">Nuestros resultados también presentan un panorama complejo de la evolución del SARM durante la infección por fagos. La secuenciación genómica  reveló que las cepas de SARM desarrollaron perfiles de mutación distintos tras la infección, lo que sugiere una multitud de vías evolutivas que diferentes cepas bacterianas pueden seguir para desarrollar resistencia a los fagos. No solo las cepas de SARM desarrollaron mutaciones distintas, sino que clones individuales resistentes a los fagos acumularon múltiples mutaciones en su genoma. No obstante, </w:t>
      </w:r>
      <w:r>
        <w:rPr>
          <w:rFonts w:ascii="Times New Roman" w:hAnsi="Times New Roman" w:cs="Times New Roman"/>
          <w:lang w:val="es-PR"/>
        </w:rPr>
        <w:t xml:space="preserve">las </w:t>
      </w:r>
      <w:r w:rsidRPr="00F65448">
        <w:rPr>
          <w:rFonts w:ascii="Times New Roman" w:hAnsi="Times New Roman" w:cs="Times New Roman"/>
          <w:lang w:val="es-PR"/>
        </w:rPr>
        <w:t xml:space="preserve">diferentes </w:t>
      </w:r>
      <w:r>
        <w:rPr>
          <w:rFonts w:ascii="Times New Roman" w:hAnsi="Times New Roman" w:cs="Times New Roman"/>
          <w:lang w:val="es-PR"/>
        </w:rPr>
        <w:t xml:space="preserve">cepas de </w:t>
      </w:r>
      <w:r w:rsidRPr="00F65448">
        <w:rPr>
          <w:rFonts w:ascii="Times New Roman" w:hAnsi="Times New Roman" w:cs="Times New Roman"/>
          <w:lang w:val="es-PR"/>
        </w:rPr>
        <w:t xml:space="preserve">SARM mostraron convergencia de fenotipos en forma de resistencia a los fagos, menor resistencia a los β-lactámicos y menor virulencia. Postulamos que esta convergencia se debe a la participación de la pared celular en los tres resultados fenotípicos. Los fagos deben interactuar con la pared celular, los β-lactámicos se dirigen a proteínas asociadas con el mantenimiento de la pared celular, y muchos factores de virulencia de S. aureus están incrustados en la pared celular o se secretan a través de ella. Por lo tanto, cualquier modificación de la integridad o la composición química de la pared celular causada por la resistencia a los fagos afectará la sensibilidad y la virulencia de los β-lactámicos. El mantenimiento de la pared celular está controlado por numerosos genes, desde proteínas individuales implicadas en la síntesis de la pared celular, como </w:t>
      </w:r>
      <w:r w:rsidRPr="00F65448">
        <w:rPr>
          <w:rFonts w:ascii="Times New Roman" w:hAnsi="Times New Roman" w:cs="Times New Roman"/>
          <w:i/>
          <w:iCs/>
          <w:lang w:val="es-PR"/>
        </w:rPr>
        <w:t>femA</w:t>
      </w:r>
      <w:r w:rsidRPr="00F65448">
        <w:rPr>
          <w:rFonts w:ascii="Times New Roman" w:hAnsi="Times New Roman" w:cs="Times New Roman"/>
          <w:lang w:val="es-PR"/>
        </w:rPr>
        <w:t xml:space="preserve">, hasta reguladores transcripcionales, como </w:t>
      </w:r>
      <w:r w:rsidRPr="00F65448">
        <w:rPr>
          <w:rFonts w:ascii="Times New Roman" w:hAnsi="Times New Roman" w:cs="Times New Roman"/>
          <w:i/>
          <w:iCs/>
          <w:lang w:val="es-PR"/>
        </w:rPr>
        <w:t>mgrA</w:t>
      </w:r>
      <w:r w:rsidRPr="00F65448">
        <w:rPr>
          <w:rFonts w:ascii="Times New Roman" w:hAnsi="Times New Roman" w:cs="Times New Roman"/>
          <w:lang w:val="es-PR"/>
        </w:rPr>
        <w:t>, que controlan la expresión de genes que la sintetizan. Por lo tanto, los patrones mutacionales observados en cada cepa de SARM podrían reflejar soluciones genéticas que permiten a las bacterias adaptarse a la depredación de los fagos, a la vez que maximizan su aptitud para esa cepa en particular.</w:t>
      </w:r>
    </w:p>
    <w:p w14:paraId="52799B3C" w14:textId="77777777" w:rsidR="00F65448" w:rsidRDefault="00F65448" w:rsidP="00BB4366">
      <w:pPr>
        <w:pStyle w:val="NoSpacing"/>
        <w:rPr>
          <w:rFonts w:ascii="Times New Roman" w:hAnsi="Times New Roman" w:cs="Times New Roman"/>
          <w:lang w:val="es-PR"/>
        </w:rPr>
      </w:pPr>
    </w:p>
    <w:p w14:paraId="5EDC61E4" w14:textId="14D4299F" w:rsidR="00F65448" w:rsidRDefault="00F65448" w:rsidP="00BB4366">
      <w:pPr>
        <w:pStyle w:val="NoSpacing"/>
        <w:rPr>
          <w:rFonts w:ascii="Times New Roman" w:hAnsi="Times New Roman" w:cs="Times New Roman"/>
          <w:lang w:val="es-PR"/>
        </w:rPr>
      </w:pPr>
      <w:r w:rsidRPr="00F65448">
        <w:rPr>
          <w:rFonts w:ascii="Times New Roman" w:hAnsi="Times New Roman" w:cs="Times New Roman"/>
          <w:lang w:val="es-PR"/>
        </w:rPr>
        <w:t xml:space="preserve">Sorprendentemente, el SARM moduló considerablemente los perfiles transcripcionales tras la infección por fagos. Creemos que estos perfiles de expresión alterados son consecuencia de las </w:t>
      </w:r>
      <w:r w:rsidRPr="00F65448">
        <w:rPr>
          <w:rFonts w:ascii="Times New Roman" w:hAnsi="Times New Roman" w:cs="Times New Roman"/>
          <w:lang w:val="es-PR"/>
        </w:rPr>
        <w:lastRenderedPageBreak/>
        <w:t xml:space="preserve">mutaciones genómicas que surgieron en los diversos reguladores transcripcionales. Observamos que las células evolucionadas inhibieron la expresión de genes implicados en la detección de </w:t>
      </w:r>
      <w:r>
        <w:rPr>
          <w:rFonts w:ascii="Times New Roman" w:hAnsi="Times New Roman" w:cs="Times New Roman"/>
          <w:lang w:val="es-PR"/>
        </w:rPr>
        <w:t>c</w:t>
      </w:r>
      <w:r w:rsidRPr="00F65448">
        <w:rPr>
          <w:rFonts w:ascii="Times New Roman" w:hAnsi="Times New Roman" w:cs="Times New Roman"/>
          <w:lang w:val="es-PR"/>
        </w:rPr>
        <w:t xml:space="preserve">uórum, </w:t>
      </w:r>
      <w:r>
        <w:rPr>
          <w:rFonts w:ascii="Times New Roman" w:hAnsi="Times New Roman" w:cs="Times New Roman"/>
          <w:lang w:val="es-PR"/>
        </w:rPr>
        <w:t>el sistema de</w:t>
      </w:r>
      <w:r w:rsidRPr="00F65448">
        <w:rPr>
          <w:rFonts w:ascii="Times New Roman" w:hAnsi="Times New Roman" w:cs="Times New Roman"/>
          <w:lang w:val="es-PR"/>
        </w:rPr>
        <w:t xml:space="preserve"> secreción de tipo VII y diversas toxinas. Resulta interesante especular cómo inhibir la expresión de estos genes afecta las interacciones del SARM con otras bacterias que ocupan el mismo nicho ecológico y con el sistema inmunitario del huésped. Al mismo tiempo, las cepas de SARM también incrementaron la expresión de </w:t>
      </w:r>
      <w:r>
        <w:rPr>
          <w:rFonts w:ascii="Times New Roman" w:hAnsi="Times New Roman" w:cs="Times New Roman"/>
          <w:lang w:val="es-PR"/>
        </w:rPr>
        <w:t xml:space="preserve">algunos </w:t>
      </w:r>
      <w:r w:rsidRPr="00F65448">
        <w:rPr>
          <w:rFonts w:ascii="Times New Roman" w:hAnsi="Times New Roman" w:cs="Times New Roman"/>
          <w:lang w:val="es-PR"/>
        </w:rPr>
        <w:t xml:space="preserve">factores de virulencia, como </w:t>
      </w:r>
      <w:r>
        <w:rPr>
          <w:rFonts w:ascii="Times New Roman" w:hAnsi="Times New Roman" w:cs="Times New Roman"/>
          <w:lang w:val="es-PR"/>
        </w:rPr>
        <w:t xml:space="preserve">la proteína A </w:t>
      </w:r>
      <w:r w:rsidRPr="00F65448">
        <w:rPr>
          <w:rFonts w:ascii="Times New Roman" w:hAnsi="Times New Roman" w:cs="Times New Roman"/>
          <w:lang w:val="es-PR"/>
        </w:rPr>
        <w:t>, lo que podría representar un</w:t>
      </w:r>
      <w:r>
        <w:rPr>
          <w:rFonts w:ascii="Times New Roman" w:hAnsi="Times New Roman" w:cs="Times New Roman"/>
          <w:lang w:val="es-PR"/>
        </w:rPr>
        <w:t>a compensación evolutiva con efectos negativos o indeseables en la clínica</w:t>
      </w:r>
      <w:r w:rsidRPr="00F65448">
        <w:rPr>
          <w:rFonts w:ascii="Times New Roman" w:hAnsi="Times New Roman" w:cs="Times New Roman"/>
          <w:lang w:val="es-PR"/>
        </w:rPr>
        <w:t>.</w:t>
      </w:r>
      <w:r w:rsidRPr="00F65448">
        <w:rPr>
          <w:rFonts w:ascii="Times New Roman" w:hAnsi="Times New Roman" w:cs="Times New Roman"/>
          <w:vertAlign w:val="superscript"/>
          <w:lang w:val="es-PR"/>
        </w:rPr>
        <w:t>59</w:t>
      </w:r>
      <w:r w:rsidRPr="00F65448">
        <w:rPr>
          <w:rFonts w:ascii="Times New Roman" w:hAnsi="Times New Roman" w:cs="Times New Roman"/>
          <w:lang w:val="es-PR"/>
        </w:rPr>
        <w:t xml:space="preserve"> Los trabajos futuros se centrarán en evaluar el riesgo de est</w:t>
      </w:r>
      <w:r>
        <w:rPr>
          <w:rFonts w:ascii="Times New Roman" w:hAnsi="Times New Roman" w:cs="Times New Roman"/>
          <w:lang w:val="es-PR"/>
        </w:rPr>
        <w:t>as compesasiones con posibles efectos negativos</w:t>
      </w:r>
      <w:r w:rsidRPr="00F65448">
        <w:rPr>
          <w:rFonts w:ascii="Times New Roman" w:hAnsi="Times New Roman" w:cs="Times New Roman"/>
          <w:lang w:val="es-PR"/>
        </w:rPr>
        <w:t xml:space="preserve"> a la luz del beneficio clínico de la reducción de la resistencia y </w:t>
      </w:r>
      <w:r>
        <w:rPr>
          <w:rFonts w:ascii="Times New Roman" w:hAnsi="Times New Roman" w:cs="Times New Roman"/>
          <w:lang w:val="es-PR"/>
        </w:rPr>
        <w:t xml:space="preserve">otros fenotipos de </w:t>
      </w:r>
      <w:r w:rsidRPr="00F65448">
        <w:rPr>
          <w:rFonts w:ascii="Times New Roman" w:hAnsi="Times New Roman" w:cs="Times New Roman"/>
          <w:lang w:val="es-PR"/>
        </w:rPr>
        <w:t>virulencia.</w:t>
      </w:r>
    </w:p>
    <w:p w14:paraId="08E78ABC" w14:textId="77777777" w:rsidR="00255092" w:rsidRDefault="00255092" w:rsidP="00BB4366">
      <w:pPr>
        <w:pStyle w:val="NoSpacing"/>
        <w:rPr>
          <w:rFonts w:ascii="Times New Roman" w:hAnsi="Times New Roman" w:cs="Times New Roman"/>
          <w:lang w:val="es-PR"/>
        </w:rPr>
      </w:pPr>
    </w:p>
    <w:p w14:paraId="30DF1B99" w14:textId="77777777" w:rsidR="00EA6837" w:rsidRDefault="00255092" w:rsidP="00BB4366">
      <w:pPr>
        <w:pStyle w:val="NoSpacing"/>
        <w:rPr>
          <w:rFonts w:ascii="Times New Roman" w:hAnsi="Times New Roman" w:cs="Times New Roman"/>
          <w:lang w:val="es-PR"/>
        </w:rPr>
      </w:pPr>
      <w:r w:rsidRPr="00255092">
        <w:rPr>
          <w:rFonts w:ascii="Times New Roman" w:hAnsi="Times New Roman" w:cs="Times New Roman"/>
          <w:lang w:val="es-PR"/>
        </w:rPr>
        <w:t xml:space="preserve">La </w:t>
      </w:r>
      <w:r>
        <w:rPr>
          <w:rFonts w:ascii="Times New Roman" w:hAnsi="Times New Roman" w:cs="Times New Roman"/>
          <w:lang w:val="es-PR"/>
        </w:rPr>
        <w:t>resisteencia a antibióticos</w:t>
      </w:r>
      <w:r w:rsidRPr="00255092">
        <w:rPr>
          <w:rFonts w:ascii="Times New Roman" w:hAnsi="Times New Roman" w:cs="Times New Roman"/>
          <w:lang w:val="es-PR"/>
        </w:rPr>
        <w:t xml:space="preserve"> en patógenos bacterianos es un problema evolutivo y requerirá soluciones evolutivas para mitigarla. Nuestros hallazgos destacan la capacidad de los fagos para alterar drásticamente la evolución y la fisiología del SARM resistente a </w:t>
      </w:r>
      <w:r>
        <w:rPr>
          <w:rFonts w:ascii="Times New Roman" w:hAnsi="Times New Roman" w:cs="Times New Roman"/>
          <w:lang w:val="es-PR"/>
        </w:rPr>
        <w:t>antibióticos</w:t>
      </w:r>
      <w:r w:rsidRPr="00255092">
        <w:rPr>
          <w:rFonts w:ascii="Times New Roman" w:hAnsi="Times New Roman" w:cs="Times New Roman"/>
          <w:lang w:val="es-PR"/>
        </w:rPr>
        <w:t>. Ciertos tratamientos con fagos pueden forzar a las poblaciones bacterianas a seguir caminos evolutivos que las hacen vulnerables a los antibióticos o al sistema inmun</w:t>
      </w:r>
      <w:r>
        <w:rPr>
          <w:rFonts w:ascii="Times New Roman" w:hAnsi="Times New Roman" w:cs="Times New Roman"/>
          <w:lang w:val="es-PR"/>
        </w:rPr>
        <w:t>e</w:t>
      </w:r>
      <w:r w:rsidRPr="00255092">
        <w:rPr>
          <w:rFonts w:ascii="Times New Roman" w:hAnsi="Times New Roman" w:cs="Times New Roman"/>
          <w:lang w:val="es-PR"/>
        </w:rPr>
        <w:t xml:space="preserve"> del huésped. Fundamentalmente, esto permite la redistribución de agentes que de otro modo permanecerían ineficaces, ganando tiempo para el descubrimiento de nuevos fármacos. Por lo tanto, esperamos que nuestro trabajo pueda sugerir nuevas vías de investigación para nuevas estrategias de tratamiento basadas en fagos contra el SARM y otros patógenos resistentes a </w:t>
      </w:r>
      <w:r>
        <w:rPr>
          <w:rFonts w:ascii="Times New Roman" w:hAnsi="Times New Roman" w:cs="Times New Roman"/>
          <w:lang w:val="es-PR"/>
        </w:rPr>
        <w:t>antibióticos.</w:t>
      </w:r>
    </w:p>
    <w:p w14:paraId="018DC13D" w14:textId="77777777" w:rsidR="00EA6837" w:rsidRDefault="00EA6837" w:rsidP="00BB4366">
      <w:pPr>
        <w:pStyle w:val="NoSpacing"/>
        <w:rPr>
          <w:rFonts w:ascii="Times New Roman" w:hAnsi="Times New Roman" w:cs="Times New Roman"/>
          <w:lang w:val="es-PR"/>
        </w:rPr>
      </w:pPr>
    </w:p>
    <w:p w14:paraId="15EB0D72" w14:textId="77777777" w:rsidR="00EA6837" w:rsidRPr="00D44FBE" w:rsidRDefault="00EA6837" w:rsidP="00EA6837">
      <w:pPr>
        <w:pStyle w:val="NoSpacing"/>
        <w:rPr>
          <w:rFonts w:ascii="Times New Roman" w:hAnsi="Times New Roman" w:cs="Times New Roman"/>
          <w:b/>
          <w:bCs/>
          <w:u w:val="single"/>
          <w:lang w:val="es-PR"/>
        </w:rPr>
      </w:pPr>
      <w:r w:rsidRPr="00D44FBE">
        <w:rPr>
          <w:rFonts w:ascii="Times New Roman" w:hAnsi="Times New Roman" w:cs="Times New Roman"/>
          <w:b/>
          <w:bCs/>
          <w:u w:val="single"/>
          <w:lang w:val="es-PR"/>
        </w:rPr>
        <w:t>Agradecimientos</w:t>
      </w:r>
    </w:p>
    <w:p w14:paraId="6E21423B" w14:textId="45959C7B" w:rsidR="00255092" w:rsidRDefault="00EA6837" w:rsidP="00EA6837">
      <w:pPr>
        <w:pStyle w:val="NoSpacing"/>
        <w:rPr>
          <w:rFonts w:ascii="Times New Roman" w:hAnsi="Times New Roman" w:cs="Times New Roman"/>
          <w:lang w:val="es-PR"/>
        </w:rPr>
      </w:pPr>
      <w:r w:rsidRPr="00EA6837">
        <w:rPr>
          <w:rFonts w:ascii="Times New Roman" w:hAnsi="Times New Roman" w:cs="Times New Roman"/>
          <w:lang w:val="es-PR"/>
        </w:rPr>
        <w:t xml:space="preserve">MT cuenta con el apoyo </w:t>
      </w:r>
      <w:r>
        <w:rPr>
          <w:rFonts w:ascii="Times New Roman" w:hAnsi="Times New Roman" w:cs="Times New Roman"/>
          <w:lang w:val="es-PR"/>
        </w:rPr>
        <w:t xml:space="preserve">monetario </w:t>
      </w:r>
      <w:r w:rsidRPr="00EA6837">
        <w:rPr>
          <w:rFonts w:ascii="Times New Roman" w:hAnsi="Times New Roman" w:cs="Times New Roman"/>
          <w:lang w:val="es-PR"/>
        </w:rPr>
        <w:t xml:space="preserve">del programa SciMed GRS de la Universidad de Wisconsin-Madison; AJHV cuenta con el apoyo </w:t>
      </w:r>
      <w:r>
        <w:rPr>
          <w:rFonts w:ascii="Times New Roman" w:hAnsi="Times New Roman" w:cs="Times New Roman"/>
          <w:lang w:val="es-PR"/>
        </w:rPr>
        <w:t xml:space="preserve">monetario </w:t>
      </w:r>
      <w:r w:rsidRPr="00EA6837">
        <w:rPr>
          <w:rFonts w:ascii="Times New Roman" w:hAnsi="Times New Roman" w:cs="Times New Roman"/>
          <w:lang w:val="es-PR"/>
        </w:rPr>
        <w:t xml:space="preserve">del Programa de Becas de Investigación </w:t>
      </w:r>
      <w:r>
        <w:rPr>
          <w:rFonts w:ascii="Times New Roman" w:hAnsi="Times New Roman" w:cs="Times New Roman"/>
          <w:lang w:val="es-PR"/>
        </w:rPr>
        <w:t>Graduada</w:t>
      </w:r>
      <w:r w:rsidRPr="00EA6837">
        <w:rPr>
          <w:rFonts w:ascii="Times New Roman" w:hAnsi="Times New Roman" w:cs="Times New Roman"/>
          <w:lang w:val="es-PR"/>
        </w:rPr>
        <w:t xml:space="preserve"> de la NSF</w:t>
      </w:r>
      <w:r>
        <w:rPr>
          <w:rFonts w:ascii="Times New Roman" w:hAnsi="Times New Roman" w:cs="Times New Roman"/>
          <w:lang w:val="es-PR"/>
        </w:rPr>
        <w:t xml:space="preserve"> (NSF-GRFP)</w:t>
      </w:r>
      <w:r w:rsidRPr="00EA6837">
        <w:rPr>
          <w:rFonts w:ascii="Times New Roman" w:hAnsi="Times New Roman" w:cs="Times New Roman"/>
          <w:lang w:val="es-PR"/>
        </w:rPr>
        <w:t xml:space="preserve">; CYM cuenta con el apoyo de fondos del Departamento de Bacteriología de la Universidad de Wisconsin-Madison y </w:t>
      </w:r>
      <w:r>
        <w:rPr>
          <w:rFonts w:ascii="Times New Roman" w:hAnsi="Times New Roman" w:cs="Times New Roman"/>
          <w:lang w:val="es-PR"/>
        </w:rPr>
        <w:t xml:space="preserve">fondos de </w:t>
      </w:r>
      <w:r w:rsidRPr="00EA6837">
        <w:rPr>
          <w:rFonts w:ascii="Times New Roman" w:hAnsi="Times New Roman" w:cs="Times New Roman"/>
          <w:lang w:val="es-PR"/>
        </w:rPr>
        <w:t xml:space="preserve">la Fundación Margaret Q. Landenberger. Agradecemos a la Dra. Wilmara Salgado-Pabón, a la Dra. Petra Levin y al Dr. Alexander Horswill por proporcionarnos cepas de SARM y </w:t>
      </w:r>
      <w:r>
        <w:rPr>
          <w:rFonts w:ascii="Times New Roman" w:hAnsi="Times New Roman" w:cs="Times New Roman"/>
          <w:lang w:val="es-PR"/>
        </w:rPr>
        <w:t xml:space="preserve">por sus </w:t>
      </w:r>
      <w:r w:rsidRPr="00EA6837">
        <w:rPr>
          <w:rFonts w:ascii="Times New Roman" w:hAnsi="Times New Roman" w:cs="Times New Roman"/>
          <w:lang w:val="es-PR"/>
        </w:rPr>
        <w:t>sugerencias. Agradecemos a los laboratorios Marraffini y Hatoum-Aslan por proporcionarnos muestras de bacteriófagos. Los análisis computacionales se realizaron mediante el Centro de Computación de Alto Rendimiento</w:t>
      </w:r>
      <w:r>
        <w:rPr>
          <w:rFonts w:ascii="Times New Roman" w:hAnsi="Times New Roman" w:cs="Times New Roman"/>
          <w:lang w:val="es-PR"/>
        </w:rPr>
        <w:t xml:space="preserve"> (</w:t>
      </w:r>
      <w:r w:rsidRPr="00EA6837">
        <w:rPr>
          <w:rFonts w:ascii="Times New Roman" w:hAnsi="Times New Roman" w:cs="Times New Roman"/>
          <w:i/>
          <w:iCs/>
          <w:lang w:val="es-PR"/>
        </w:rPr>
        <w:t>Center for High Throughput Computing</w:t>
      </w:r>
      <w:r w:rsidRPr="00EA6837">
        <w:rPr>
          <w:rFonts w:ascii="Times New Roman" w:hAnsi="Times New Roman" w:cs="Times New Roman"/>
          <w:lang w:val="es-PR"/>
        </w:rPr>
        <w:t xml:space="preserve">) de la Universidad de Wisconsin-Madison. También agradecemos a todos los miembros del laboratorio </w:t>
      </w:r>
      <w:r>
        <w:rPr>
          <w:rFonts w:ascii="Times New Roman" w:hAnsi="Times New Roman" w:cs="Times New Roman"/>
          <w:lang w:val="es-PR"/>
        </w:rPr>
        <w:t xml:space="preserve">de Charlie </w:t>
      </w:r>
      <w:r w:rsidRPr="00EA6837">
        <w:rPr>
          <w:rFonts w:ascii="Times New Roman" w:hAnsi="Times New Roman" w:cs="Times New Roman"/>
          <w:lang w:val="es-PR"/>
        </w:rPr>
        <w:t>Mo por su contribución científica.</w:t>
      </w:r>
      <w:r w:rsidR="00255092">
        <w:rPr>
          <w:rFonts w:ascii="Times New Roman" w:hAnsi="Times New Roman" w:cs="Times New Roman"/>
          <w:lang w:val="es-PR"/>
        </w:rPr>
        <w:t xml:space="preserve"> </w:t>
      </w:r>
    </w:p>
    <w:p w14:paraId="4ECB3903" w14:textId="77777777" w:rsidR="00B806AE" w:rsidRDefault="00B806AE" w:rsidP="00EA6837">
      <w:pPr>
        <w:pStyle w:val="NoSpacing"/>
        <w:rPr>
          <w:rFonts w:ascii="Times New Roman" w:hAnsi="Times New Roman" w:cs="Times New Roman"/>
          <w:lang w:val="es-PR"/>
        </w:rPr>
      </w:pPr>
    </w:p>
    <w:p w14:paraId="55E93985" w14:textId="65AE0A03" w:rsidR="00B806AE" w:rsidRPr="00D44FBE" w:rsidRDefault="00B806AE" w:rsidP="00EA6837">
      <w:pPr>
        <w:pStyle w:val="NoSpacing"/>
        <w:rPr>
          <w:rFonts w:ascii="Times New Roman" w:hAnsi="Times New Roman" w:cs="Times New Roman"/>
          <w:b/>
          <w:bCs/>
          <w:u w:val="single"/>
          <w:lang w:val="es-PR"/>
        </w:rPr>
      </w:pPr>
      <w:r w:rsidRPr="00D44FBE">
        <w:rPr>
          <w:rFonts w:ascii="Times New Roman" w:hAnsi="Times New Roman" w:cs="Times New Roman"/>
          <w:b/>
          <w:bCs/>
          <w:u w:val="single"/>
          <w:lang w:val="es-PR"/>
        </w:rPr>
        <w:t>Contribuciones de los autores</w:t>
      </w:r>
    </w:p>
    <w:p w14:paraId="337CD94E" w14:textId="104F6DD5" w:rsidR="00B806AE" w:rsidRDefault="00B806AE" w:rsidP="00EA6837">
      <w:pPr>
        <w:pStyle w:val="NoSpacing"/>
        <w:rPr>
          <w:rFonts w:ascii="Times New Roman" w:hAnsi="Times New Roman" w:cs="Times New Roman"/>
          <w:lang w:val="es-PR"/>
        </w:rPr>
      </w:pPr>
      <w:r w:rsidRPr="00B806AE">
        <w:rPr>
          <w:rFonts w:ascii="Times New Roman" w:hAnsi="Times New Roman" w:cs="Times New Roman"/>
          <w:lang w:val="es-PR"/>
        </w:rPr>
        <w:t xml:space="preserve">MT y AJHV contribuyeron equitativamente al </w:t>
      </w:r>
      <w:r>
        <w:rPr>
          <w:rFonts w:ascii="Times New Roman" w:hAnsi="Times New Roman" w:cs="Times New Roman"/>
          <w:lang w:val="es-PR"/>
        </w:rPr>
        <w:t>artículo</w:t>
      </w:r>
      <w:r w:rsidRPr="00B806AE">
        <w:rPr>
          <w:rFonts w:ascii="Times New Roman" w:hAnsi="Times New Roman" w:cs="Times New Roman"/>
          <w:lang w:val="es-PR"/>
        </w:rPr>
        <w:t>. MT, AJHV y CYM diseñaron el estudio; MT y AJHV realizaron todos los experimentos; PQT realizó el análisis bioinformático; EDL y LT aislaron y analizaron el bacteriófago SATA8505; CYM supervisó el proyecto. MT, AJHV y CYM redactaron el manuscrito, con la colaboración de los demás autores.</w:t>
      </w:r>
    </w:p>
    <w:p w14:paraId="48D14194" w14:textId="77777777" w:rsidR="00B806AE" w:rsidRDefault="00B806AE" w:rsidP="00EA6837">
      <w:pPr>
        <w:pStyle w:val="NoSpacing"/>
        <w:rPr>
          <w:rFonts w:ascii="Times New Roman" w:hAnsi="Times New Roman" w:cs="Times New Roman"/>
          <w:lang w:val="es-PR"/>
        </w:rPr>
      </w:pPr>
    </w:p>
    <w:p w14:paraId="50CF0FE3" w14:textId="2F8FBA75" w:rsidR="00B806AE" w:rsidRPr="00D44FBE" w:rsidRDefault="00B806AE" w:rsidP="00EA6837">
      <w:pPr>
        <w:pStyle w:val="NoSpacing"/>
        <w:rPr>
          <w:rFonts w:ascii="Times New Roman" w:hAnsi="Times New Roman" w:cs="Times New Roman"/>
          <w:b/>
          <w:bCs/>
          <w:u w:val="single"/>
          <w:lang w:val="es-PR"/>
        </w:rPr>
      </w:pPr>
      <w:r w:rsidRPr="00D44FBE">
        <w:rPr>
          <w:rFonts w:ascii="Times New Roman" w:hAnsi="Times New Roman" w:cs="Times New Roman"/>
          <w:b/>
          <w:bCs/>
          <w:u w:val="single"/>
          <w:lang w:val="es-PR"/>
        </w:rPr>
        <w:t>Conflicto de interés</w:t>
      </w:r>
    </w:p>
    <w:p w14:paraId="4DADED5E" w14:textId="2387CAB5" w:rsidR="00B806AE" w:rsidRDefault="00B806AE" w:rsidP="00EA6837">
      <w:pPr>
        <w:pStyle w:val="NoSpacing"/>
        <w:rPr>
          <w:rFonts w:ascii="Times New Roman" w:hAnsi="Times New Roman" w:cs="Times New Roman"/>
          <w:lang w:val="es-PR"/>
        </w:rPr>
      </w:pPr>
      <w:r w:rsidRPr="00B806AE">
        <w:rPr>
          <w:rFonts w:ascii="Times New Roman" w:hAnsi="Times New Roman" w:cs="Times New Roman"/>
          <w:lang w:val="es-PR"/>
        </w:rPr>
        <w:t xml:space="preserve">MT, AJHV y CYM presentaron una patente provisional para el trabajo presentado en este documento a través de </w:t>
      </w:r>
      <w:r>
        <w:rPr>
          <w:rFonts w:ascii="Times New Roman" w:hAnsi="Times New Roman" w:cs="Times New Roman"/>
          <w:lang w:val="es-PR"/>
        </w:rPr>
        <w:t>la</w:t>
      </w:r>
      <w:r w:rsidRPr="00B806AE">
        <w:rPr>
          <w:rFonts w:ascii="Times New Roman" w:hAnsi="Times New Roman" w:cs="Times New Roman"/>
          <w:lang w:val="es-PR"/>
        </w:rPr>
        <w:t xml:space="preserve"> Wisconsin Alumni Research Foundation (P240267US01).</w:t>
      </w:r>
    </w:p>
    <w:p w14:paraId="42E80AA5" w14:textId="77777777" w:rsidR="009C4492" w:rsidRDefault="009C4492" w:rsidP="00EA6837">
      <w:pPr>
        <w:pStyle w:val="NoSpacing"/>
        <w:rPr>
          <w:rFonts w:ascii="Times New Roman" w:hAnsi="Times New Roman" w:cs="Times New Roman"/>
          <w:lang w:val="es-PR"/>
        </w:rPr>
      </w:pPr>
    </w:p>
    <w:p w14:paraId="579CDDB1" w14:textId="77777777" w:rsidR="009C4492" w:rsidRDefault="009C4492" w:rsidP="00EA6837">
      <w:pPr>
        <w:pStyle w:val="NoSpacing"/>
        <w:rPr>
          <w:rFonts w:ascii="Times New Roman" w:hAnsi="Times New Roman" w:cs="Times New Roman"/>
          <w:lang w:val="es-PR"/>
        </w:rPr>
      </w:pPr>
    </w:p>
    <w:p w14:paraId="23D355B7" w14:textId="77777777" w:rsidR="009C4492" w:rsidRDefault="009C4492" w:rsidP="00EA6837">
      <w:pPr>
        <w:pStyle w:val="NoSpacing"/>
        <w:rPr>
          <w:rFonts w:ascii="Times New Roman" w:hAnsi="Times New Roman" w:cs="Times New Roman"/>
          <w:lang w:val="es-PR"/>
        </w:rPr>
      </w:pPr>
    </w:p>
    <w:p w14:paraId="042F2D94" w14:textId="77777777" w:rsidR="009C4492" w:rsidRDefault="009C4492" w:rsidP="00EA6837">
      <w:pPr>
        <w:pStyle w:val="NoSpacing"/>
        <w:rPr>
          <w:rFonts w:ascii="Times New Roman" w:hAnsi="Times New Roman" w:cs="Times New Roman"/>
          <w:lang w:val="es-PR"/>
        </w:rPr>
      </w:pPr>
    </w:p>
    <w:p w14:paraId="53D5B4EB" w14:textId="488A8B3D" w:rsidR="009C4492" w:rsidRDefault="009C4492" w:rsidP="00EA6837">
      <w:pPr>
        <w:pStyle w:val="NoSpacing"/>
        <w:rPr>
          <w:rFonts w:ascii="Times New Roman" w:hAnsi="Times New Roman" w:cs="Times New Roman"/>
          <w:lang w:val="es-PR"/>
        </w:rPr>
      </w:pPr>
      <w:r>
        <w:rPr>
          <w:rFonts w:ascii="Arial" w:hAnsi="Arial" w:cs="Arial"/>
          <w:b/>
          <w:bCs/>
          <w:noProof/>
        </w:rPr>
        <w:lastRenderedPageBreak/>
        <w:drawing>
          <wp:inline distT="0" distB="0" distL="0" distR="0" wp14:anchorId="060C8445" wp14:editId="293B0E21">
            <wp:extent cx="5847080" cy="2542210"/>
            <wp:effectExtent l="0" t="0" r="0" b="0"/>
            <wp:docPr id="2408574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074637" name="Picture 5"/>
                    <pic:cNvPicPr/>
                  </pic:nvPicPr>
                  <pic:blipFill rotWithShape="1">
                    <a:blip r:embed="rId4"/>
                    <a:srcRect t="6760"/>
                    <a:stretch/>
                  </pic:blipFill>
                  <pic:spPr bwMode="auto">
                    <a:xfrm>
                      <a:off x="0" y="0"/>
                      <a:ext cx="5847471" cy="2542380"/>
                    </a:xfrm>
                    <a:prstGeom prst="rect">
                      <a:avLst/>
                    </a:prstGeom>
                    <a:ln>
                      <a:noFill/>
                    </a:ln>
                    <a:extLst>
                      <a:ext uri="{53640926-AAD7-44D8-BBD7-CCE9431645EC}">
                        <a14:shadowObscured xmlns:a14="http://schemas.microsoft.com/office/drawing/2010/main"/>
                      </a:ext>
                    </a:extLst>
                  </pic:spPr>
                </pic:pic>
              </a:graphicData>
            </a:graphic>
          </wp:inline>
        </w:drawing>
      </w:r>
    </w:p>
    <w:p w14:paraId="7CFE1044" w14:textId="555DE67F" w:rsidR="009C4492" w:rsidRDefault="009C4492" w:rsidP="00EA6837">
      <w:pPr>
        <w:pStyle w:val="NoSpacing"/>
        <w:rPr>
          <w:rFonts w:ascii="Times New Roman" w:hAnsi="Times New Roman" w:cs="Times New Roman"/>
          <w:lang w:val="es-PR"/>
        </w:rPr>
      </w:pPr>
      <w:r w:rsidRPr="009C4492">
        <w:rPr>
          <w:rFonts w:ascii="Times New Roman" w:hAnsi="Times New Roman" w:cs="Times New Roman"/>
          <w:lang w:val="es-PR"/>
        </w:rPr>
        <w:br/>
      </w:r>
      <w:r w:rsidRPr="009C4492">
        <w:rPr>
          <w:rFonts w:ascii="Times New Roman" w:hAnsi="Times New Roman" w:cs="Times New Roman"/>
          <w:b/>
          <w:bCs/>
          <w:lang w:val="es-PR"/>
        </w:rPr>
        <w:t>Figura 1</w:t>
      </w:r>
      <w:r w:rsidRPr="009C4492">
        <w:rPr>
          <w:rFonts w:ascii="Times New Roman" w:hAnsi="Times New Roman" w:cs="Times New Roman"/>
          <w:lang w:val="es-PR"/>
        </w:rPr>
        <w:t xml:space="preserve">. </w:t>
      </w:r>
      <w:r w:rsidRPr="009C4492">
        <w:rPr>
          <w:rFonts w:ascii="Times New Roman" w:hAnsi="Times New Roman" w:cs="Times New Roman"/>
          <w:b/>
          <w:bCs/>
          <w:lang w:val="es-PR"/>
        </w:rPr>
        <w:t xml:space="preserve">La infección por el bacteriófago </w:t>
      </w:r>
      <w:r w:rsidRPr="009C4492">
        <w:rPr>
          <w:rFonts w:ascii="Times New Roman" w:hAnsi="Times New Roman" w:cs="Times New Roman"/>
          <w:b/>
          <w:bCs/>
        </w:rPr>
        <w:t>Φ</w:t>
      </w:r>
      <w:r w:rsidRPr="009C4492">
        <w:rPr>
          <w:rFonts w:ascii="Times New Roman" w:hAnsi="Times New Roman" w:cs="Times New Roman"/>
          <w:b/>
          <w:bCs/>
          <w:lang w:val="es-PR"/>
        </w:rPr>
        <w:t xml:space="preserve">Staph1N impulsa la pérdida de resistencia a </w:t>
      </w:r>
      <w:r w:rsidRPr="009C4492">
        <w:rPr>
          <w:rFonts w:ascii="Times New Roman" w:hAnsi="Times New Roman" w:cs="Times New Roman"/>
          <w:b/>
          <w:bCs/>
        </w:rPr>
        <w:t>β</w:t>
      </w:r>
      <w:r w:rsidRPr="009C4492">
        <w:rPr>
          <w:rFonts w:ascii="Times New Roman" w:hAnsi="Times New Roman" w:cs="Times New Roman"/>
          <w:b/>
          <w:bCs/>
          <w:lang w:val="es-PR"/>
        </w:rPr>
        <w:t>-lactámicos en SARM.</w:t>
      </w:r>
      <w:r w:rsidRPr="009C4492">
        <w:rPr>
          <w:rFonts w:ascii="Times New Roman" w:hAnsi="Times New Roman" w:cs="Times New Roman"/>
          <w:lang w:val="es-PR"/>
        </w:rPr>
        <w:t xml:space="preserve"> </w:t>
      </w:r>
      <w:r w:rsidRPr="009C4492">
        <w:rPr>
          <w:rFonts w:ascii="Times New Roman" w:hAnsi="Times New Roman" w:cs="Times New Roman"/>
          <w:b/>
          <w:bCs/>
          <w:lang w:val="es-PR"/>
        </w:rPr>
        <w:t>A.</w:t>
      </w:r>
      <w:r w:rsidRPr="009C4492">
        <w:rPr>
          <w:rFonts w:ascii="Times New Roman" w:hAnsi="Times New Roman" w:cs="Times New Roman"/>
          <w:lang w:val="es-PR"/>
        </w:rPr>
        <w:t xml:space="preserve"> Esquema del experimento. Cultivos bacterianos resistentes a fármacos (Abx</w:t>
      </w:r>
      <w:r>
        <w:rPr>
          <w:rFonts w:ascii="Times New Roman" w:hAnsi="Times New Roman" w:cs="Times New Roman"/>
          <w:vertAlign w:val="superscript"/>
          <w:lang w:val="es-PR"/>
        </w:rPr>
        <w:t>R</w:t>
      </w:r>
      <w:r w:rsidRPr="009C4492">
        <w:rPr>
          <w:rFonts w:ascii="Times New Roman" w:hAnsi="Times New Roman" w:cs="Times New Roman"/>
          <w:lang w:val="es-PR"/>
        </w:rPr>
        <w:t>) y sensibles a fagos (Phage</w:t>
      </w:r>
      <w:r>
        <w:rPr>
          <w:rFonts w:ascii="Times New Roman" w:hAnsi="Times New Roman" w:cs="Times New Roman"/>
          <w:vertAlign w:val="superscript"/>
          <w:lang w:val="es-PR"/>
        </w:rPr>
        <w:t>S</w:t>
      </w:r>
      <w:r w:rsidRPr="009C4492">
        <w:rPr>
          <w:rFonts w:ascii="Times New Roman" w:hAnsi="Times New Roman" w:cs="Times New Roman"/>
          <w:lang w:val="es-PR"/>
        </w:rPr>
        <w:t>) se infectan con fagos. La población de células infectadas se pasa y se deja recuperar. La población celular s</w:t>
      </w:r>
      <w:r w:rsidR="009E16EC">
        <w:rPr>
          <w:rFonts w:ascii="Times New Roman" w:hAnsi="Times New Roman" w:cs="Times New Roman"/>
          <w:lang w:val="es-PR"/>
        </w:rPr>
        <w:t>obre</w:t>
      </w:r>
      <w:r w:rsidRPr="009C4492">
        <w:rPr>
          <w:rFonts w:ascii="Times New Roman" w:hAnsi="Times New Roman" w:cs="Times New Roman"/>
          <w:lang w:val="es-PR"/>
        </w:rPr>
        <w:t>viviente es resistente a la infección por fagos (Phage</w:t>
      </w:r>
      <w:r>
        <w:rPr>
          <w:rFonts w:ascii="Times New Roman" w:hAnsi="Times New Roman" w:cs="Times New Roman"/>
          <w:vertAlign w:val="superscript"/>
          <w:lang w:val="es-PR"/>
        </w:rPr>
        <w:t>R</w:t>
      </w:r>
      <w:r w:rsidRPr="009C4492">
        <w:rPr>
          <w:rFonts w:ascii="Times New Roman" w:hAnsi="Times New Roman" w:cs="Times New Roman"/>
          <w:lang w:val="es-PR"/>
        </w:rPr>
        <w:t>), pero ha desarrollado sensibilidad a los antibióticos (Abx</w:t>
      </w:r>
      <w:r>
        <w:rPr>
          <w:rFonts w:ascii="Times New Roman" w:hAnsi="Times New Roman" w:cs="Times New Roman"/>
          <w:vertAlign w:val="superscript"/>
          <w:lang w:val="es-PR"/>
        </w:rPr>
        <w:t>S</w:t>
      </w:r>
      <w:r w:rsidRPr="009C4492">
        <w:rPr>
          <w:rFonts w:ascii="Times New Roman" w:hAnsi="Times New Roman" w:cs="Times New Roman"/>
          <w:lang w:val="es-PR"/>
        </w:rPr>
        <w:t xml:space="preserve">). </w:t>
      </w:r>
      <w:r w:rsidRPr="009C4492">
        <w:rPr>
          <w:rFonts w:ascii="Times New Roman" w:hAnsi="Times New Roman" w:cs="Times New Roman"/>
          <w:b/>
          <w:bCs/>
          <w:lang w:val="es-PR"/>
        </w:rPr>
        <w:t>B.</w:t>
      </w:r>
      <w:r w:rsidRPr="009C4492">
        <w:rPr>
          <w:rFonts w:ascii="Times New Roman" w:hAnsi="Times New Roman" w:cs="Times New Roman"/>
          <w:lang w:val="es-PR"/>
        </w:rPr>
        <w:t xml:space="preserve"> </w:t>
      </w:r>
      <w:r w:rsidRPr="009C4492">
        <w:rPr>
          <w:rFonts w:ascii="Times New Roman" w:hAnsi="Times New Roman" w:cs="Times New Roman"/>
        </w:rPr>
        <w:t>Φ</w:t>
      </w:r>
      <w:r w:rsidRPr="009C4492">
        <w:rPr>
          <w:rFonts w:ascii="Times New Roman" w:hAnsi="Times New Roman" w:cs="Times New Roman"/>
          <w:lang w:val="es-PR"/>
        </w:rPr>
        <w:t xml:space="preserve">Staph1N infecta las cepas de SARM MRSA252, MW2 y LAC (panel izquierdo). Tras la infección con </w:t>
      </w:r>
      <w:r w:rsidRPr="009C4492">
        <w:rPr>
          <w:rFonts w:ascii="Times New Roman" w:hAnsi="Times New Roman" w:cs="Times New Roman"/>
        </w:rPr>
        <w:t>Φ</w:t>
      </w:r>
      <w:r w:rsidRPr="009C4492">
        <w:rPr>
          <w:rFonts w:ascii="Times New Roman" w:hAnsi="Times New Roman" w:cs="Times New Roman"/>
          <w:lang w:val="es-PR"/>
        </w:rPr>
        <w:t xml:space="preserve">Staph1N, los cultivos evolucionados de las tres cepas de SARM son resistentes a </w:t>
      </w:r>
      <w:r w:rsidRPr="009C4492">
        <w:rPr>
          <w:rFonts w:ascii="Times New Roman" w:hAnsi="Times New Roman" w:cs="Times New Roman"/>
        </w:rPr>
        <w:t>Φ</w:t>
      </w:r>
      <w:r w:rsidRPr="009C4492">
        <w:rPr>
          <w:rFonts w:ascii="Times New Roman" w:hAnsi="Times New Roman" w:cs="Times New Roman"/>
          <w:lang w:val="es-PR"/>
        </w:rPr>
        <w:t xml:space="preserve">Staph1N (panel derecho). </w:t>
      </w:r>
      <w:r w:rsidRPr="009C4492">
        <w:rPr>
          <w:rFonts w:ascii="Times New Roman" w:hAnsi="Times New Roman" w:cs="Times New Roman"/>
          <w:b/>
          <w:bCs/>
          <w:lang w:val="es-PR"/>
        </w:rPr>
        <w:t>C.</w:t>
      </w:r>
      <w:r w:rsidRPr="009C4492">
        <w:rPr>
          <w:rFonts w:ascii="Times New Roman" w:hAnsi="Times New Roman" w:cs="Times New Roman"/>
          <w:lang w:val="es-PR"/>
        </w:rPr>
        <w:t xml:space="preserve"> Las cepas de SARM evolucionadas tratadas con </w:t>
      </w:r>
      <w:r w:rsidRPr="009C4492">
        <w:rPr>
          <w:rFonts w:ascii="Times New Roman" w:hAnsi="Times New Roman" w:cs="Times New Roman"/>
        </w:rPr>
        <w:t>Φ</w:t>
      </w:r>
      <w:r w:rsidRPr="009C4492">
        <w:rPr>
          <w:rFonts w:ascii="Times New Roman" w:hAnsi="Times New Roman" w:cs="Times New Roman"/>
          <w:lang w:val="es-PR"/>
        </w:rPr>
        <w:t xml:space="preserve">Staph1N muestran una pérdida significativa de resistencia a la oxacilina, en comparación con las cepas parentales. La pérdida de resistencia se indica mediante el área de aclaramiento bacteriano que rodea la tira de resistencia a antibióticos. </w:t>
      </w:r>
      <w:r w:rsidRPr="009C4492">
        <w:rPr>
          <w:rFonts w:ascii="Times New Roman" w:hAnsi="Times New Roman" w:cs="Times New Roman"/>
          <w:b/>
          <w:bCs/>
          <w:lang w:val="es-PR"/>
        </w:rPr>
        <w:t>D.</w:t>
      </w:r>
      <w:r w:rsidRPr="009C4492">
        <w:rPr>
          <w:rFonts w:ascii="Times New Roman" w:hAnsi="Times New Roman" w:cs="Times New Roman"/>
          <w:lang w:val="es-PR"/>
        </w:rPr>
        <w:t xml:space="preserve"> El tratamiento con </w:t>
      </w:r>
      <w:r w:rsidRPr="009C4492">
        <w:rPr>
          <w:rFonts w:ascii="Times New Roman" w:hAnsi="Times New Roman" w:cs="Times New Roman"/>
        </w:rPr>
        <w:t>Φ</w:t>
      </w:r>
      <w:r w:rsidRPr="009C4492">
        <w:rPr>
          <w:rFonts w:ascii="Times New Roman" w:hAnsi="Times New Roman" w:cs="Times New Roman"/>
          <w:lang w:val="es-PR"/>
        </w:rPr>
        <w:t xml:space="preserve">Staph1N causa pérdida de resistencia contra diferentes </w:t>
      </w:r>
      <w:r w:rsidRPr="009C4492">
        <w:rPr>
          <w:rFonts w:ascii="Times New Roman" w:hAnsi="Times New Roman" w:cs="Times New Roman"/>
        </w:rPr>
        <w:t>β</w:t>
      </w:r>
      <w:r w:rsidRPr="009C4492">
        <w:rPr>
          <w:rFonts w:ascii="Times New Roman" w:hAnsi="Times New Roman" w:cs="Times New Roman"/>
          <w:lang w:val="es-PR"/>
        </w:rPr>
        <w:t>-lactámic</w:t>
      </w:r>
      <w:r w:rsidR="009E16EC">
        <w:rPr>
          <w:rFonts w:ascii="Times New Roman" w:hAnsi="Times New Roman" w:cs="Times New Roman"/>
          <w:lang w:val="es-PR"/>
        </w:rPr>
        <w:t>o</w:t>
      </w:r>
      <w:r w:rsidRPr="009C4492">
        <w:rPr>
          <w:rFonts w:ascii="Times New Roman" w:hAnsi="Times New Roman" w:cs="Times New Roman"/>
          <w:lang w:val="es-PR"/>
        </w:rPr>
        <w:t>s. Se representan gráficamente las reducciones en la concentración mínima inhibitoria (</w:t>
      </w:r>
      <w:r w:rsidR="009E16EC">
        <w:rPr>
          <w:rFonts w:ascii="Times New Roman" w:hAnsi="Times New Roman" w:cs="Times New Roman"/>
          <w:lang w:val="es-PR"/>
        </w:rPr>
        <w:t>MIC</w:t>
      </w:r>
      <w:r w:rsidRPr="009C4492">
        <w:rPr>
          <w:rFonts w:ascii="Times New Roman" w:hAnsi="Times New Roman" w:cs="Times New Roman"/>
          <w:lang w:val="es-PR"/>
        </w:rPr>
        <w:t>) entre las células tratadas y las células con tratamiento simulado. OXI = oxacilina; CEF = cefazolina; AMX = amoxicilina; AMX + CA = amoxicilina y ácido clavulánico; VANC = vancomicina.</w:t>
      </w:r>
    </w:p>
    <w:p w14:paraId="7980FF53" w14:textId="77777777" w:rsidR="009E16EC" w:rsidRDefault="009E16EC" w:rsidP="00EA6837">
      <w:pPr>
        <w:pStyle w:val="NoSpacing"/>
        <w:rPr>
          <w:rFonts w:ascii="Times New Roman" w:hAnsi="Times New Roman" w:cs="Times New Roman"/>
          <w:lang w:val="es-PR"/>
        </w:rPr>
      </w:pPr>
    </w:p>
    <w:p w14:paraId="19CBE68A" w14:textId="77777777" w:rsidR="009E16EC" w:rsidRDefault="009E16EC" w:rsidP="00EA6837">
      <w:pPr>
        <w:pStyle w:val="NoSpacing"/>
        <w:rPr>
          <w:rFonts w:ascii="Times New Roman" w:hAnsi="Times New Roman" w:cs="Times New Roman"/>
          <w:lang w:val="es-PR"/>
        </w:rPr>
      </w:pPr>
    </w:p>
    <w:p w14:paraId="51B20143" w14:textId="77777777" w:rsidR="009E16EC" w:rsidRDefault="009E16EC" w:rsidP="00EA6837">
      <w:pPr>
        <w:pStyle w:val="NoSpacing"/>
        <w:rPr>
          <w:rFonts w:ascii="Times New Roman" w:hAnsi="Times New Roman" w:cs="Times New Roman"/>
          <w:lang w:val="es-PR"/>
        </w:rPr>
      </w:pPr>
    </w:p>
    <w:p w14:paraId="26D63239" w14:textId="77777777" w:rsidR="009E16EC" w:rsidRDefault="009E16EC" w:rsidP="00EA6837">
      <w:pPr>
        <w:pStyle w:val="NoSpacing"/>
        <w:rPr>
          <w:rFonts w:ascii="Times New Roman" w:hAnsi="Times New Roman" w:cs="Times New Roman"/>
          <w:lang w:val="es-PR"/>
        </w:rPr>
      </w:pPr>
    </w:p>
    <w:p w14:paraId="08364354" w14:textId="77777777" w:rsidR="009E16EC" w:rsidRDefault="009E16EC" w:rsidP="00EA6837">
      <w:pPr>
        <w:pStyle w:val="NoSpacing"/>
        <w:rPr>
          <w:rFonts w:ascii="Times New Roman" w:hAnsi="Times New Roman" w:cs="Times New Roman"/>
          <w:lang w:val="es-PR"/>
        </w:rPr>
      </w:pPr>
    </w:p>
    <w:p w14:paraId="322D85BE" w14:textId="77777777" w:rsidR="009E16EC" w:rsidRDefault="009E16EC" w:rsidP="00EA6837">
      <w:pPr>
        <w:pStyle w:val="NoSpacing"/>
        <w:rPr>
          <w:rFonts w:ascii="Times New Roman" w:hAnsi="Times New Roman" w:cs="Times New Roman"/>
          <w:lang w:val="es-PR"/>
        </w:rPr>
      </w:pPr>
    </w:p>
    <w:p w14:paraId="3589F361" w14:textId="77777777" w:rsidR="009E16EC" w:rsidRDefault="009E16EC" w:rsidP="00EA6837">
      <w:pPr>
        <w:pStyle w:val="NoSpacing"/>
        <w:rPr>
          <w:rFonts w:ascii="Times New Roman" w:hAnsi="Times New Roman" w:cs="Times New Roman"/>
          <w:lang w:val="es-PR"/>
        </w:rPr>
      </w:pPr>
    </w:p>
    <w:p w14:paraId="340F6B91" w14:textId="4E9E6E58" w:rsidR="009E16EC" w:rsidRDefault="009E16EC" w:rsidP="00EA6837">
      <w:pPr>
        <w:pStyle w:val="NoSpacing"/>
        <w:rPr>
          <w:rFonts w:ascii="Times New Roman" w:hAnsi="Times New Roman" w:cs="Times New Roman"/>
          <w:lang w:val="es-PR"/>
        </w:rPr>
      </w:pPr>
      <w:r>
        <w:rPr>
          <w:rFonts w:ascii="Arial" w:hAnsi="Arial" w:cs="Arial"/>
          <w:b/>
          <w:bCs/>
          <w:noProof/>
        </w:rPr>
        <w:lastRenderedPageBreak/>
        <w:drawing>
          <wp:inline distT="0" distB="0" distL="0" distR="0" wp14:anchorId="2EFC098D" wp14:editId="5D5BC78A">
            <wp:extent cx="5943600" cy="1653359"/>
            <wp:effectExtent l="0" t="0" r="0" b="4445"/>
            <wp:docPr id="1373543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543290" name="Picture 2"/>
                    <pic:cNvPicPr/>
                  </pic:nvPicPr>
                  <pic:blipFill>
                    <a:blip r:embed="rId5"/>
                    <a:srcRect t="940" b="940"/>
                    <a:stretch>
                      <a:fillRect/>
                    </a:stretch>
                  </pic:blipFill>
                  <pic:spPr bwMode="auto">
                    <a:xfrm>
                      <a:off x="0" y="0"/>
                      <a:ext cx="5943600" cy="1653359"/>
                    </a:xfrm>
                    <a:prstGeom prst="rect">
                      <a:avLst/>
                    </a:prstGeom>
                    <a:ln>
                      <a:noFill/>
                    </a:ln>
                    <a:extLst>
                      <a:ext uri="{53640926-AAD7-44D8-BBD7-CCE9431645EC}">
                        <a14:shadowObscured xmlns:a14="http://schemas.microsoft.com/office/drawing/2010/main"/>
                      </a:ext>
                    </a:extLst>
                  </pic:spPr>
                </pic:pic>
              </a:graphicData>
            </a:graphic>
          </wp:inline>
        </w:drawing>
      </w:r>
    </w:p>
    <w:p w14:paraId="7B35DD48" w14:textId="6D4D5098" w:rsidR="009E16EC" w:rsidRDefault="009E16EC" w:rsidP="009E16EC">
      <w:pPr>
        <w:pStyle w:val="NoSpacing"/>
        <w:rPr>
          <w:rFonts w:ascii="Times New Roman" w:hAnsi="Times New Roman" w:cs="Times New Roman"/>
          <w:lang w:val="es-ES"/>
        </w:rPr>
      </w:pPr>
      <w:r w:rsidRPr="009E16EC">
        <w:rPr>
          <w:rFonts w:ascii="Times New Roman" w:hAnsi="Times New Roman" w:cs="Times New Roman"/>
          <w:b/>
          <w:bCs/>
          <w:lang w:val="es-ES"/>
        </w:rPr>
        <w:t>Figura 2. Evo2 es una variante de ΦStaph1N con mayor actividad contra SARM. A.</w:t>
      </w:r>
      <w:r w:rsidRPr="009E16EC">
        <w:rPr>
          <w:rFonts w:ascii="Times New Roman" w:hAnsi="Times New Roman" w:cs="Times New Roman"/>
          <w:lang w:val="es-ES"/>
        </w:rPr>
        <w:t xml:space="preserve"> Evo2 muestra una infectividad comparable hacia </w:t>
      </w:r>
      <w:r>
        <w:rPr>
          <w:rFonts w:ascii="Times New Roman" w:hAnsi="Times New Roman" w:cs="Times New Roman"/>
          <w:lang w:val="es-ES"/>
        </w:rPr>
        <w:t>MRSA</w:t>
      </w:r>
      <w:r w:rsidRPr="009E16EC">
        <w:rPr>
          <w:rFonts w:ascii="Times New Roman" w:hAnsi="Times New Roman" w:cs="Times New Roman"/>
          <w:lang w:val="es-ES"/>
        </w:rPr>
        <w:t xml:space="preserve">252, pero una mayor infectividad hacia MW2 y LAC, en comparación con ΦStaph1N. </w:t>
      </w:r>
      <w:r w:rsidRPr="009E16EC">
        <w:rPr>
          <w:rFonts w:ascii="Times New Roman" w:hAnsi="Times New Roman" w:cs="Times New Roman"/>
          <w:b/>
          <w:bCs/>
          <w:lang w:val="es-ES"/>
        </w:rPr>
        <w:t>B.</w:t>
      </w:r>
      <w:r w:rsidRPr="009E16EC">
        <w:rPr>
          <w:rFonts w:ascii="Times New Roman" w:hAnsi="Times New Roman" w:cs="Times New Roman"/>
          <w:lang w:val="es-ES"/>
        </w:rPr>
        <w:t xml:space="preserve"> Similar a ΦStaph1N, la infección por Evo2 reduce la resistencia a β-</w:t>
      </w:r>
      <w:proofErr w:type="spellStart"/>
      <w:r w:rsidRPr="009E16EC">
        <w:rPr>
          <w:rFonts w:ascii="Times New Roman" w:hAnsi="Times New Roman" w:cs="Times New Roman"/>
          <w:lang w:val="es-ES"/>
        </w:rPr>
        <w:t>lactámicas</w:t>
      </w:r>
      <w:proofErr w:type="spellEnd"/>
      <w:r w:rsidRPr="009E16EC">
        <w:rPr>
          <w:rFonts w:ascii="Times New Roman" w:hAnsi="Times New Roman" w:cs="Times New Roman"/>
          <w:lang w:val="es-ES"/>
        </w:rPr>
        <w:t xml:space="preserve"> en SARM. </w:t>
      </w:r>
      <w:r w:rsidRPr="009E16EC">
        <w:rPr>
          <w:rFonts w:ascii="Times New Roman" w:hAnsi="Times New Roman" w:cs="Times New Roman"/>
          <w:b/>
          <w:bCs/>
          <w:lang w:val="es-ES"/>
        </w:rPr>
        <w:t>C.</w:t>
      </w:r>
      <w:r w:rsidRPr="009E16EC">
        <w:rPr>
          <w:rFonts w:ascii="Times New Roman" w:hAnsi="Times New Roman" w:cs="Times New Roman"/>
          <w:lang w:val="es-ES"/>
        </w:rPr>
        <w:t xml:space="preserve"> La infección por Evo2 reduce la CMI </w:t>
      </w:r>
      <w:r>
        <w:rPr>
          <w:rFonts w:ascii="Times New Roman" w:hAnsi="Times New Roman" w:cs="Times New Roman"/>
          <w:lang w:val="es-ES"/>
        </w:rPr>
        <w:t xml:space="preserve">(MIC) </w:t>
      </w:r>
      <w:r w:rsidRPr="009E16EC">
        <w:rPr>
          <w:rFonts w:ascii="Times New Roman" w:hAnsi="Times New Roman" w:cs="Times New Roman"/>
          <w:lang w:val="es-ES"/>
        </w:rPr>
        <w:t>contra oxacilina en aislados clínicos de USA300 (ADL).</w:t>
      </w:r>
    </w:p>
    <w:p w14:paraId="3BF7499E" w14:textId="77777777" w:rsidR="006F47D1" w:rsidRPr="009E16EC" w:rsidRDefault="006F47D1" w:rsidP="009E16EC">
      <w:pPr>
        <w:pStyle w:val="NoSpacing"/>
        <w:rPr>
          <w:rFonts w:ascii="Times New Roman" w:hAnsi="Times New Roman" w:cs="Times New Roman"/>
          <w:lang w:val="es-PR"/>
        </w:rPr>
      </w:pPr>
    </w:p>
    <w:p w14:paraId="573B57AB" w14:textId="77777777" w:rsidR="009E16EC" w:rsidRDefault="009E16EC" w:rsidP="00EA6837">
      <w:pPr>
        <w:pStyle w:val="NoSpacing"/>
        <w:rPr>
          <w:rFonts w:ascii="Times New Roman" w:hAnsi="Times New Roman" w:cs="Times New Roman"/>
          <w:lang w:val="es-PR"/>
        </w:rPr>
      </w:pPr>
    </w:p>
    <w:p w14:paraId="37AE1126" w14:textId="2BD4A996" w:rsidR="009E16EC" w:rsidRDefault="009E16EC" w:rsidP="00EA6837">
      <w:pPr>
        <w:pStyle w:val="NoSpacing"/>
        <w:rPr>
          <w:rFonts w:ascii="Times New Roman" w:hAnsi="Times New Roman" w:cs="Times New Roman"/>
          <w:lang w:val="es-PR"/>
        </w:rPr>
      </w:pPr>
      <w:r>
        <w:rPr>
          <w:rFonts w:ascii="Arial" w:hAnsi="Arial" w:cs="Arial"/>
          <w:b/>
          <w:bCs/>
          <w:noProof/>
        </w:rPr>
        <w:drawing>
          <wp:inline distT="0" distB="0" distL="0" distR="0" wp14:anchorId="187A9D9C" wp14:editId="32FD3367">
            <wp:extent cx="5942521" cy="3378141"/>
            <wp:effectExtent l="0" t="0" r="1270" b="635"/>
            <wp:docPr id="1219365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473037" name="Picture 2"/>
                    <pic:cNvPicPr/>
                  </pic:nvPicPr>
                  <pic:blipFill rotWithShape="1">
                    <a:blip r:embed="rId6"/>
                    <a:srcRect t="3834"/>
                    <a:stretch/>
                  </pic:blipFill>
                  <pic:spPr bwMode="auto">
                    <a:xfrm>
                      <a:off x="0" y="0"/>
                      <a:ext cx="5943347" cy="3378610"/>
                    </a:xfrm>
                    <a:prstGeom prst="rect">
                      <a:avLst/>
                    </a:prstGeom>
                    <a:ln>
                      <a:noFill/>
                    </a:ln>
                    <a:extLst>
                      <a:ext uri="{53640926-AAD7-44D8-BBD7-CCE9431645EC}">
                        <a14:shadowObscured xmlns:a14="http://schemas.microsoft.com/office/drawing/2010/main"/>
                      </a:ext>
                    </a:extLst>
                  </pic:spPr>
                </pic:pic>
              </a:graphicData>
            </a:graphic>
          </wp:inline>
        </w:drawing>
      </w:r>
    </w:p>
    <w:p w14:paraId="16941791" w14:textId="6E6166AA" w:rsidR="009E16EC" w:rsidRPr="006F47D1" w:rsidRDefault="009E16EC" w:rsidP="009E16EC">
      <w:pPr>
        <w:pStyle w:val="NoSpacing"/>
        <w:rPr>
          <w:rFonts w:ascii="Times New Roman" w:hAnsi="Times New Roman" w:cs="Times New Roman"/>
          <w:lang w:val="es-ES"/>
        </w:rPr>
      </w:pPr>
      <w:r w:rsidRPr="009E16EC">
        <w:rPr>
          <w:rFonts w:ascii="Times New Roman" w:hAnsi="Times New Roman" w:cs="Times New Roman"/>
          <w:b/>
          <w:bCs/>
          <w:lang w:val="es-ES"/>
        </w:rPr>
        <w:t>Figura 3. La infección por fagos de cepas de SARM produce perfiles mutacionales distintivos. A.</w:t>
      </w:r>
      <w:r w:rsidRPr="009E16EC">
        <w:rPr>
          <w:rFonts w:ascii="Times New Roman" w:hAnsi="Times New Roman" w:cs="Times New Roman"/>
          <w:lang w:val="es-ES"/>
        </w:rPr>
        <w:t xml:space="preserve"> Secuencias codificantes (CDS) con mutaciones de las tres cepas de SARM tras el tratamiento con fagos o </w:t>
      </w:r>
      <w:r w:rsidR="006F47D1" w:rsidRPr="006F47D1">
        <w:rPr>
          <w:rFonts w:ascii="Times New Roman" w:hAnsi="Times New Roman" w:cs="Times New Roman"/>
          <w:lang w:val="es-ES"/>
        </w:rPr>
        <w:t>sin fagos</w:t>
      </w:r>
      <w:r w:rsidRPr="009E16EC">
        <w:rPr>
          <w:rFonts w:ascii="Times New Roman" w:hAnsi="Times New Roman" w:cs="Times New Roman"/>
          <w:lang w:val="es-ES"/>
        </w:rPr>
        <w:t xml:space="preserve">. Para cada cepa, se secuenciaron tres aislados y se identificaron sus mutaciones. Las mutaciones se codifican por colores según el número de ocurrencias entre las tres réplicas. </w:t>
      </w:r>
      <w:r w:rsidRPr="009E16EC">
        <w:rPr>
          <w:rFonts w:ascii="Times New Roman" w:hAnsi="Times New Roman" w:cs="Times New Roman"/>
          <w:b/>
          <w:bCs/>
          <w:lang w:val="es-ES"/>
        </w:rPr>
        <w:t>B.</w:t>
      </w:r>
      <w:r w:rsidRPr="009E16EC">
        <w:rPr>
          <w:rFonts w:ascii="Times New Roman" w:hAnsi="Times New Roman" w:cs="Times New Roman"/>
          <w:lang w:val="es-ES"/>
        </w:rPr>
        <w:t xml:space="preserve"> Categorías de genes con mutaciones que surgieron en cada cepa de SARM y condición de tratamiento.</w:t>
      </w:r>
    </w:p>
    <w:p w14:paraId="0DD61D3A" w14:textId="77777777" w:rsidR="006F47D1" w:rsidRDefault="006F47D1" w:rsidP="009E16EC">
      <w:pPr>
        <w:pStyle w:val="NoSpacing"/>
        <w:rPr>
          <w:lang w:val="es-ES"/>
        </w:rPr>
      </w:pPr>
    </w:p>
    <w:p w14:paraId="33AF153D" w14:textId="77777777" w:rsidR="006F47D1" w:rsidRDefault="006F47D1" w:rsidP="009E16EC">
      <w:pPr>
        <w:pStyle w:val="NoSpacing"/>
        <w:rPr>
          <w:lang w:val="es-ES"/>
        </w:rPr>
      </w:pPr>
    </w:p>
    <w:p w14:paraId="3491B8E2" w14:textId="77777777" w:rsidR="006F47D1" w:rsidRDefault="006F47D1" w:rsidP="009E16EC">
      <w:pPr>
        <w:pStyle w:val="NoSpacing"/>
        <w:rPr>
          <w:lang w:val="es-ES"/>
        </w:rPr>
      </w:pPr>
    </w:p>
    <w:p w14:paraId="0DF69DD4" w14:textId="77777777" w:rsidR="006F47D1" w:rsidRDefault="006F47D1" w:rsidP="009E16EC">
      <w:pPr>
        <w:pStyle w:val="NoSpacing"/>
        <w:rPr>
          <w:lang w:val="es-ES"/>
        </w:rPr>
      </w:pPr>
    </w:p>
    <w:p w14:paraId="418FFA34" w14:textId="77777777" w:rsidR="006F47D1" w:rsidRDefault="006F47D1" w:rsidP="009E16EC">
      <w:pPr>
        <w:pStyle w:val="NoSpacing"/>
        <w:rPr>
          <w:lang w:val="es-ES"/>
        </w:rPr>
      </w:pPr>
    </w:p>
    <w:p w14:paraId="4ACF15F0" w14:textId="05896C09" w:rsidR="006F47D1" w:rsidRPr="009E16EC" w:rsidRDefault="006F47D1" w:rsidP="009E16EC">
      <w:pPr>
        <w:pStyle w:val="NoSpacing"/>
        <w:rPr>
          <w:lang w:val="es-PR"/>
        </w:rPr>
      </w:pPr>
      <w:r>
        <w:rPr>
          <w:rFonts w:ascii="Arial" w:hAnsi="Arial" w:cs="Arial"/>
          <w:b/>
          <w:bCs/>
          <w:noProof/>
        </w:rPr>
        <w:drawing>
          <wp:inline distT="0" distB="0" distL="0" distR="0" wp14:anchorId="04025291" wp14:editId="3D37C52A">
            <wp:extent cx="3488095" cy="5481292"/>
            <wp:effectExtent l="0" t="0" r="0" b="5715"/>
            <wp:docPr id="18790963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96323" name="Picture 4"/>
                    <pic:cNvPicPr/>
                  </pic:nvPicPr>
                  <pic:blipFill>
                    <a:blip r:embed="rId7"/>
                    <a:stretch>
                      <a:fillRect/>
                    </a:stretch>
                  </pic:blipFill>
                  <pic:spPr>
                    <a:xfrm>
                      <a:off x="0" y="0"/>
                      <a:ext cx="3490761" cy="5485481"/>
                    </a:xfrm>
                    <a:prstGeom prst="rect">
                      <a:avLst/>
                    </a:prstGeom>
                  </pic:spPr>
                </pic:pic>
              </a:graphicData>
            </a:graphic>
          </wp:inline>
        </w:drawing>
      </w:r>
    </w:p>
    <w:p w14:paraId="61FB700A" w14:textId="77777777" w:rsidR="006F47D1" w:rsidRPr="006F47D1" w:rsidRDefault="006F47D1" w:rsidP="006F47D1">
      <w:pPr>
        <w:pStyle w:val="NoSpacing"/>
        <w:rPr>
          <w:rFonts w:ascii="Times New Roman" w:hAnsi="Times New Roman" w:cs="Times New Roman"/>
          <w:lang w:val="es-ES"/>
        </w:rPr>
      </w:pPr>
      <w:r w:rsidRPr="006F47D1">
        <w:rPr>
          <w:rFonts w:ascii="Times New Roman" w:hAnsi="Times New Roman" w:cs="Times New Roman"/>
          <w:b/>
          <w:bCs/>
          <w:lang w:val="es-ES"/>
        </w:rPr>
        <w:t xml:space="preserve">Figura 4. La infección por fagos modifica el perfil </w:t>
      </w:r>
      <w:proofErr w:type="spellStart"/>
      <w:r w:rsidRPr="006F47D1">
        <w:rPr>
          <w:rFonts w:ascii="Times New Roman" w:hAnsi="Times New Roman" w:cs="Times New Roman"/>
          <w:b/>
          <w:bCs/>
          <w:lang w:val="es-ES"/>
        </w:rPr>
        <w:t>transcriptómico</w:t>
      </w:r>
      <w:proofErr w:type="spellEnd"/>
      <w:r w:rsidRPr="006F47D1">
        <w:rPr>
          <w:rFonts w:ascii="Times New Roman" w:hAnsi="Times New Roman" w:cs="Times New Roman"/>
          <w:b/>
          <w:bCs/>
          <w:lang w:val="es-ES"/>
        </w:rPr>
        <w:t xml:space="preserve"> de SARM.</w:t>
      </w:r>
      <w:r w:rsidRPr="006F47D1">
        <w:rPr>
          <w:rFonts w:ascii="Times New Roman" w:hAnsi="Times New Roman" w:cs="Times New Roman"/>
          <w:lang w:val="es-ES"/>
        </w:rPr>
        <w:t xml:space="preserve"> Se realizó un análisis de expresión diferencial en los transcriptomas de MW2 (panel superior) y LAC (panel inferior). Para ambas cepas, se compararon muestras infectadas con Evo2 con controles no infectados. Se analizaron tres réplicas biológicas para cada condición. Las líneas punteadas horizontales representan un valor de corte p ajustado de 0,002, mientras que las líneas punteadas verticales representan un cambio log² de -2 o 2 en la expresión. Los transcritos con un cambio log² entre -2 o 2 y un valor p &gt;0,002 se etiquetan como puntos grises (no significativo, NS); los transcritos que superan el cambio de corte o el valor p (pero no el otro) se representan como puntos azules y verdes, respectivamente; los transcritos que superan ambos puntos de corte se muestran como puntos rojos. Los genes mencionados en el texto principal están etiquetados. </w:t>
      </w:r>
    </w:p>
    <w:p w14:paraId="50AF2D1E" w14:textId="77777777" w:rsidR="006F47D1" w:rsidRDefault="006F47D1" w:rsidP="006F47D1">
      <w:pPr>
        <w:pStyle w:val="NoSpacing"/>
        <w:rPr>
          <w:lang w:val="es-ES"/>
        </w:rPr>
      </w:pPr>
    </w:p>
    <w:p w14:paraId="481AC55C" w14:textId="77777777" w:rsidR="006F47D1" w:rsidRDefault="006F47D1" w:rsidP="006F47D1">
      <w:pPr>
        <w:pStyle w:val="NoSpacing"/>
        <w:rPr>
          <w:lang w:val="es-ES"/>
        </w:rPr>
      </w:pPr>
    </w:p>
    <w:p w14:paraId="487116F7" w14:textId="0E0D4C36" w:rsidR="00EA6837" w:rsidRDefault="006F47D1" w:rsidP="00EA6837">
      <w:pPr>
        <w:pStyle w:val="NoSpacing"/>
      </w:pPr>
      <w:r>
        <w:rPr>
          <w:rFonts w:ascii="Arial" w:hAnsi="Arial" w:cs="Arial"/>
          <w:b/>
          <w:bCs/>
          <w:i/>
          <w:iCs/>
          <w:noProof/>
          <w:color w:val="000000" w:themeColor="text1"/>
        </w:rPr>
        <w:lastRenderedPageBreak/>
        <w:drawing>
          <wp:inline distT="0" distB="0" distL="0" distR="0" wp14:anchorId="3C20C993" wp14:editId="50E1D6F5">
            <wp:extent cx="5942664" cy="3318111"/>
            <wp:effectExtent l="0" t="0" r="1270" b="0"/>
            <wp:docPr id="1886458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45887" name="Picture 5"/>
                    <pic:cNvPicPr/>
                  </pic:nvPicPr>
                  <pic:blipFill rotWithShape="1">
                    <a:blip r:embed="rId8"/>
                    <a:srcRect t="10170"/>
                    <a:stretch/>
                  </pic:blipFill>
                  <pic:spPr bwMode="auto">
                    <a:xfrm>
                      <a:off x="0" y="0"/>
                      <a:ext cx="5943599" cy="3318633"/>
                    </a:xfrm>
                    <a:prstGeom prst="rect">
                      <a:avLst/>
                    </a:prstGeom>
                    <a:ln>
                      <a:noFill/>
                    </a:ln>
                    <a:extLst>
                      <a:ext uri="{53640926-AAD7-44D8-BBD7-CCE9431645EC}">
                        <a14:shadowObscured xmlns:a14="http://schemas.microsoft.com/office/drawing/2010/main"/>
                      </a:ext>
                    </a:extLst>
                  </pic:spPr>
                </pic:pic>
              </a:graphicData>
            </a:graphic>
          </wp:inline>
        </w:drawing>
      </w:r>
    </w:p>
    <w:p w14:paraId="2C5E9ECF" w14:textId="5BACC472" w:rsidR="006F47D1" w:rsidRPr="006F47D1" w:rsidRDefault="006F47D1" w:rsidP="006F47D1">
      <w:pPr>
        <w:pStyle w:val="NoSpacing"/>
        <w:rPr>
          <w:rFonts w:ascii="Times New Roman" w:hAnsi="Times New Roman" w:cs="Times New Roman"/>
          <w:lang w:val="es-ES"/>
        </w:rPr>
      </w:pPr>
      <w:r w:rsidRPr="006F47D1">
        <w:rPr>
          <w:rFonts w:ascii="Times New Roman" w:hAnsi="Times New Roman" w:cs="Times New Roman"/>
          <w:b/>
          <w:bCs/>
          <w:lang w:val="es-ES"/>
        </w:rPr>
        <w:t>Figura 5. El tratamiento con fagos del SARM produce fenotipos de virulencia atenuados. A.</w:t>
      </w:r>
      <w:r w:rsidRPr="006F47D1">
        <w:rPr>
          <w:rFonts w:ascii="Times New Roman" w:hAnsi="Times New Roman" w:cs="Times New Roman"/>
          <w:lang w:val="es-ES"/>
        </w:rPr>
        <w:t xml:space="preserve"> Las cepas MW2 y LAC presentan actividad hemolítica en placas de agar con sangre de conejo, mientras que MRSA252 no. </w:t>
      </w:r>
      <w:r w:rsidRPr="006F47D1">
        <w:rPr>
          <w:rFonts w:ascii="Times New Roman" w:hAnsi="Times New Roman" w:cs="Times New Roman"/>
          <w:b/>
          <w:bCs/>
          <w:lang w:val="es-ES"/>
        </w:rPr>
        <w:t>B.</w:t>
      </w:r>
      <w:r w:rsidRPr="006F47D1">
        <w:rPr>
          <w:rFonts w:ascii="Times New Roman" w:hAnsi="Times New Roman" w:cs="Times New Roman"/>
          <w:lang w:val="es-ES"/>
        </w:rPr>
        <w:t xml:space="preserve"> Las cepas MW2 y LAC tratadas con fagos presentan una hemólisis reducida en comparación con las células no infectadas. </w:t>
      </w:r>
      <w:r w:rsidRPr="006F47D1">
        <w:rPr>
          <w:rFonts w:ascii="Times New Roman" w:hAnsi="Times New Roman" w:cs="Times New Roman"/>
          <w:b/>
          <w:bCs/>
          <w:lang w:val="es-ES"/>
        </w:rPr>
        <w:t>C.</w:t>
      </w:r>
      <w:r w:rsidRPr="006F47D1">
        <w:rPr>
          <w:rFonts w:ascii="Times New Roman" w:hAnsi="Times New Roman" w:cs="Times New Roman"/>
          <w:lang w:val="es-ES"/>
        </w:rPr>
        <w:t xml:space="preserve"> Los cultivos supervivientes de MW2 y LAC tratados con ΦStaph1N (azul) o Evo2 (rojo) muestran tasas de agregación reducidas en comparación con las células sin tratamiento (verde azulado).</w:t>
      </w:r>
    </w:p>
    <w:p w14:paraId="2CEF2213" w14:textId="77777777" w:rsidR="006F47D1" w:rsidRDefault="006F47D1" w:rsidP="006F47D1">
      <w:pPr>
        <w:pStyle w:val="NoSpacing"/>
        <w:rPr>
          <w:lang w:val="es-ES"/>
        </w:rPr>
      </w:pPr>
    </w:p>
    <w:p w14:paraId="75A06CA4" w14:textId="77777777" w:rsidR="006F47D1" w:rsidRDefault="006F47D1" w:rsidP="006F47D1">
      <w:pPr>
        <w:pStyle w:val="NoSpacing"/>
        <w:rPr>
          <w:lang w:val="es-PR"/>
        </w:rPr>
      </w:pPr>
    </w:p>
    <w:p w14:paraId="32FD6B5C" w14:textId="77777777" w:rsidR="006F47D1" w:rsidRDefault="006F47D1" w:rsidP="006F47D1">
      <w:pPr>
        <w:pStyle w:val="NoSpacing"/>
        <w:rPr>
          <w:lang w:val="es-PR"/>
        </w:rPr>
      </w:pPr>
    </w:p>
    <w:p w14:paraId="5DE85645" w14:textId="77777777" w:rsidR="006F47D1" w:rsidRDefault="006F47D1" w:rsidP="006F47D1">
      <w:pPr>
        <w:pStyle w:val="NoSpacing"/>
        <w:rPr>
          <w:lang w:val="es-PR"/>
        </w:rPr>
      </w:pPr>
    </w:p>
    <w:p w14:paraId="51D07E81" w14:textId="77777777" w:rsidR="006F47D1" w:rsidRDefault="006F47D1" w:rsidP="006F47D1">
      <w:pPr>
        <w:pStyle w:val="NoSpacing"/>
        <w:rPr>
          <w:lang w:val="es-PR"/>
        </w:rPr>
      </w:pPr>
    </w:p>
    <w:p w14:paraId="67573B38" w14:textId="77777777" w:rsidR="006F47D1" w:rsidRDefault="006F47D1" w:rsidP="006F47D1">
      <w:pPr>
        <w:pStyle w:val="NoSpacing"/>
        <w:rPr>
          <w:lang w:val="es-PR"/>
        </w:rPr>
      </w:pPr>
    </w:p>
    <w:p w14:paraId="288A300F" w14:textId="77777777" w:rsidR="006F47D1" w:rsidRDefault="006F47D1" w:rsidP="006F47D1">
      <w:pPr>
        <w:pStyle w:val="NoSpacing"/>
        <w:rPr>
          <w:lang w:val="es-PR"/>
        </w:rPr>
      </w:pPr>
    </w:p>
    <w:p w14:paraId="52FB1E70" w14:textId="77777777" w:rsidR="006F47D1" w:rsidRDefault="006F47D1" w:rsidP="006F47D1">
      <w:pPr>
        <w:pStyle w:val="NoSpacing"/>
        <w:rPr>
          <w:lang w:val="es-PR"/>
        </w:rPr>
      </w:pPr>
    </w:p>
    <w:p w14:paraId="4CAB4D66" w14:textId="77777777" w:rsidR="006F47D1" w:rsidRDefault="006F47D1" w:rsidP="006F47D1">
      <w:pPr>
        <w:pStyle w:val="NoSpacing"/>
        <w:rPr>
          <w:lang w:val="es-PR"/>
        </w:rPr>
      </w:pPr>
    </w:p>
    <w:p w14:paraId="40B49BE1" w14:textId="77777777" w:rsidR="006F47D1" w:rsidRDefault="006F47D1" w:rsidP="006F47D1">
      <w:pPr>
        <w:pStyle w:val="NoSpacing"/>
        <w:rPr>
          <w:lang w:val="es-PR"/>
        </w:rPr>
      </w:pPr>
    </w:p>
    <w:p w14:paraId="2C3DF18B" w14:textId="77777777" w:rsidR="006F47D1" w:rsidRDefault="006F47D1" w:rsidP="006F47D1">
      <w:pPr>
        <w:pStyle w:val="NoSpacing"/>
        <w:rPr>
          <w:lang w:val="es-PR"/>
        </w:rPr>
      </w:pPr>
    </w:p>
    <w:p w14:paraId="3CE721D8" w14:textId="77777777" w:rsidR="006F47D1" w:rsidRDefault="006F47D1" w:rsidP="006F47D1">
      <w:pPr>
        <w:pStyle w:val="NoSpacing"/>
        <w:rPr>
          <w:lang w:val="es-PR"/>
        </w:rPr>
      </w:pPr>
    </w:p>
    <w:p w14:paraId="46389786" w14:textId="77777777" w:rsidR="006F47D1" w:rsidRDefault="006F47D1" w:rsidP="006F47D1">
      <w:pPr>
        <w:pStyle w:val="NoSpacing"/>
        <w:rPr>
          <w:lang w:val="es-PR"/>
        </w:rPr>
      </w:pPr>
    </w:p>
    <w:p w14:paraId="6D463A1F" w14:textId="77777777" w:rsidR="006F47D1" w:rsidRDefault="006F47D1" w:rsidP="006F47D1">
      <w:pPr>
        <w:pStyle w:val="NoSpacing"/>
        <w:rPr>
          <w:lang w:val="es-PR"/>
        </w:rPr>
      </w:pPr>
    </w:p>
    <w:p w14:paraId="79C7644D" w14:textId="77777777" w:rsidR="006F47D1" w:rsidRDefault="006F47D1" w:rsidP="006F47D1">
      <w:pPr>
        <w:pStyle w:val="NoSpacing"/>
        <w:rPr>
          <w:lang w:val="es-PR"/>
        </w:rPr>
      </w:pPr>
    </w:p>
    <w:p w14:paraId="06738F2B" w14:textId="77777777" w:rsidR="006F47D1" w:rsidRDefault="006F47D1" w:rsidP="006F47D1">
      <w:pPr>
        <w:pStyle w:val="NoSpacing"/>
        <w:rPr>
          <w:lang w:val="es-PR"/>
        </w:rPr>
      </w:pPr>
    </w:p>
    <w:p w14:paraId="5C863518" w14:textId="77777777" w:rsidR="006F47D1" w:rsidRDefault="006F47D1" w:rsidP="006F47D1">
      <w:pPr>
        <w:pStyle w:val="NoSpacing"/>
        <w:rPr>
          <w:lang w:val="es-PR"/>
        </w:rPr>
      </w:pPr>
    </w:p>
    <w:p w14:paraId="2A53DAE9" w14:textId="77777777" w:rsidR="006F47D1" w:rsidRDefault="006F47D1" w:rsidP="006F47D1">
      <w:pPr>
        <w:pStyle w:val="NoSpacing"/>
        <w:rPr>
          <w:lang w:val="es-PR"/>
        </w:rPr>
      </w:pPr>
    </w:p>
    <w:p w14:paraId="601E4A82" w14:textId="77777777" w:rsidR="006F47D1" w:rsidRDefault="006F47D1" w:rsidP="006F47D1">
      <w:pPr>
        <w:pStyle w:val="NoSpacing"/>
        <w:rPr>
          <w:lang w:val="es-PR"/>
        </w:rPr>
      </w:pPr>
    </w:p>
    <w:p w14:paraId="4F8DF98D" w14:textId="14AB6FC4" w:rsidR="006F47D1" w:rsidRDefault="006F47D1" w:rsidP="006F47D1">
      <w:pPr>
        <w:pStyle w:val="NoSpacing"/>
        <w:rPr>
          <w:lang w:val="es-PR"/>
        </w:rPr>
      </w:pPr>
      <w:r>
        <w:rPr>
          <w:rFonts w:ascii="Arial" w:hAnsi="Arial" w:cs="Arial"/>
          <w:i/>
          <w:iCs/>
          <w:noProof/>
          <w:color w:val="00B0F0"/>
        </w:rPr>
        <w:lastRenderedPageBreak/>
        <w:drawing>
          <wp:inline distT="0" distB="0" distL="0" distR="0" wp14:anchorId="0FEB6801" wp14:editId="5501B1DF">
            <wp:extent cx="5664200" cy="5943600"/>
            <wp:effectExtent l="0" t="0" r="0" b="0"/>
            <wp:docPr id="1609272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272036" name="Picture 1"/>
                    <pic:cNvPicPr/>
                  </pic:nvPicPr>
                  <pic:blipFill>
                    <a:blip r:embed="rId9"/>
                    <a:stretch>
                      <a:fillRect/>
                    </a:stretch>
                  </pic:blipFill>
                  <pic:spPr>
                    <a:xfrm>
                      <a:off x="0" y="0"/>
                      <a:ext cx="5664200" cy="5943600"/>
                    </a:xfrm>
                    <a:prstGeom prst="rect">
                      <a:avLst/>
                    </a:prstGeom>
                  </pic:spPr>
                </pic:pic>
              </a:graphicData>
            </a:graphic>
          </wp:inline>
        </w:drawing>
      </w:r>
    </w:p>
    <w:p w14:paraId="78820735" w14:textId="44A78EA1" w:rsidR="006F47D1" w:rsidRPr="006F47D1" w:rsidRDefault="006F47D1" w:rsidP="006F47D1">
      <w:pPr>
        <w:pStyle w:val="NoSpacing"/>
        <w:rPr>
          <w:rFonts w:ascii="Times New Roman" w:hAnsi="Times New Roman" w:cs="Times New Roman"/>
          <w:lang w:val="es-ES"/>
        </w:rPr>
      </w:pPr>
      <w:r w:rsidRPr="006F47D1">
        <w:rPr>
          <w:rFonts w:ascii="Times New Roman" w:hAnsi="Times New Roman" w:cs="Times New Roman"/>
          <w:b/>
          <w:bCs/>
          <w:lang w:val="es-ES"/>
        </w:rPr>
        <w:t xml:space="preserve">Figura 6. </w:t>
      </w:r>
      <w:proofErr w:type="spellStart"/>
      <w:r w:rsidRPr="006F47D1">
        <w:rPr>
          <w:rFonts w:ascii="Times New Roman" w:hAnsi="Times New Roman" w:cs="Times New Roman"/>
          <w:b/>
          <w:bCs/>
          <w:lang w:val="es-ES"/>
        </w:rPr>
        <w:t>Cotratamiento</w:t>
      </w:r>
      <w:proofErr w:type="spellEnd"/>
      <w:r w:rsidRPr="006F47D1">
        <w:rPr>
          <w:rFonts w:ascii="Times New Roman" w:hAnsi="Times New Roman" w:cs="Times New Roman"/>
          <w:b/>
          <w:bCs/>
          <w:lang w:val="es-ES"/>
        </w:rPr>
        <w:t xml:space="preserve"> de SARM con bacteriófago y β-</w:t>
      </w:r>
      <w:proofErr w:type="spellStart"/>
      <w:r w:rsidRPr="006F47D1">
        <w:rPr>
          <w:rFonts w:ascii="Times New Roman" w:hAnsi="Times New Roman" w:cs="Times New Roman"/>
          <w:b/>
          <w:bCs/>
          <w:lang w:val="es-ES"/>
        </w:rPr>
        <w:t>lactámico</w:t>
      </w:r>
      <w:proofErr w:type="spellEnd"/>
      <w:r w:rsidRPr="006F47D1">
        <w:rPr>
          <w:rFonts w:ascii="Times New Roman" w:hAnsi="Times New Roman" w:cs="Times New Roman"/>
          <w:b/>
          <w:bCs/>
          <w:lang w:val="es-ES"/>
        </w:rPr>
        <w:t>. A.</w:t>
      </w:r>
      <w:r w:rsidRPr="006F47D1">
        <w:rPr>
          <w:rFonts w:ascii="Times New Roman" w:hAnsi="Times New Roman" w:cs="Times New Roman"/>
          <w:lang w:val="es-ES"/>
        </w:rPr>
        <w:t xml:space="preserve"> Ensayos de tablero de ajedrez de cepas de SARM con gradientes de oxacilina y Evo2 (paneles superiores) o ΦStaph1N (paneles inferiores). El gradiente de oxacilina es una dilución seriada de 2 veces la concentración del fármaco (µg/</w:t>
      </w:r>
      <w:proofErr w:type="spellStart"/>
      <w:r w:rsidRPr="006F47D1">
        <w:rPr>
          <w:rFonts w:ascii="Times New Roman" w:hAnsi="Times New Roman" w:cs="Times New Roman"/>
          <w:lang w:val="es-ES"/>
        </w:rPr>
        <w:t>mL</w:t>
      </w:r>
      <w:proofErr w:type="spellEnd"/>
      <w:r w:rsidRPr="006F47D1">
        <w:rPr>
          <w:rFonts w:ascii="Times New Roman" w:hAnsi="Times New Roman" w:cs="Times New Roman"/>
          <w:lang w:val="es-ES"/>
        </w:rPr>
        <w:t xml:space="preserve">), mientras que el gradiente de MOI del fago es una dilución seriada de 10 veces la MOI. Las filas y columnas de cada placa están marcadas con letras y números, respectivamente. El gradiente de blanco y negro en cada pocillo refleja la densidad óptica del cultivo y es el valor medio de tres réplicas biológicas. Se analizaron las cepas de SARM </w:t>
      </w:r>
      <w:proofErr w:type="spellStart"/>
      <w:r w:rsidRPr="006F47D1">
        <w:rPr>
          <w:rFonts w:ascii="Times New Roman" w:hAnsi="Times New Roman" w:cs="Times New Roman"/>
          <w:lang w:val="es-ES"/>
        </w:rPr>
        <w:t>cotratadas</w:t>
      </w:r>
      <w:proofErr w:type="spellEnd"/>
      <w:r w:rsidRPr="006F47D1">
        <w:rPr>
          <w:rFonts w:ascii="Times New Roman" w:hAnsi="Times New Roman" w:cs="Times New Roman"/>
          <w:lang w:val="es-ES"/>
        </w:rPr>
        <w:t xml:space="preserve"> con oxacilina y </w:t>
      </w:r>
      <w:r w:rsidRPr="006F47D1">
        <w:rPr>
          <w:rFonts w:ascii="Times New Roman" w:hAnsi="Times New Roman" w:cs="Times New Roman"/>
          <w:b/>
          <w:bCs/>
          <w:lang w:val="es-ES"/>
        </w:rPr>
        <w:t>(B)</w:t>
      </w:r>
      <w:r w:rsidRPr="006F47D1">
        <w:rPr>
          <w:rFonts w:ascii="Times New Roman" w:hAnsi="Times New Roman" w:cs="Times New Roman"/>
          <w:lang w:val="es-ES"/>
        </w:rPr>
        <w:t xml:space="preserve"> Evo2 o </w:t>
      </w:r>
      <w:r w:rsidRPr="006F47D1">
        <w:rPr>
          <w:rFonts w:ascii="Times New Roman" w:hAnsi="Times New Roman" w:cs="Times New Roman"/>
          <w:b/>
          <w:bCs/>
          <w:lang w:val="es-ES"/>
        </w:rPr>
        <w:t>(C)</w:t>
      </w:r>
      <w:r w:rsidRPr="006F47D1">
        <w:rPr>
          <w:rFonts w:ascii="Times New Roman" w:hAnsi="Times New Roman" w:cs="Times New Roman"/>
          <w:lang w:val="es-ES"/>
        </w:rPr>
        <w:t xml:space="preserve"> ΦStaph1N para determinar su resistencia a fagos y a la oxacilina. La combinación de letras y números indica el pocillo del que se seleccionaron las células para el análisis. Los pocillos que no produjeron un cultivo viable se etiquetaron como NG (sin crecimiento). En los pocillos que recrecieron, calculamos la eficiencia de </w:t>
      </w:r>
      <w:r>
        <w:rPr>
          <w:rFonts w:ascii="Times New Roman" w:hAnsi="Times New Roman" w:cs="Times New Roman"/>
          <w:lang w:val="es-ES"/>
        </w:rPr>
        <w:t>formación de placas</w:t>
      </w:r>
      <w:r w:rsidRPr="006F47D1">
        <w:rPr>
          <w:rFonts w:ascii="Times New Roman" w:hAnsi="Times New Roman" w:cs="Times New Roman"/>
          <w:lang w:val="es-ES"/>
        </w:rPr>
        <w:t xml:space="preserve"> (EOP) del fago y medimos la reducción en la CMI de oxacilina. Los cultivos que no mostraron placas virales detectables se etiquetaron como resistentes (R).</w:t>
      </w:r>
    </w:p>
    <w:p w14:paraId="2429EA1E" w14:textId="77777777" w:rsidR="006F47D1" w:rsidRDefault="006F47D1" w:rsidP="006F47D1">
      <w:pPr>
        <w:pStyle w:val="NoSpacing"/>
        <w:rPr>
          <w:lang w:val="es-ES"/>
        </w:rPr>
      </w:pPr>
    </w:p>
    <w:p w14:paraId="6E900915" w14:textId="77777777" w:rsidR="006F47D1" w:rsidRDefault="006F47D1" w:rsidP="006F47D1">
      <w:pPr>
        <w:pStyle w:val="NoSpacing"/>
        <w:rPr>
          <w:lang w:val="es-ES"/>
        </w:rPr>
      </w:pPr>
    </w:p>
    <w:p w14:paraId="2FC61BD6" w14:textId="77777777" w:rsidR="006F47D1" w:rsidRDefault="006F47D1" w:rsidP="006F47D1">
      <w:pPr>
        <w:pStyle w:val="NoSpacing"/>
        <w:rPr>
          <w:lang w:val="es-ES"/>
        </w:rPr>
      </w:pPr>
    </w:p>
    <w:p w14:paraId="0EEA96A4" w14:textId="58A1C5E0" w:rsidR="006F47D1" w:rsidRDefault="006F47D1" w:rsidP="006F47D1">
      <w:pPr>
        <w:pStyle w:val="NoSpacing"/>
        <w:rPr>
          <w:lang w:val="es-PR"/>
        </w:rPr>
      </w:pPr>
      <w:r>
        <w:rPr>
          <w:rFonts w:ascii="Arial" w:hAnsi="Arial" w:cs="Arial"/>
          <w:b/>
          <w:bCs/>
          <w:noProof/>
        </w:rPr>
        <w:drawing>
          <wp:inline distT="0" distB="0" distL="0" distR="0" wp14:anchorId="51311A56" wp14:editId="63CC27A9">
            <wp:extent cx="4776548" cy="1715335"/>
            <wp:effectExtent l="0" t="0" r="0" b="0"/>
            <wp:docPr id="1059474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47461" name="Picture 6"/>
                    <pic:cNvPicPr/>
                  </pic:nvPicPr>
                  <pic:blipFill>
                    <a:blip r:embed="rId10"/>
                    <a:stretch>
                      <a:fillRect/>
                    </a:stretch>
                  </pic:blipFill>
                  <pic:spPr>
                    <a:xfrm>
                      <a:off x="0" y="0"/>
                      <a:ext cx="4840677" cy="1738365"/>
                    </a:xfrm>
                    <a:prstGeom prst="rect">
                      <a:avLst/>
                    </a:prstGeom>
                  </pic:spPr>
                </pic:pic>
              </a:graphicData>
            </a:graphic>
          </wp:inline>
        </w:drawing>
      </w:r>
    </w:p>
    <w:p w14:paraId="1E050BDC" w14:textId="6D065A44" w:rsidR="006F47D1" w:rsidRDefault="006F47D1" w:rsidP="006F47D1">
      <w:pPr>
        <w:pStyle w:val="NoSpacing"/>
        <w:rPr>
          <w:rFonts w:ascii="Times New Roman" w:hAnsi="Times New Roman" w:cs="Times New Roman"/>
          <w:lang w:val="es-ES"/>
        </w:rPr>
      </w:pPr>
      <w:r w:rsidRPr="006F47D1">
        <w:rPr>
          <w:rFonts w:ascii="Times New Roman" w:hAnsi="Times New Roman" w:cs="Times New Roman"/>
          <w:b/>
          <w:bCs/>
          <w:lang w:val="es-ES"/>
        </w:rPr>
        <w:t>Figura 1 – figura suplementaria 1.</w:t>
      </w:r>
      <w:r w:rsidRPr="006F47D1">
        <w:rPr>
          <w:rFonts w:ascii="Times New Roman" w:hAnsi="Times New Roman" w:cs="Times New Roman"/>
          <w:lang w:val="es-ES"/>
        </w:rPr>
        <w:t xml:space="preserve"> </w:t>
      </w:r>
      <w:r w:rsidRPr="006F47D1">
        <w:rPr>
          <w:rFonts w:ascii="Times New Roman" w:hAnsi="Times New Roman" w:cs="Times New Roman"/>
          <w:b/>
          <w:bCs/>
          <w:lang w:val="es-ES"/>
        </w:rPr>
        <w:t>Sensibilidad de las cepas de SARM a los fagos.</w:t>
      </w:r>
      <w:r w:rsidRPr="006F47D1">
        <w:rPr>
          <w:rFonts w:ascii="Times New Roman" w:hAnsi="Times New Roman" w:cs="Times New Roman"/>
          <w:lang w:val="es-ES"/>
        </w:rPr>
        <w:t xml:space="preserve"> Eficiencia de </w:t>
      </w:r>
      <w:r>
        <w:rPr>
          <w:rFonts w:ascii="Times New Roman" w:hAnsi="Times New Roman" w:cs="Times New Roman"/>
          <w:lang w:val="es-ES"/>
        </w:rPr>
        <w:t>formación de placas</w:t>
      </w:r>
      <w:r w:rsidRPr="006F47D1">
        <w:rPr>
          <w:rFonts w:ascii="Times New Roman" w:hAnsi="Times New Roman" w:cs="Times New Roman"/>
          <w:lang w:val="es-ES"/>
        </w:rPr>
        <w:t xml:space="preserve"> de los fagos en SARM252, MW2 y LAC. Los fagos se diluyeron en serie 10 veces y se depositaron sobre las capas superiores de agar de cada cepa.</w:t>
      </w:r>
    </w:p>
    <w:p w14:paraId="60497E2D" w14:textId="77777777" w:rsidR="003F57DE" w:rsidRDefault="003F57DE" w:rsidP="006F47D1">
      <w:pPr>
        <w:pStyle w:val="NoSpacing"/>
        <w:rPr>
          <w:rFonts w:ascii="Times New Roman" w:hAnsi="Times New Roman" w:cs="Times New Roman"/>
          <w:lang w:val="es-ES"/>
        </w:rPr>
      </w:pPr>
    </w:p>
    <w:p w14:paraId="3C13D437" w14:textId="77777777" w:rsidR="003F57DE" w:rsidRDefault="003F57DE" w:rsidP="006F47D1">
      <w:pPr>
        <w:pStyle w:val="NoSpacing"/>
        <w:rPr>
          <w:rFonts w:ascii="Times New Roman" w:hAnsi="Times New Roman" w:cs="Times New Roman"/>
          <w:lang w:val="es-ES"/>
        </w:rPr>
      </w:pPr>
    </w:p>
    <w:p w14:paraId="07828F13" w14:textId="77777777" w:rsidR="006F47D1" w:rsidRDefault="006F47D1" w:rsidP="006F47D1">
      <w:pPr>
        <w:pStyle w:val="NoSpacing"/>
        <w:rPr>
          <w:rFonts w:ascii="Times New Roman" w:hAnsi="Times New Roman" w:cs="Times New Roman"/>
          <w:lang w:val="es-ES"/>
        </w:rPr>
      </w:pPr>
    </w:p>
    <w:p w14:paraId="027647E8" w14:textId="0EB151AC" w:rsidR="006F47D1" w:rsidRDefault="006F47D1" w:rsidP="006F47D1">
      <w:pPr>
        <w:pStyle w:val="NoSpacing"/>
        <w:rPr>
          <w:rFonts w:ascii="Times New Roman" w:hAnsi="Times New Roman" w:cs="Times New Roman"/>
          <w:lang w:val="es-PR"/>
        </w:rPr>
      </w:pPr>
      <w:r>
        <w:rPr>
          <w:rFonts w:ascii="Arial" w:hAnsi="Arial" w:cs="Arial"/>
          <w:b/>
          <w:bCs/>
          <w:noProof/>
        </w:rPr>
        <w:drawing>
          <wp:inline distT="0" distB="0" distL="0" distR="0" wp14:anchorId="4A2DA01B" wp14:editId="5A3B77CE">
            <wp:extent cx="3693017" cy="3407474"/>
            <wp:effectExtent l="0" t="0" r="3175" b="2540"/>
            <wp:docPr id="91733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33715" name="Picture 91733715"/>
                    <pic:cNvPicPr/>
                  </pic:nvPicPr>
                  <pic:blipFill>
                    <a:blip r:embed="rId11"/>
                    <a:stretch>
                      <a:fillRect/>
                    </a:stretch>
                  </pic:blipFill>
                  <pic:spPr>
                    <a:xfrm>
                      <a:off x="0" y="0"/>
                      <a:ext cx="3696101" cy="3410320"/>
                    </a:xfrm>
                    <a:prstGeom prst="rect">
                      <a:avLst/>
                    </a:prstGeom>
                  </pic:spPr>
                </pic:pic>
              </a:graphicData>
            </a:graphic>
          </wp:inline>
        </w:drawing>
      </w:r>
    </w:p>
    <w:p w14:paraId="126E6C6A" w14:textId="17267BFA" w:rsidR="003F57DE" w:rsidRDefault="003F57DE" w:rsidP="003F57DE">
      <w:pPr>
        <w:pStyle w:val="NoSpacing"/>
        <w:rPr>
          <w:rFonts w:ascii="Times New Roman" w:hAnsi="Times New Roman" w:cs="Times New Roman"/>
          <w:lang w:val="es-ES"/>
        </w:rPr>
      </w:pPr>
      <w:r w:rsidRPr="003F57DE">
        <w:rPr>
          <w:rFonts w:ascii="Times New Roman" w:hAnsi="Times New Roman" w:cs="Times New Roman"/>
          <w:b/>
          <w:bCs/>
          <w:lang w:val="es-ES"/>
        </w:rPr>
        <w:t>Figura 1 – figura suplementaria 2.</w:t>
      </w:r>
      <w:r w:rsidRPr="003F57DE">
        <w:rPr>
          <w:rFonts w:ascii="Times New Roman" w:hAnsi="Times New Roman" w:cs="Times New Roman"/>
          <w:lang w:val="es-ES"/>
        </w:rPr>
        <w:t xml:space="preserve"> </w:t>
      </w:r>
      <w:r w:rsidRPr="003F57DE">
        <w:rPr>
          <w:rFonts w:ascii="Times New Roman" w:hAnsi="Times New Roman" w:cs="Times New Roman"/>
          <w:b/>
          <w:bCs/>
          <w:lang w:val="es-ES"/>
        </w:rPr>
        <w:t>Curvas de crecimiento de cepas de SARM bajo diferentes niveles de infección por ΦStaph1N.</w:t>
      </w:r>
      <w:r w:rsidRPr="003F57DE">
        <w:rPr>
          <w:rFonts w:ascii="Times New Roman" w:hAnsi="Times New Roman" w:cs="Times New Roman"/>
          <w:lang w:val="es-ES"/>
        </w:rPr>
        <w:t xml:space="preserve"> Los cultivos de SARM252, MW2 y LAC se infectaron con ΦStaph1N a la multiplicidad de infección (MOI) indicada. La densidad óptica (</w:t>
      </w:r>
      <w:r>
        <w:rPr>
          <w:rFonts w:ascii="Times New Roman" w:hAnsi="Times New Roman" w:cs="Times New Roman"/>
          <w:lang w:val="es-ES"/>
        </w:rPr>
        <w:t>OD600</w:t>
      </w:r>
      <w:r w:rsidRPr="003F57DE">
        <w:rPr>
          <w:rFonts w:ascii="Times New Roman" w:hAnsi="Times New Roman" w:cs="Times New Roman"/>
          <w:lang w:val="es-ES"/>
        </w:rPr>
        <w:t>) de los cultivos se monitorizó en un lector de pla</w:t>
      </w:r>
      <w:r>
        <w:rPr>
          <w:rFonts w:ascii="Times New Roman" w:hAnsi="Times New Roman" w:cs="Times New Roman"/>
          <w:lang w:val="es-ES"/>
        </w:rPr>
        <w:t>tos</w:t>
      </w:r>
      <w:r w:rsidRPr="003F57DE">
        <w:rPr>
          <w:rFonts w:ascii="Times New Roman" w:hAnsi="Times New Roman" w:cs="Times New Roman"/>
          <w:lang w:val="es-ES"/>
        </w:rPr>
        <w:t xml:space="preserve"> automatizado. Cada condición se analizó en tres réplicas independientes.</w:t>
      </w:r>
    </w:p>
    <w:p w14:paraId="4AF77A3F" w14:textId="77777777" w:rsidR="003F57DE" w:rsidRDefault="003F57DE" w:rsidP="003F57DE">
      <w:pPr>
        <w:pStyle w:val="NoSpacing"/>
        <w:rPr>
          <w:rFonts w:ascii="Times New Roman" w:hAnsi="Times New Roman" w:cs="Times New Roman"/>
          <w:lang w:val="es-ES"/>
        </w:rPr>
      </w:pPr>
    </w:p>
    <w:p w14:paraId="56B5B33A" w14:textId="77777777" w:rsidR="003F57DE" w:rsidRDefault="003F57DE" w:rsidP="003F57DE">
      <w:pPr>
        <w:pStyle w:val="NoSpacing"/>
        <w:rPr>
          <w:rFonts w:ascii="Times New Roman" w:hAnsi="Times New Roman" w:cs="Times New Roman"/>
          <w:lang w:val="es-ES"/>
        </w:rPr>
      </w:pPr>
    </w:p>
    <w:p w14:paraId="07AE372F" w14:textId="77777777" w:rsidR="003F57DE" w:rsidRDefault="003F57DE" w:rsidP="003F57DE">
      <w:pPr>
        <w:pStyle w:val="NoSpacing"/>
        <w:rPr>
          <w:rFonts w:ascii="Times New Roman" w:hAnsi="Times New Roman" w:cs="Times New Roman"/>
          <w:lang w:val="es-ES"/>
        </w:rPr>
      </w:pPr>
    </w:p>
    <w:p w14:paraId="110713F9" w14:textId="5795F1AD" w:rsidR="003F57DE" w:rsidRDefault="003F57DE" w:rsidP="003F57DE">
      <w:pPr>
        <w:pStyle w:val="NoSpacing"/>
        <w:rPr>
          <w:rFonts w:ascii="Times New Roman" w:hAnsi="Times New Roman" w:cs="Times New Roman"/>
          <w:lang w:val="es-PR"/>
        </w:rPr>
      </w:pPr>
      <w:r>
        <w:rPr>
          <w:rFonts w:ascii="Arial" w:hAnsi="Arial" w:cs="Arial"/>
          <w:b/>
          <w:bCs/>
          <w:i/>
          <w:iCs/>
          <w:noProof/>
          <w:color w:val="000000" w:themeColor="text1"/>
        </w:rPr>
        <w:lastRenderedPageBreak/>
        <w:drawing>
          <wp:inline distT="0" distB="0" distL="0" distR="0" wp14:anchorId="2E6558DC" wp14:editId="5188F3A2">
            <wp:extent cx="5943600" cy="2618014"/>
            <wp:effectExtent l="0" t="0" r="0" b="0"/>
            <wp:docPr id="1956658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658015" name="Picture 1956658015"/>
                    <pic:cNvPicPr/>
                  </pic:nvPicPr>
                  <pic:blipFill>
                    <a:blip r:embed="rId12"/>
                    <a:stretch>
                      <a:fillRect/>
                    </a:stretch>
                  </pic:blipFill>
                  <pic:spPr>
                    <a:xfrm>
                      <a:off x="0" y="0"/>
                      <a:ext cx="5943600" cy="2618014"/>
                    </a:xfrm>
                    <a:prstGeom prst="rect">
                      <a:avLst/>
                    </a:prstGeom>
                  </pic:spPr>
                </pic:pic>
              </a:graphicData>
            </a:graphic>
          </wp:inline>
        </w:drawing>
      </w:r>
    </w:p>
    <w:p w14:paraId="207D8F1A" w14:textId="77777777" w:rsidR="003F57DE" w:rsidRDefault="003F57DE" w:rsidP="003F57DE">
      <w:pPr>
        <w:pStyle w:val="NoSpacing"/>
        <w:rPr>
          <w:rFonts w:ascii="Times New Roman" w:hAnsi="Times New Roman" w:cs="Times New Roman"/>
          <w:lang w:val="es-ES"/>
        </w:rPr>
      </w:pPr>
      <w:r w:rsidRPr="003F57DE">
        <w:rPr>
          <w:rFonts w:ascii="Times New Roman" w:hAnsi="Times New Roman" w:cs="Times New Roman"/>
          <w:b/>
          <w:bCs/>
          <w:lang w:val="es-ES"/>
        </w:rPr>
        <w:t>Figura 2 – figura suplementaria 1. Aislamiento y análisis de secuenciación de Evo2. A.</w:t>
      </w:r>
      <w:r w:rsidRPr="003F57DE">
        <w:rPr>
          <w:rFonts w:ascii="Times New Roman" w:hAnsi="Times New Roman" w:cs="Times New Roman"/>
          <w:lang w:val="es-ES"/>
        </w:rPr>
        <w:t xml:space="preserve"> Placas individuales de Evo2 aparecieron en placas más grandes de ΦStaph1N en LAC. Las placas individuales se aislaron y propagaron en cultivo líquido. Evo2 muestra una mejor formación de placas en MW2 y LAC. Los datos de formación de placas en los paneles de la derecha son los mismos que en la Figura 2A. </w:t>
      </w:r>
      <w:r w:rsidRPr="003F57DE">
        <w:rPr>
          <w:rFonts w:ascii="Times New Roman" w:hAnsi="Times New Roman" w:cs="Times New Roman"/>
          <w:b/>
          <w:bCs/>
          <w:lang w:val="es-ES"/>
        </w:rPr>
        <w:t>B.</w:t>
      </w:r>
      <w:r w:rsidRPr="003F57DE">
        <w:rPr>
          <w:rFonts w:ascii="Times New Roman" w:hAnsi="Times New Roman" w:cs="Times New Roman"/>
          <w:lang w:val="es-ES"/>
        </w:rPr>
        <w:t xml:space="preserve"> Evo2 es una forma mutante de ΦStaph1N con una mutación sin sentido en ORF141. La mutación de A </w:t>
      </w:r>
      <w:proofErr w:type="spellStart"/>
      <w:r w:rsidRPr="003F57DE">
        <w:rPr>
          <w:rFonts w:ascii="Times New Roman" w:hAnsi="Times New Roman" w:cs="Times New Roman"/>
          <w:lang w:val="es-ES"/>
        </w:rPr>
        <w:t>a</w:t>
      </w:r>
      <w:proofErr w:type="spellEnd"/>
      <w:r w:rsidRPr="003F57DE">
        <w:rPr>
          <w:rFonts w:ascii="Times New Roman" w:hAnsi="Times New Roman" w:cs="Times New Roman"/>
          <w:lang w:val="es-ES"/>
        </w:rPr>
        <w:t xml:space="preserve"> C (marcada con una flecha) en Evo2 convierte la serina 77 de ORF141 en un codón de terminación.</w:t>
      </w:r>
    </w:p>
    <w:p w14:paraId="2CA9FDB0" w14:textId="77777777" w:rsidR="003F57DE" w:rsidRDefault="003F57DE" w:rsidP="003F57DE">
      <w:pPr>
        <w:pStyle w:val="NoSpacing"/>
        <w:rPr>
          <w:rFonts w:ascii="Times New Roman" w:hAnsi="Times New Roman" w:cs="Times New Roman"/>
          <w:lang w:val="es-ES"/>
        </w:rPr>
      </w:pPr>
    </w:p>
    <w:p w14:paraId="1C8EBB95" w14:textId="77777777" w:rsidR="003F57DE" w:rsidRDefault="003F57DE" w:rsidP="003F57DE">
      <w:pPr>
        <w:pStyle w:val="NoSpacing"/>
        <w:rPr>
          <w:rFonts w:ascii="Times New Roman" w:hAnsi="Times New Roman" w:cs="Times New Roman"/>
          <w:lang w:val="es-ES"/>
        </w:rPr>
      </w:pPr>
    </w:p>
    <w:p w14:paraId="7E68A30D" w14:textId="0F441CAA" w:rsidR="003F57DE" w:rsidRDefault="003F57DE" w:rsidP="003F57DE">
      <w:pPr>
        <w:pStyle w:val="NoSpacing"/>
        <w:rPr>
          <w:rFonts w:ascii="Times New Roman" w:hAnsi="Times New Roman" w:cs="Times New Roman"/>
          <w:lang w:val="es-PR"/>
        </w:rPr>
      </w:pPr>
      <w:r>
        <w:rPr>
          <w:rFonts w:ascii="Arial" w:hAnsi="Arial" w:cs="Arial"/>
          <w:noProof/>
          <w:color w:val="000000" w:themeColor="text1"/>
        </w:rPr>
        <w:lastRenderedPageBreak/>
        <w:drawing>
          <wp:inline distT="0" distB="0" distL="0" distR="0" wp14:anchorId="430C71CF" wp14:editId="4F76FA0D">
            <wp:extent cx="4914900" cy="4546600"/>
            <wp:effectExtent l="0" t="0" r="0" b="0"/>
            <wp:docPr id="2099723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723338" name="Picture 2099723338"/>
                    <pic:cNvPicPr/>
                  </pic:nvPicPr>
                  <pic:blipFill>
                    <a:blip r:embed="rId13"/>
                    <a:stretch>
                      <a:fillRect/>
                    </a:stretch>
                  </pic:blipFill>
                  <pic:spPr>
                    <a:xfrm>
                      <a:off x="0" y="0"/>
                      <a:ext cx="4914900" cy="4546600"/>
                    </a:xfrm>
                    <a:prstGeom prst="rect">
                      <a:avLst/>
                    </a:prstGeom>
                  </pic:spPr>
                </pic:pic>
              </a:graphicData>
            </a:graphic>
          </wp:inline>
        </w:drawing>
      </w:r>
    </w:p>
    <w:p w14:paraId="118652AA" w14:textId="77777777" w:rsidR="003F57DE" w:rsidRDefault="003F57DE" w:rsidP="003F57DE">
      <w:pPr>
        <w:pStyle w:val="NoSpacing"/>
        <w:rPr>
          <w:rFonts w:ascii="Times New Roman" w:hAnsi="Times New Roman" w:cs="Times New Roman"/>
          <w:lang w:val="es-ES"/>
        </w:rPr>
      </w:pPr>
      <w:r w:rsidRPr="003F57DE">
        <w:rPr>
          <w:rFonts w:ascii="Times New Roman" w:hAnsi="Times New Roman" w:cs="Times New Roman"/>
          <w:b/>
          <w:bCs/>
          <w:lang w:val="es-ES"/>
        </w:rPr>
        <w:t>Figura 2 – figura suplementaria 2. Curvas de crecimiento de cepas de SARM bajo diferentes niveles de infección por Evo2</w:t>
      </w:r>
      <w:r w:rsidRPr="003F57DE">
        <w:rPr>
          <w:rFonts w:ascii="Times New Roman" w:hAnsi="Times New Roman" w:cs="Times New Roman"/>
          <w:lang w:val="es-ES"/>
        </w:rPr>
        <w:t>. Los cultivos de SARM252, MW2 y LAC se infectaron con Evo2 a la multiplicidad de infección (MOI) indicada. La densidad óptica (DO₂₄) de los cultivos se monitorizó en un lector de placas automatizado. Cada condición se analizó en tres réplicas independientes.</w:t>
      </w:r>
    </w:p>
    <w:p w14:paraId="79DE127F" w14:textId="77777777" w:rsidR="003F57DE" w:rsidRDefault="003F57DE" w:rsidP="003F57DE">
      <w:pPr>
        <w:pStyle w:val="NoSpacing"/>
        <w:rPr>
          <w:rFonts w:ascii="Times New Roman" w:hAnsi="Times New Roman" w:cs="Times New Roman"/>
          <w:lang w:val="es-ES"/>
        </w:rPr>
      </w:pPr>
    </w:p>
    <w:p w14:paraId="4598FC1D" w14:textId="77777777" w:rsidR="003F57DE" w:rsidRDefault="003F57DE" w:rsidP="003F57DE">
      <w:pPr>
        <w:pStyle w:val="NoSpacing"/>
        <w:rPr>
          <w:rFonts w:ascii="Times New Roman" w:hAnsi="Times New Roman" w:cs="Times New Roman"/>
          <w:lang w:val="es-ES"/>
        </w:rPr>
      </w:pPr>
    </w:p>
    <w:p w14:paraId="3D9DB077" w14:textId="77777777" w:rsidR="003F57DE" w:rsidRDefault="003F57DE" w:rsidP="003F57DE">
      <w:pPr>
        <w:pStyle w:val="NoSpacing"/>
        <w:rPr>
          <w:rFonts w:ascii="Times New Roman" w:hAnsi="Times New Roman" w:cs="Times New Roman"/>
          <w:lang w:val="es-ES"/>
        </w:rPr>
      </w:pPr>
    </w:p>
    <w:p w14:paraId="207535A0" w14:textId="2325CC9E" w:rsidR="003F57DE" w:rsidRDefault="003F57DE" w:rsidP="003F57DE">
      <w:pPr>
        <w:pStyle w:val="NoSpacing"/>
        <w:rPr>
          <w:rFonts w:ascii="Times New Roman" w:hAnsi="Times New Roman" w:cs="Times New Roman"/>
        </w:rPr>
      </w:pPr>
      <w:r>
        <w:rPr>
          <w:rFonts w:ascii="Arial" w:hAnsi="Arial" w:cs="Arial"/>
          <w:noProof/>
        </w:rPr>
        <w:lastRenderedPageBreak/>
        <w:drawing>
          <wp:inline distT="0" distB="0" distL="0" distR="0" wp14:anchorId="7C278F14" wp14:editId="4A3CE2D9">
            <wp:extent cx="5943600" cy="2497311"/>
            <wp:effectExtent l="0" t="0" r="0" b="0"/>
            <wp:docPr id="5271191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119118" name="Picture 527119118"/>
                    <pic:cNvPicPr/>
                  </pic:nvPicPr>
                  <pic:blipFill>
                    <a:blip r:embed="rId14"/>
                    <a:stretch>
                      <a:fillRect/>
                    </a:stretch>
                  </pic:blipFill>
                  <pic:spPr>
                    <a:xfrm>
                      <a:off x="0" y="0"/>
                      <a:ext cx="5943600" cy="2497311"/>
                    </a:xfrm>
                    <a:prstGeom prst="rect">
                      <a:avLst/>
                    </a:prstGeom>
                  </pic:spPr>
                </pic:pic>
              </a:graphicData>
            </a:graphic>
          </wp:inline>
        </w:drawing>
      </w:r>
    </w:p>
    <w:p w14:paraId="05D0051E" w14:textId="09779D9A" w:rsidR="003F57DE" w:rsidRDefault="003F57DE" w:rsidP="003F57DE">
      <w:pPr>
        <w:pStyle w:val="NoSpacing"/>
        <w:rPr>
          <w:rFonts w:ascii="Times New Roman" w:hAnsi="Times New Roman" w:cs="Times New Roman"/>
          <w:lang w:val="es-ES"/>
        </w:rPr>
      </w:pPr>
      <w:r w:rsidRPr="003F57DE">
        <w:rPr>
          <w:rFonts w:ascii="Times New Roman" w:hAnsi="Times New Roman" w:cs="Times New Roman"/>
          <w:b/>
          <w:bCs/>
          <w:lang w:val="es-ES"/>
        </w:rPr>
        <w:t xml:space="preserve">Figura 2 – figura suplementaria 3. La infección por fagos </w:t>
      </w:r>
      <w:r w:rsidRPr="003F57DE">
        <w:rPr>
          <w:rFonts w:ascii="Times New Roman" w:hAnsi="Times New Roman" w:cs="Times New Roman"/>
          <w:b/>
          <w:bCs/>
          <w:lang w:val="es-ES"/>
        </w:rPr>
        <w:sym w:font="Symbol" w:char="F046"/>
      </w:r>
      <w:r w:rsidRPr="003F57DE">
        <w:rPr>
          <w:rFonts w:ascii="Times New Roman" w:hAnsi="Times New Roman" w:cs="Times New Roman"/>
          <w:b/>
          <w:bCs/>
          <w:lang w:val="es-ES"/>
        </w:rPr>
        <w:sym w:font="Symbol" w:char="F04E"/>
      </w:r>
      <w:r w:rsidRPr="003F57DE">
        <w:rPr>
          <w:rFonts w:ascii="Times New Roman" w:hAnsi="Times New Roman" w:cs="Times New Roman"/>
          <w:b/>
          <w:bCs/>
          <w:lang w:val="es-ES"/>
        </w:rPr>
        <w:sym w:font="Symbol" w:char="F04D"/>
      </w:r>
      <w:r w:rsidRPr="003F57DE">
        <w:rPr>
          <w:rFonts w:ascii="Times New Roman" w:hAnsi="Times New Roman" w:cs="Times New Roman"/>
          <w:b/>
          <w:bCs/>
          <w:lang w:val="es-ES"/>
        </w:rPr>
        <w:sym w:font="Symbol" w:char="F031"/>
      </w:r>
      <w:r w:rsidRPr="003F57DE">
        <w:rPr>
          <w:rFonts w:ascii="Times New Roman" w:hAnsi="Times New Roman" w:cs="Times New Roman"/>
          <w:b/>
          <w:bCs/>
          <w:lang w:val="es-ES"/>
        </w:rPr>
        <w:sym w:font="Symbol" w:char="F067"/>
      </w:r>
      <w:r w:rsidRPr="003F57DE">
        <w:rPr>
          <w:rFonts w:ascii="Times New Roman" w:hAnsi="Times New Roman" w:cs="Times New Roman"/>
          <w:b/>
          <w:bCs/>
          <w:lang w:val="es-ES"/>
        </w:rPr>
        <w:sym w:font="Symbol" w:char="F036"/>
      </w:r>
      <w:r w:rsidRPr="003F57DE">
        <w:rPr>
          <w:rFonts w:ascii="Times New Roman" w:hAnsi="Times New Roman" w:cs="Times New Roman"/>
          <w:b/>
          <w:bCs/>
          <w:lang w:val="es-ES"/>
        </w:rPr>
        <w:sym w:font="Symbol" w:char="F020"/>
      </w:r>
      <w:r w:rsidRPr="003F57DE">
        <w:rPr>
          <w:rFonts w:ascii="Times New Roman" w:hAnsi="Times New Roman" w:cs="Times New Roman"/>
          <w:b/>
          <w:bCs/>
          <w:lang w:val="es-ES"/>
        </w:rPr>
        <w:t>LAC no induce la pérdida de resistencia a los β-</w:t>
      </w:r>
      <w:proofErr w:type="spellStart"/>
      <w:r w:rsidRPr="003F57DE">
        <w:rPr>
          <w:rFonts w:ascii="Times New Roman" w:hAnsi="Times New Roman" w:cs="Times New Roman"/>
          <w:b/>
          <w:bCs/>
          <w:lang w:val="es-ES"/>
        </w:rPr>
        <w:t>lactámicos</w:t>
      </w:r>
      <w:proofErr w:type="spellEnd"/>
      <w:r w:rsidRPr="003F57DE">
        <w:rPr>
          <w:rFonts w:ascii="Times New Roman" w:hAnsi="Times New Roman" w:cs="Times New Roman"/>
          <w:b/>
          <w:bCs/>
          <w:lang w:val="es-ES"/>
        </w:rPr>
        <w:t>. A.</w:t>
      </w:r>
      <w:r w:rsidRPr="003F57DE">
        <w:rPr>
          <w:rFonts w:ascii="Times New Roman" w:hAnsi="Times New Roman" w:cs="Times New Roman"/>
          <w:lang w:val="es-ES"/>
        </w:rPr>
        <w:t xml:space="preserve"> El LAC tratado con </w:t>
      </w:r>
      <w:r w:rsidRPr="003F57DE">
        <w:rPr>
          <w:rFonts w:ascii="Times New Roman" w:hAnsi="Times New Roman" w:cs="Times New Roman"/>
          <w:lang w:val="es-ES"/>
        </w:rPr>
        <w:sym w:font="Symbol" w:char="F046"/>
      </w:r>
      <w:r w:rsidRPr="003F57DE">
        <w:rPr>
          <w:rFonts w:ascii="Times New Roman" w:hAnsi="Times New Roman" w:cs="Times New Roman"/>
          <w:lang w:val="es-ES"/>
        </w:rPr>
        <w:sym w:font="Symbol" w:char="F04E"/>
      </w:r>
      <w:r w:rsidRPr="003F57DE">
        <w:rPr>
          <w:rFonts w:ascii="Times New Roman" w:hAnsi="Times New Roman" w:cs="Times New Roman"/>
          <w:lang w:val="es-ES"/>
        </w:rPr>
        <w:sym w:font="Symbol" w:char="F04D"/>
      </w:r>
      <w:r w:rsidRPr="003F57DE">
        <w:rPr>
          <w:rFonts w:ascii="Times New Roman" w:hAnsi="Times New Roman" w:cs="Times New Roman"/>
          <w:lang w:val="es-ES"/>
        </w:rPr>
        <w:sym w:font="Symbol" w:char="F031"/>
      </w:r>
      <w:r w:rsidRPr="003F57DE">
        <w:rPr>
          <w:rFonts w:ascii="Times New Roman" w:hAnsi="Times New Roman" w:cs="Times New Roman"/>
          <w:lang w:val="es-ES"/>
        </w:rPr>
        <w:sym w:font="Symbol" w:char="F067"/>
      </w:r>
      <w:r w:rsidRPr="003F57DE">
        <w:rPr>
          <w:rFonts w:ascii="Times New Roman" w:hAnsi="Times New Roman" w:cs="Times New Roman"/>
          <w:lang w:val="es-ES"/>
        </w:rPr>
        <w:sym w:font="Symbol" w:char="F036"/>
      </w:r>
      <w:r w:rsidRPr="003F57DE">
        <w:rPr>
          <w:rFonts w:ascii="Times New Roman" w:hAnsi="Times New Roman" w:cs="Times New Roman"/>
          <w:lang w:val="es-ES"/>
        </w:rPr>
        <w:t xml:space="preserve"> desarrolla resistencia contra </w:t>
      </w:r>
      <w:r w:rsidRPr="003F57DE">
        <w:rPr>
          <w:rFonts w:ascii="Times New Roman" w:hAnsi="Times New Roman" w:cs="Times New Roman"/>
          <w:lang w:val="es-ES"/>
        </w:rPr>
        <w:sym w:font="Symbol" w:char="F046"/>
      </w:r>
      <w:r w:rsidRPr="003F57DE">
        <w:rPr>
          <w:rFonts w:ascii="Times New Roman" w:hAnsi="Times New Roman" w:cs="Times New Roman"/>
          <w:lang w:val="es-ES"/>
        </w:rPr>
        <w:sym w:font="Symbol" w:char="F04E"/>
      </w:r>
      <w:r w:rsidRPr="003F57DE">
        <w:rPr>
          <w:rFonts w:ascii="Times New Roman" w:hAnsi="Times New Roman" w:cs="Times New Roman"/>
          <w:lang w:val="es-ES"/>
        </w:rPr>
        <w:sym w:font="Symbol" w:char="F04D"/>
      </w:r>
      <w:r w:rsidRPr="003F57DE">
        <w:rPr>
          <w:rFonts w:ascii="Times New Roman" w:hAnsi="Times New Roman" w:cs="Times New Roman"/>
          <w:lang w:val="es-ES"/>
        </w:rPr>
        <w:sym w:font="Symbol" w:char="F031"/>
      </w:r>
      <w:r w:rsidRPr="003F57DE">
        <w:rPr>
          <w:rFonts w:ascii="Times New Roman" w:hAnsi="Times New Roman" w:cs="Times New Roman"/>
          <w:lang w:val="es-ES"/>
        </w:rPr>
        <w:sym w:font="Symbol" w:char="F067"/>
      </w:r>
      <w:r w:rsidRPr="003F57DE">
        <w:rPr>
          <w:rFonts w:ascii="Times New Roman" w:hAnsi="Times New Roman" w:cs="Times New Roman"/>
          <w:lang w:val="es-ES"/>
        </w:rPr>
        <w:sym w:font="Symbol" w:char="F036"/>
      </w:r>
      <w:r w:rsidRPr="003F57DE">
        <w:rPr>
          <w:rFonts w:ascii="Times New Roman" w:hAnsi="Times New Roman" w:cs="Times New Roman"/>
          <w:lang w:val="es-ES"/>
        </w:rPr>
        <w:sym w:font="Symbol" w:char="F02C"/>
      </w:r>
      <w:r w:rsidRPr="003F57DE">
        <w:rPr>
          <w:rFonts w:ascii="Times New Roman" w:hAnsi="Times New Roman" w:cs="Times New Roman"/>
          <w:lang w:val="es-ES"/>
        </w:rPr>
        <w:sym w:font="Symbol" w:char="F020"/>
      </w:r>
      <w:r w:rsidRPr="003F57DE">
        <w:rPr>
          <w:rFonts w:ascii="Times New Roman" w:hAnsi="Times New Roman" w:cs="Times New Roman"/>
          <w:lang w:val="es-ES"/>
        </w:rPr>
        <w:t xml:space="preserve"> evidenciada por la reducción de la formación de placas de la población parental a la evolucionada. </w:t>
      </w:r>
      <w:r w:rsidRPr="003F57DE">
        <w:rPr>
          <w:rFonts w:ascii="Times New Roman" w:hAnsi="Times New Roman" w:cs="Times New Roman"/>
          <w:b/>
          <w:bCs/>
          <w:lang w:val="es-ES"/>
        </w:rPr>
        <w:t>B.</w:t>
      </w:r>
      <w:r w:rsidRPr="003F57DE">
        <w:rPr>
          <w:rFonts w:ascii="Times New Roman" w:hAnsi="Times New Roman" w:cs="Times New Roman"/>
          <w:lang w:val="es-ES"/>
        </w:rPr>
        <w:t xml:space="preserve"> Las poblaciones de LAC evolucionadas y parentales muestran CMI comparables contra diferentes β-</w:t>
      </w:r>
      <w:proofErr w:type="spellStart"/>
      <w:r w:rsidRPr="003F57DE">
        <w:rPr>
          <w:rFonts w:ascii="Times New Roman" w:hAnsi="Times New Roman" w:cs="Times New Roman"/>
          <w:lang w:val="es-ES"/>
        </w:rPr>
        <w:t>lactámicos</w:t>
      </w:r>
      <w:proofErr w:type="spellEnd"/>
      <w:r w:rsidRPr="003F57DE">
        <w:rPr>
          <w:rFonts w:ascii="Times New Roman" w:hAnsi="Times New Roman" w:cs="Times New Roman"/>
          <w:lang w:val="es-ES"/>
        </w:rPr>
        <w:t xml:space="preserve"> y vancomicina.</w:t>
      </w:r>
    </w:p>
    <w:p w14:paraId="5BF1E50D" w14:textId="77777777" w:rsidR="003F57DE" w:rsidRDefault="003F57DE" w:rsidP="003F57DE">
      <w:pPr>
        <w:pStyle w:val="NoSpacing"/>
        <w:rPr>
          <w:rFonts w:ascii="Times New Roman" w:hAnsi="Times New Roman" w:cs="Times New Roman"/>
          <w:lang w:val="es-ES"/>
        </w:rPr>
      </w:pPr>
    </w:p>
    <w:p w14:paraId="48295C8C" w14:textId="75D0444B" w:rsidR="003F57DE" w:rsidRDefault="003F57DE" w:rsidP="003F57DE">
      <w:pPr>
        <w:pStyle w:val="NoSpacing"/>
        <w:rPr>
          <w:rFonts w:ascii="Times New Roman" w:hAnsi="Times New Roman" w:cs="Times New Roman"/>
          <w:lang w:val="es-PR"/>
        </w:rPr>
      </w:pPr>
      <w:r>
        <w:rPr>
          <w:rFonts w:ascii="Arial" w:hAnsi="Arial" w:cs="Arial"/>
          <w:i/>
          <w:iCs/>
          <w:noProof/>
          <w:color w:val="000000" w:themeColor="text1"/>
        </w:rPr>
        <w:drawing>
          <wp:inline distT="0" distB="0" distL="0" distR="0" wp14:anchorId="51D8DE7E" wp14:editId="07DC5B52">
            <wp:extent cx="4330700" cy="2654300"/>
            <wp:effectExtent l="0" t="0" r="0" b="0"/>
            <wp:docPr id="1320757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57425" name="Picture 1320757425"/>
                    <pic:cNvPicPr/>
                  </pic:nvPicPr>
                  <pic:blipFill>
                    <a:blip r:embed="rId15"/>
                    <a:stretch>
                      <a:fillRect/>
                    </a:stretch>
                  </pic:blipFill>
                  <pic:spPr>
                    <a:xfrm>
                      <a:off x="0" y="0"/>
                      <a:ext cx="4330700" cy="2654300"/>
                    </a:xfrm>
                    <a:prstGeom prst="rect">
                      <a:avLst/>
                    </a:prstGeom>
                  </pic:spPr>
                </pic:pic>
              </a:graphicData>
            </a:graphic>
          </wp:inline>
        </w:drawing>
      </w:r>
    </w:p>
    <w:p w14:paraId="33EFBB12" w14:textId="7668AE25" w:rsidR="00540516" w:rsidRDefault="00540516" w:rsidP="00540516">
      <w:pPr>
        <w:pStyle w:val="NoSpacing"/>
        <w:rPr>
          <w:rFonts w:ascii="Times New Roman" w:hAnsi="Times New Roman" w:cs="Times New Roman"/>
          <w:lang w:val="es-ES"/>
        </w:rPr>
      </w:pPr>
      <w:r w:rsidRPr="00540516">
        <w:rPr>
          <w:rFonts w:ascii="Times New Roman" w:hAnsi="Times New Roman" w:cs="Times New Roman"/>
          <w:b/>
          <w:bCs/>
          <w:lang w:val="es-ES"/>
        </w:rPr>
        <w:t>Figura 2 – figura suplementaria 4. La infección con el fago SATA8505 induce la pérdida de resistencia a la oxacilina. A.</w:t>
      </w:r>
      <w:r w:rsidRPr="00540516">
        <w:rPr>
          <w:rFonts w:ascii="Times New Roman" w:hAnsi="Times New Roman" w:cs="Times New Roman"/>
          <w:lang w:val="es-ES"/>
        </w:rPr>
        <w:t xml:space="preserve"> Las cepas de SARM MRSA252, MW2 y LAC tratadas con</w:t>
      </w:r>
      <w:r>
        <w:rPr>
          <w:rFonts w:ascii="Times New Roman" w:hAnsi="Times New Roman" w:cs="Times New Roman"/>
          <w:lang w:val="es-ES"/>
        </w:rPr>
        <w:t xml:space="preserve"> el fago</w:t>
      </w:r>
      <w:r w:rsidRPr="00540516">
        <w:rPr>
          <w:rFonts w:ascii="Times New Roman" w:hAnsi="Times New Roman" w:cs="Times New Roman"/>
          <w:lang w:val="es-ES"/>
        </w:rPr>
        <w:t xml:space="preserve"> SATA8585 desarrollan resistencia a SATA8585, evidenciada por la reducción de la formación de placas de la población parental a la evolucionada. </w:t>
      </w:r>
      <w:r w:rsidRPr="00540516">
        <w:rPr>
          <w:rFonts w:ascii="Times New Roman" w:hAnsi="Times New Roman" w:cs="Times New Roman"/>
          <w:b/>
          <w:bCs/>
          <w:lang w:val="es-ES"/>
        </w:rPr>
        <w:t>B.</w:t>
      </w:r>
      <w:r w:rsidRPr="00540516">
        <w:rPr>
          <w:rFonts w:ascii="Times New Roman" w:hAnsi="Times New Roman" w:cs="Times New Roman"/>
          <w:lang w:val="es-ES"/>
        </w:rPr>
        <w:t xml:space="preserve"> El SARM evolucionado y parental muestra una CMI reducida contra la oxacilina.</w:t>
      </w:r>
    </w:p>
    <w:p w14:paraId="1A09B9ED" w14:textId="77777777" w:rsidR="00540516" w:rsidRDefault="00540516" w:rsidP="00540516">
      <w:pPr>
        <w:pStyle w:val="NoSpacing"/>
        <w:rPr>
          <w:rFonts w:ascii="Times New Roman" w:hAnsi="Times New Roman" w:cs="Times New Roman"/>
          <w:lang w:val="es-ES"/>
        </w:rPr>
      </w:pPr>
    </w:p>
    <w:p w14:paraId="4E2425BE" w14:textId="77777777" w:rsidR="00540516" w:rsidRDefault="00540516" w:rsidP="00540516">
      <w:pPr>
        <w:pStyle w:val="NoSpacing"/>
        <w:rPr>
          <w:rFonts w:ascii="Times New Roman" w:hAnsi="Times New Roman" w:cs="Times New Roman"/>
          <w:lang w:val="es-ES"/>
        </w:rPr>
      </w:pPr>
    </w:p>
    <w:p w14:paraId="3E2BF3B0" w14:textId="3730790F" w:rsidR="00540516" w:rsidRDefault="00540516" w:rsidP="00540516">
      <w:pPr>
        <w:pStyle w:val="NoSpacing"/>
        <w:rPr>
          <w:rFonts w:ascii="Times New Roman" w:hAnsi="Times New Roman" w:cs="Times New Roman"/>
          <w:lang w:val="es-PR"/>
        </w:rPr>
      </w:pPr>
      <w:r>
        <w:rPr>
          <w:rFonts w:ascii="Arial" w:hAnsi="Arial" w:cs="Arial"/>
          <w:i/>
          <w:iCs/>
          <w:noProof/>
          <w:color w:val="000000" w:themeColor="text1"/>
        </w:rPr>
        <w:lastRenderedPageBreak/>
        <w:drawing>
          <wp:inline distT="0" distB="0" distL="0" distR="0" wp14:anchorId="59A11149" wp14:editId="1320F962">
            <wp:extent cx="2921000" cy="4025900"/>
            <wp:effectExtent l="0" t="0" r="0" b="0"/>
            <wp:docPr id="13686913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91301" name="Picture 10"/>
                    <pic:cNvPicPr/>
                  </pic:nvPicPr>
                  <pic:blipFill>
                    <a:blip r:embed="rId16"/>
                    <a:stretch>
                      <a:fillRect/>
                    </a:stretch>
                  </pic:blipFill>
                  <pic:spPr>
                    <a:xfrm>
                      <a:off x="0" y="0"/>
                      <a:ext cx="2921000" cy="4025900"/>
                    </a:xfrm>
                    <a:prstGeom prst="rect">
                      <a:avLst/>
                    </a:prstGeom>
                  </pic:spPr>
                </pic:pic>
              </a:graphicData>
            </a:graphic>
          </wp:inline>
        </w:drawing>
      </w:r>
    </w:p>
    <w:p w14:paraId="401DA8F9" w14:textId="77777777" w:rsidR="00540516" w:rsidRDefault="00540516" w:rsidP="00540516">
      <w:pPr>
        <w:pStyle w:val="NoSpacing"/>
        <w:rPr>
          <w:rFonts w:ascii="Times New Roman" w:hAnsi="Times New Roman" w:cs="Times New Roman"/>
          <w:lang w:val="es-ES"/>
        </w:rPr>
      </w:pPr>
      <w:r w:rsidRPr="00540516">
        <w:rPr>
          <w:rFonts w:ascii="Times New Roman" w:hAnsi="Times New Roman" w:cs="Times New Roman"/>
          <w:b/>
          <w:bCs/>
          <w:lang w:val="es-ES"/>
        </w:rPr>
        <w:t>Figura 3 – figura suplementaria 1. Tipos de polimorfismos en cepas de SARM tras la infección por fagos o un tratamiento simulado.</w:t>
      </w:r>
      <w:r w:rsidRPr="00540516">
        <w:rPr>
          <w:rFonts w:ascii="Times New Roman" w:hAnsi="Times New Roman" w:cs="Times New Roman"/>
          <w:lang w:val="es-ES"/>
        </w:rPr>
        <w:t xml:space="preserve"> Se representan gráficamente los polimorfismos encontrados en un gen con una categoría COG asignada.</w:t>
      </w:r>
    </w:p>
    <w:p w14:paraId="4173E6B5" w14:textId="77777777" w:rsidR="00540516" w:rsidRDefault="00540516" w:rsidP="00540516">
      <w:pPr>
        <w:pStyle w:val="NoSpacing"/>
        <w:rPr>
          <w:rFonts w:ascii="Times New Roman" w:hAnsi="Times New Roman" w:cs="Times New Roman"/>
          <w:lang w:val="es-ES"/>
        </w:rPr>
      </w:pPr>
    </w:p>
    <w:p w14:paraId="736D266B" w14:textId="77777777" w:rsidR="00540516" w:rsidRDefault="00540516" w:rsidP="00540516">
      <w:pPr>
        <w:pStyle w:val="NoSpacing"/>
        <w:rPr>
          <w:rFonts w:ascii="Times New Roman" w:hAnsi="Times New Roman" w:cs="Times New Roman"/>
          <w:lang w:val="es-PR"/>
        </w:rPr>
      </w:pPr>
    </w:p>
    <w:p w14:paraId="4E0A6B82" w14:textId="00CB459A" w:rsidR="00540516" w:rsidRDefault="00540516" w:rsidP="00540516">
      <w:pPr>
        <w:pStyle w:val="NoSpacing"/>
        <w:rPr>
          <w:rFonts w:ascii="Times New Roman" w:hAnsi="Times New Roman" w:cs="Times New Roman"/>
          <w:lang w:val="es-PR"/>
        </w:rPr>
      </w:pPr>
      <w:r>
        <w:rPr>
          <w:rFonts w:ascii="Arial" w:hAnsi="Arial" w:cs="Arial"/>
          <w:b/>
          <w:bCs/>
          <w:i/>
          <w:iCs/>
          <w:noProof/>
          <w:color w:val="000000" w:themeColor="text1"/>
        </w:rPr>
        <w:drawing>
          <wp:inline distT="0" distB="0" distL="0" distR="0" wp14:anchorId="1139E397" wp14:editId="74DCC5A3">
            <wp:extent cx="4406900" cy="1752600"/>
            <wp:effectExtent l="0" t="0" r="0" b="0"/>
            <wp:docPr id="10485046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04642" name="Picture 1048504642"/>
                    <pic:cNvPicPr/>
                  </pic:nvPicPr>
                  <pic:blipFill>
                    <a:blip r:embed="rId17"/>
                    <a:stretch>
                      <a:fillRect/>
                    </a:stretch>
                  </pic:blipFill>
                  <pic:spPr>
                    <a:xfrm>
                      <a:off x="0" y="0"/>
                      <a:ext cx="4406900" cy="1752600"/>
                    </a:xfrm>
                    <a:prstGeom prst="rect">
                      <a:avLst/>
                    </a:prstGeom>
                  </pic:spPr>
                </pic:pic>
              </a:graphicData>
            </a:graphic>
          </wp:inline>
        </w:drawing>
      </w:r>
    </w:p>
    <w:p w14:paraId="3B8AC01C" w14:textId="7ECB0FDA" w:rsidR="00540516" w:rsidRDefault="00540516" w:rsidP="00540516">
      <w:pPr>
        <w:pStyle w:val="NoSpacing"/>
        <w:rPr>
          <w:rFonts w:ascii="Times New Roman" w:hAnsi="Times New Roman" w:cs="Times New Roman"/>
          <w:b/>
          <w:bCs/>
          <w:lang w:val="es-PR"/>
        </w:rPr>
      </w:pPr>
      <w:r w:rsidRPr="00540516">
        <w:rPr>
          <w:rFonts w:ascii="Times New Roman" w:hAnsi="Times New Roman" w:cs="Times New Roman"/>
          <w:lang w:val="es-PR"/>
        </w:rPr>
        <w:br/>
      </w:r>
      <w:r w:rsidRPr="00540516">
        <w:rPr>
          <w:rFonts w:ascii="Times New Roman" w:hAnsi="Times New Roman" w:cs="Times New Roman"/>
          <w:b/>
          <w:bCs/>
          <w:lang w:val="es-PR"/>
        </w:rPr>
        <w:t xml:space="preserve">Figura 3 – figura suplementaria 2. Eficiencia de </w:t>
      </w:r>
      <w:r>
        <w:rPr>
          <w:rFonts w:ascii="Times New Roman" w:hAnsi="Times New Roman" w:cs="Times New Roman"/>
          <w:b/>
          <w:bCs/>
          <w:lang w:val="es-PR"/>
        </w:rPr>
        <w:t>formación de placas</w:t>
      </w:r>
      <w:r w:rsidRPr="00540516">
        <w:rPr>
          <w:rFonts w:ascii="Times New Roman" w:hAnsi="Times New Roman" w:cs="Times New Roman"/>
          <w:b/>
          <w:bCs/>
          <w:lang w:val="es-PR"/>
        </w:rPr>
        <w:t xml:space="preserve"> de Evo2 y </w:t>
      </w:r>
      <w:r w:rsidRPr="00540516">
        <w:rPr>
          <w:rFonts w:ascii="Times New Roman" w:hAnsi="Times New Roman" w:cs="Times New Roman"/>
          <w:b/>
          <w:bCs/>
        </w:rPr>
        <w:t>Φ</w:t>
      </w:r>
      <w:r w:rsidRPr="00540516">
        <w:rPr>
          <w:rFonts w:ascii="Times New Roman" w:hAnsi="Times New Roman" w:cs="Times New Roman"/>
          <w:b/>
          <w:bCs/>
          <w:lang w:val="es-PR"/>
        </w:rPr>
        <w:t xml:space="preserve">Staph1N en cepas MW2 y LAC con </w:t>
      </w:r>
      <w:r>
        <w:rPr>
          <w:rFonts w:ascii="Times New Roman" w:hAnsi="Times New Roman" w:cs="Times New Roman"/>
          <w:b/>
          <w:bCs/>
          <w:lang w:val="es-PR"/>
        </w:rPr>
        <w:t>disrupciones en los genes</w:t>
      </w:r>
      <w:r w:rsidRPr="00540516">
        <w:rPr>
          <w:rFonts w:ascii="Times New Roman" w:hAnsi="Times New Roman" w:cs="Times New Roman"/>
          <w:b/>
          <w:bCs/>
          <w:lang w:val="es-PR"/>
        </w:rPr>
        <w:t xml:space="preserve"> </w:t>
      </w:r>
      <w:r w:rsidRPr="00540516">
        <w:rPr>
          <w:rFonts w:ascii="Times New Roman" w:hAnsi="Times New Roman" w:cs="Times New Roman"/>
          <w:b/>
          <w:bCs/>
          <w:i/>
          <w:iCs/>
          <w:lang w:val="es-PR"/>
        </w:rPr>
        <w:t xml:space="preserve">mgrA, arl </w:t>
      </w:r>
      <w:r w:rsidRPr="00540516">
        <w:rPr>
          <w:rFonts w:ascii="Times New Roman" w:hAnsi="Times New Roman" w:cs="Times New Roman"/>
          <w:b/>
          <w:bCs/>
          <w:lang w:val="es-PR"/>
        </w:rPr>
        <w:t>y</w:t>
      </w:r>
      <w:r w:rsidRPr="00540516">
        <w:rPr>
          <w:rFonts w:ascii="Times New Roman" w:hAnsi="Times New Roman" w:cs="Times New Roman"/>
          <w:b/>
          <w:bCs/>
          <w:i/>
          <w:iCs/>
          <w:lang w:val="es-PR"/>
        </w:rPr>
        <w:t xml:space="preserve"> sarA</w:t>
      </w:r>
      <w:r w:rsidRPr="00540516">
        <w:rPr>
          <w:rFonts w:ascii="Times New Roman" w:hAnsi="Times New Roman" w:cs="Times New Roman"/>
          <w:b/>
          <w:bCs/>
          <w:lang w:val="es-PR"/>
        </w:rPr>
        <w:t>.</w:t>
      </w:r>
    </w:p>
    <w:p w14:paraId="6962B6B0" w14:textId="77777777" w:rsidR="00540516" w:rsidRDefault="00540516" w:rsidP="00540516">
      <w:pPr>
        <w:pStyle w:val="NoSpacing"/>
        <w:rPr>
          <w:rFonts w:ascii="Times New Roman" w:hAnsi="Times New Roman" w:cs="Times New Roman"/>
          <w:b/>
          <w:bCs/>
          <w:lang w:val="es-PR"/>
        </w:rPr>
      </w:pPr>
    </w:p>
    <w:p w14:paraId="3A088E04" w14:textId="77777777" w:rsidR="00540516" w:rsidRDefault="00540516" w:rsidP="00540516">
      <w:pPr>
        <w:pStyle w:val="NoSpacing"/>
        <w:rPr>
          <w:rFonts w:ascii="Times New Roman" w:hAnsi="Times New Roman" w:cs="Times New Roman"/>
          <w:b/>
          <w:bCs/>
          <w:lang w:val="es-PR"/>
        </w:rPr>
      </w:pPr>
    </w:p>
    <w:p w14:paraId="4072413D" w14:textId="77777777" w:rsidR="00540516" w:rsidRDefault="00540516" w:rsidP="00540516">
      <w:pPr>
        <w:pStyle w:val="NoSpacing"/>
        <w:rPr>
          <w:rFonts w:ascii="Times New Roman" w:hAnsi="Times New Roman" w:cs="Times New Roman"/>
          <w:b/>
          <w:bCs/>
          <w:lang w:val="es-PR"/>
        </w:rPr>
      </w:pPr>
    </w:p>
    <w:p w14:paraId="28C09D0D" w14:textId="77777777" w:rsidR="00540516" w:rsidRDefault="00540516" w:rsidP="00540516">
      <w:pPr>
        <w:pStyle w:val="NoSpacing"/>
        <w:rPr>
          <w:rFonts w:ascii="Times New Roman" w:hAnsi="Times New Roman" w:cs="Times New Roman"/>
          <w:b/>
          <w:bCs/>
          <w:lang w:val="es-PR"/>
        </w:rPr>
      </w:pPr>
    </w:p>
    <w:p w14:paraId="4D6C28F7" w14:textId="77777777" w:rsidR="00540516" w:rsidRDefault="00540516" w:rsidP="00540516">
      <w:pPr>
        <w:pStyle w:val="NoSpacing"/>
        <w:rPr>
          <w:rFonts w:ascii="Times New Roman" w:hAnsi="Times New Roman" w:cs="Times New Roman"/>
          <w:b/>
          <w:bCs/>
          <w:lang w:val="es-PR"/>
        </w:rPr>
      </w:pPr>
    </w:p>
    <w:p w14:paraId="5CA7190C" w14:textId="1178D68D" w:rsidR="00540516" w:rsidRDefault="00540516" w:rsidP="00540516">
      <w:pPr>
        <w:pStyle w:val="NoSpacing"/>
        <w:rPr>
          <w:rFonts w:ascii="Times New Roman" w:hAnsi="Times New Roman" w:cs="Times New Roman"/>
          <w:b/>
          <w:bCs/>
          <w:lang w:val="es-PR"/>
        </w:rPr>
      </w:pPr>
      <w:r>
        <w:rPr>
          <w:rFonts w:ascii="Arial" w:hAnsi="Arial" w:cs="Arial"/>
          <w:noProof/>
          <w:color w:val="000000" w:themeColor="text1"/>
        </w:rPr>
        <w:lastRenderedPageBreak/>
        <w:drawing>
          <wp:inline distT="0" distB="0" distL="0" distR="0" wp14:anchorId="63CB95FE" wp14:editId="14462903">
            <wp:extent cx="3238500" cy="2324100"/>
            <wp:effectExtent l="0" t="0" r="0" b="0"/>
            <wp:docPr id="118000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00856" name="Picture 118000856"/>
                    <pic:cNvPicPr/>
                  </pic:nvPicPr>
                  <pic:blipFill>
                    <a:blip r:embed="rId18"/>
                    <a:stretch>
                      <a:fillRect/>
                    </a:stretch>
                  </pic:blipFill>
                  <pic:spPr>
                    <a:xfrm>
                      <a:off x="0" y="0"/>
                      <a:ext cx="3238500" cy="2324100"/>
                    </a:xfrm>
                    <a:prstGeom prst="rect">
                      <a:avLst/>
                    </a:prstGeom>
                  </pic:spPr>
                </pic:pic>
              </a:graphicData>
            </a:graphic>
          </wp:inline>
        </w:drawing>
      </w:r>
    </w:p>
    <w:p w14:paraId="2AF2A96A" w14:textId="26C87FED" w:rsidR="00540516" w:rsidRPr="00540516" w:rsidRDefault="00540516" w:rsidP="00540516">
      <w:pPr>
        <w:pStyle w:val="NoSpacing"/>
        <w:rPr>
          <w:rFonts w:ascii="Times New Roman" w:hAnsi="Times New Roman" w:cs="Times New Roman"/>
          <w:b/>
          <w:bCs/>
          <w:lang w:val="es-PR"/>
        </w:rPr>
      </w:pPr>
      <w:r w:rsidRPr="00540516">
        <w:rPr>
          <w:rFonts w:ascii="Times New Roman" w:hAnsi="Times New Roman" w:cs="Times New Roman"/>
          <w:b/>
          <w:bCs/>
          <w:lang w:val="es-ES"/>
        </w:rPr>
        <w:t>Figura 5 – figura suplementaria 1. Efecto de la infección por fagos en la formación de biopelículas en cepas de SARM.</w:t>
      </w:r>
      <w:r w:rsidRPr="00540516">
        <w:rPr>
          <w:rFonts w:ascii="Times New Roman" w:hAnsi="Times New Roman" w:cs="Times New Roman"/>
          <w:lang w:val="es-ES"/>
        </w:rPr>
        <w:t xml:space="preserve"> Los cultivos se infectaron con ΦStaph1N o Evo2. RP62a es una cepa de </w:t>
      </w:r>
      <w:r w:rsidRPr="00540516">
        <w:rPr>
          <w:rFonts w:ascii="Times New Roman" w:hAnsi="Times New Roman" w:cs="Times New Roman"/>
          <w:i/>
          <w:iCs/>
          <w:lang w:val="es-ES"/>
        </w:rPr>
        <w:t xml:space="preserve">S. </w:t>
      </w:r>
      <w:proofErr w:type="spellStart"/>
      <w:r w:rsidRPr="00540516">
        <w:rPr>
          <w:rFonts w:ascii="Times New Roman" w:hAnsi="Times New Roman" w:cs="Times New Roman"/>
          <w:i/>
          <w:iCs/>
          <w:lang w:val="es-ES"/>
        </w:rPr>
        <w:t>epidermidis</w:t>
      </w:r>
      <w:proofErr w:type="spellEnd"/>
      <w:r w:rsidRPr="00540516">
        <w:rPr>
          <w:rFonts w:ascii="Times New Roman" w:hAnsi="Times New Roman" w:cs="Times New Roman"/>
          <w:lang w:val="es-ES"/>
        </w:rPr>
        <w:t xml:space="preserve"> con capacidad conocida para formar biopelículas, mientras que LM1680 es un derivado de RP62a que ha perdido dicha capacidad.</w:t>
      </w:r>
      <w:r w:rsidRPr="00540516">
        <w:rPr>
          <w:rFonts w:ascii="Times New Roman" w:hAnsi="Times New Roman" w:cs="Times New Roman"/>
          <w:vertAlign w:val="superscript"/>
          <w:lang w:val="es-ES"/>
        </w:rPr>
        <w:t>71,72</w:t>
      </w:r>
      <w:r w:rsidRPr="00540516">
        <w:rPr>
          <w:rFonts w:ascii="Times New Roman" w:hAnsi="Times New Roman" w:cs="Times New Roman"/>
          <w:lang w:val="es-ES"/>
        </w:rPr>
        <w:t xml:space="preserve"> La biomasa de la biopelícula se evaluó mediante tinción con </w:t>
      </w:r>
      <w:r>
        <w:rPr>
          <w:rFonts w:ascii="Times New Roman" w:hAnsi="Times New Roman" w:cs="Times New Roman"/>
          <w:lang w:val="es-ES"/>
        </w:rPr>
        <w:t>Cristal Violeta</w:t>
      </w:r>
      <w:r w:rsidRPr="00540516">
        <w:rPr>
          <w:rFonts w:ascii="Times New Roman" w:hAnsi="Times New Roman" w:cs="Times New Roman"/>
          <w:lang w:val="es-ES"/>
        </w:rPr>
        <w:t xml:space="preserve">. El </w:t>
      </w:r>
      <w:r>
        <w:rPr>
          <w:rFonts w:ascii="Times New Roman" w:hAnsi="Times New Roman" w:cs="Times New Roman"/>
          <w:lang w:val="es-ES"/>
        </w:rPr>
        <w:t>Cristal Violeta</w:t>
      </w:r>
      <w:r w:rsidRPr="00540516">
        <w:rPr>
          <w:rFonts w:ascii="Times New Roman" w:hAnsi="Times New Roman" w:cs="Times New Roman"/>
          <w:lang w:val="es-ES"/>
        </w:rPr>
        <w:t xml:space="preserve"> solubilizado se cuantificó midiendo la absorbancia </w:t>
      </w:r>
      <w:r>
        <w:rPr>
          <w:rFonts w:ascii="Times New Roman" w:hAnsi="Times New Roman" w:cs="Times New Roman"/>
          <w:lang w:val="es-ES"/>
        </w:rPr>
        <w:t>en</w:t>
      </w:r>
      <w:r w:rsidRPr="00540516">
        <w:rPr>
          <w:rFonts w:ascii="Times New Roman" w:hAnsi="Times New Roman" w:cs="Times New Roman"/>
          <w:lang w:val="es-ES"/>
        </w:rPr>
        <w:t xml:space="preserve"> 600nm. Los valores representan promedios y desviaciones estándar de tres réplicas. La significancia estadística se determinó mediante una prueba t bilateral.</w:t>
      </w:r>
    </w:p>
    <w:p w14:paraId="1D121C13" w14:textId="77777777" w:rsidR="00540516" w:rsidRPr="00540516" w:rsidRDefault="00540516" w:rsidP="00540516">
      <w:pPr>
        <w:pStyle w:val="NoSpacing"/>
        <w:rPr>
          <w:rFonts w:ascii="Times New Roman" w:hAnsi="Times New Roman" w:cs="Times New Roman"/>
          <w:b/>
          <w:bCs/>
          <w:lang w:val="es-PR"/>
        </w:rPr>
      </w:pPr>
    </w:p>
    <w:p w14:paraId="2C66DB28" w14:textId="77777777" w:rsidR="00540516" w:rsidRPr="00540516" w:rsidRDefault="00540516" w:rsidP="00540516">
      <w:pPr>
        <w:pStyle w:val="NoSpacing"/>
        <w:rPr>
          <w:rFonts w:ascii="Times New Roman" w:hAnsi="Times New Roman" w:cs="Times New Roman"/>
          <w:lang w:val="es-PR"/>
        </w:rPr>
      </w:pPr>
    </w:p>
    <w:p w14:paraId="6BF65B53" w14:textId="3B9A2A56" w:rsidR="00E75CC3" w:rsidRDefault="00E75CC3">
      <w:pPr>
        <w:spacing w:after="160" w:line="278" w:lineRule="auto"/>
        <w:rPr>
          <w:rFonts w:eastAsiaTheme="minorHAnsi"/>
          <w:kern w:val="2"/>
          <w:lang w:val="es-PR"/>
          <w14:ligatures w14:val="standardContextual"/>
        </w:rPr>
      </w:pPr>
      <w:r>
        <w:rPr>
          <w:lang w:val="es-PR"/>
        </w:rPr>
        <w:br w:type="page"/>
      </w:r>
    </w:p>
    <w:p w14:paraId="2108251B" w14:textId="3C58F094" w:rsidR="005A6658" w:rsidRPr="005A6658" w:rsidRDefault="005A6658" w:rsidP="005A6658">
      <w:pPr>
        <w:pStyle w:val="Bibliography"/>
        <w:rPr>
          <w:b/>
          <w:bCs/>
          <w:u w:val="single"/>
        </w:rPr>
      </w:pPr>
      <w:proofErr w:type="spellStart"/>
      <w:r w:rsidRPr="005A6658">
        <w:rPr>
          <w:b/>
          <w:bCs/>
          <w:u w:val="single"/>
        </w:rPr>
        <w:lastRenderedPageBreak/>
        <w:t>Referencias</w:t>
      </w:r>
      <w:proofErr w:type="spellEnd"/>
    </w:p>
    <w:p w14:paraId="26F90F31" w14:textId="3D81362D" w:rsidR="005A6658" w:rsidRPr="005A6658" w:rsidRDefault="005A6658" w:rsidP="005A6658">
      <w:pPr>
        <w:pStyle w:val="Bibliography"/>
      </w:pPr>
      <w:r w:rsidRPr="005A6658">
        <w:rPr>
          <w:b/>
          <w:bCs/>
          <w:u w:val="single"/>
        </w:rPr>
        <w:fldChar w:fldCharType="begin"/>
      </w:r>
      <w:r w:rsidRPr="005A6658">
        <w:rPr>
          <w:b/>
          <w:bCs/>
          <w:u w:val="single"/>
        </w:rPr>
        <w:instrText xml:space="preserve"> ADDIN ZOTERO_BIBL {"uncited":[],"omitted":[],"custom":[]} CSL_BIBLIOGRAPHY </w:instrText>
      </w:r>
      <w:r w:rsidRPr="005A6658">
        <w:rPr>
          <w:b/>
          <w:bCs/>
          <w:u w:val="single"/>
        </w:rPr>
        <w:fldChar w:fldCharType="separate"/>
      </w:r>
      <w:r w:rsidRPr="005A6658">
        <w:t>1.</w:t>
      </w:r>
      <w:r w:rsidRPr="005A6658">
        <w:tab/>
        <w:t xml:space="preserve">Ippolito, G., Leone, S., Lauria, F. N., Nicastri, E. &amp; Wenzel, R. P. Methicillin-resistant Staphylococcus aureus: the superbug. </w:t>
      </w:r>
      <w:r w:rsidRPr="005A6658">
        <w:rPr>
          <w:i/>
          <w:iCs/>
        </w:rPr>
        <w:t>International Journal of Infectious Diseases</w:t>
      </w:r>
      <w:r w:rsidRPr="005A6658">
        <w:t xml:space="preserve"> </w:t>
      </w:r>
      <w:r w:rsidRPr="005A6658">
        <w:rPr>
          <w:b/>
          <w:bCs/>
        </w:rPr>
        <w:t>14</w:t>
      </w:r>
      <w:r w:rsidRPr="005A6658">
        <w:t>, S7–S11 (2010).</w:t>
      </w:r>
    </w:p>
    <w:p w14:paraId="3BC882B3" w14:textId="77777777" w:rsidR="005A6658" w:rsidRPr="005A6658" w:rsidRDefault="005A6658" w:rsidP="005A6658">
      <w:pPr>
        <w:pStyle w:val="Bibliography"/>
      </w:pPr>
      <w:r w:rsidRPr="005A6658">
        <w:t>2.</w:t>
      </w:r>
      <w:r w:rsidRPr="005A6658">
        <w:tab/>
        <w:t xml:space="preserve">Tomasz, A. The Mechanism of the Irreversible Antimicrobial Effects of </w:t>
      </w:r>
      <w:proofErr w:type="spellStart"/>
      <w:r w:rsidRPr="005A6658">
        <w:t>Penicillins</w:t>
      </w:r>
      <w:proofErr w:type="spellEnd"/>
      <w:r w:rsidRPr="005A6658">
        <w:t xml:space="preserve">: How the Beta-Lactam Antibiotics Kill and Lyse Bacteria. </w:t>
      </w:r>
      <w:r w:rsidRPr="005A6658">
        <w:rPr>
          <w:i/>
          <w:iCs/>
        </w:rPr>
        <w:t xml:space="preserve">Annu. Rev. </w:t>
      </w:r>
      <w:proofErr w:type="spellStart"/>
      <w:r w:rsidRPr="005A6658">
        <w:rPr>
          <w:i/>
          <w:iCs/>
        </w:rPr>
        <w:t>Microbiol</w:t>
      </w:r>
      <w:proofErr w:type="spellEnd"/>
      <w:r w:rsidRPr="005A6658">
        <w:rPr>
          <w:i/>
          <w:iCs/>
        </w:rPr>
        <w:t>.</w:t>
      </w:r>
      <w:r w:rsidRPr="005A6658">
        <w:t xml:space="preserve"> </w:t>
      </w:r>
      <w:r w:rsidRPr="005A6658">
        <w:rPr>
          <w:b/>
          <w:bCs/>
        </w:rPr>
        <w:t>33</w:t>
      </w:r>
      <w:r w:rsidRPr="005A6658">
        <w:t>, 113–137 (1979).</w:t>
      </w:r>
    </w:p>
    <w:p w14:paraId="164AD3D6" w14:textId="77777777" w:rsidR="005A6658" w:rsidRPr="005A6658" w:rsidRDefault="005A6658" w:rsidP="005A6658">
      <w:pPr>
        <w:pStyle w:val="Bibliography"/>
      </w:pPr>
      <w:r w:rsidRPr="005A6658">
        <w:t>3.</w:t>
      </w:r>
      <w:r w:rsidRPr="005A6658">
        <w:tab/>
        <w:t xml:space="preserve">World Health Organization. </w:t>
      </w:r>
      <w:r w:rsidRPr="005A6658">
        <w:rPr>
          <w:i/>
          <w:iCs/>
        </w:rPr>
        <w:t>Critically Important Antimicrobials for Human Medicine</w:t>
      </w:r>
      <w:r w:rsidRPr="005A6658">
        <w:t>. (World Health Organization, Geneva, 2019).</w:t>
      </w:r>
    </w:p>
    <w:p w14:paraId="4FAD852B" w14:textId="77777777" w:rsidR="005A6658" w:rsidRPr="005A6658" w:rsidRDefault="005A6658" w:rsidP="005A6658">
      <w:pPr>
        <w:pStyle w:val="Bibliography"/>
      </w:pPr>
      <w:r w:rsidRPr="005A6658">
        <w:t>4.</w:t>
      </w:r>
      <w:r w:rsidRPr="005A6658">
        <w:tab/>
        <w:t xml:space="preserve">Murray, C. J. L. </w:t>
      </w:r>
      <w:r w:rsidRPr="005A6658">
        <w:rPr>
          <w:i/>
          <w:iCs/>
        </w:rPr>
        <w:t>et al.</w:t>
      </w:r>
      <w:r w:rsidRPr="005A6658">
        <w:t xml:space="preserve"> Global burden of bacterial antimicrobial resistance in 2019: a systematic analysis. </w:t>
      </w:r>
      <w:r w:rsidRPr="005A6658">
        <w:rPr>
          <w:i/>
          <w:iCs/>
        </w:rPr>
        <w:t>The Lancet</w:t>
      </w:r>
      <w:r w:rsidRPr="005A6658">
        <w:t xml:space="preserve"> </w:t>
      </w:r>
      <w:r w:rsidRPr="005A6658">
        <w:rPr>
          <w:b/>
          <w:bCs/>
        </w:rPr>
        <w:t>399</w:t>
      </w:r>
      <w:r w:rsidRPr="005A6658">
        <w:t>, 629–655 (2022).</w:t>
      </w:r>
    </w:p>
    <w:p w14:paraId="4EDAA6F3" w14:textId="77777777" w:rsidR="005A6658" w:rsidRPr="005A6658" w:rsidRDefault="005A6658" w:rsidP="005A6658">
      <w:pPr>
        <w:pStyle w:val="Bibliography"/>
      </w:pPr>
      <w:r w:rsidRPr="005A6658">
        <w:t>5.</w:t>
      </w:r>
      <w:r w:rsidRPr="005A6658">
        <w:tab/>
      </w:r>
      <w:proofErr w:type="spellStart"/>
      <w:r w:rsidRPr="005A6658">
        <w:t>Zapun</w:t>
      </w:r>
      <w:proofErr w:type="spellEnd"/>
      <w:r w:rsidRPr="005A6658">
        <w:t xml:space="preserve">, A., Contreras-Martel, C. &amp; Vernet, T. Penicillin-binding proteins and β-lactam resistance. </w:t>
      </w:r>
      <w:r w:rsidRPr="005A6658">
        <w:rPr>
          <w:i/>
          <w:iCs/>
        </w:rPr>
        <w:t xml:space="preserve">FEMS </w:t>
      </w:r>
      <w:proofErr w:type="spellStart"/>
      <w:r w:rsidRPr="005A6658">
        <w:rPr>
          <w:i/>
          <w:iCs/>
        </w:rPr>
        <w:t>Microbiol</w:t>
      </w:r>
      <w:proofErr w:type="spellEnd"/>
      <w:r w:rsidRPr="005A6658">
        <w:rPr>
          <w:i/>
          <w:iCs/>
        </w:rPr>
        <w:t xml:space="preserve"> Rev</w:t>
      </w:r>
      <w:r w:rsidRPr="005A6658">
        <w:t xml:space="preserve"> </w:t>
      </w:r>
      <w:r w:rsidRPr="005A6658">
        <w:rPr>
          <w:b/>
          <w:bCs/>
        </w:rPr>
        <w:t>32</w:t>
      </w:r>
      <w:r w:rsidRPr="005A6658">
        <w:t>, 361–385 (2008).</w:t>
      </w:r>
    </w:p>
    <w:p w14:paraId="35439A6F" w14:textId="77777777" w:rsidR="005A6658" w:rsidRPr="005A6658" w:rsidRDefault="005A6658" w:rsidP="005A6658">
      <w:pPr>
        <w:pStyle w:val="Bibliography"/>
      </w:pPr>
      <w:r w:rsidRPr="005A6658">
        <w:t>6.</w:t>
      </w:r>
      <w:r w:rsidRPr="005A6658">
        <w:tab/>
        <w:t xml:space="preserve">Liu, C. </w:t>
      </w:r>
      <w:r w:rsidRPr="005A6658">
        <w:rPr>
          <w:i/>
          <w:iCs/>
        </w:rPr>
        <w:t>et al.</w:t>
      </w:r>
      <w:r w:rsidRPr="005A6658">
        <w:t xml:space="preserve"> Clinical Practice Guidelines by the Infectious Diseases Society of America for the Treatment of Methicillin-Resistant Staphylococcus aureus Infections in Adults and Children. </w:t>
      </w:r>
      <w:r w:rsidRPr="005A6658">
        <w:rPr>
          <w:i/>
          <w:iCs/>
        </w:rPr>
        <w:t>Clinical Infectious Diseases</w:t>
      </w:r>
      <w:r w:rsidRPr="005A6658">
        <w:t xml:space="preserve"> </w:t>
      </w:r>
      <w:r w:rsidRPr="005A6658">
        <w:rPr>
          <w:b/>
          <w:bCs/>
        </w:rPr>
        <w:t>52</w:t>
      </w:r>
      <w:r w:rsidRPr="005A6658">
        <w:t>, e18–e55 (2011).</w:t>
      </w:r>
    </w:p>
    <w:p w14:paraId="7D886C36" w14:textId="77777777" w:rsidR="005A6658" w:rsidRPr="005A6658" w:rsidRDefault="005A6658" w:rsidP="005A6658">
      <w:pPr>
        <w:pStyle w:val="Bibliography"/>
      </w:pPr>
      <w:r w:rsidRPr="005A6658">
        <w:t>7.</w:t>
      </w:r>
      <w:r w:rsidRPr="005A6658">
        <w:tab/>
        <w:t xml:space="preserve">Turner, N. A. </w:t>
      </w:r>
      <w:r w:rsidRPr="005A6658">
        <w:rPr>
          <w:i/>
          <w:iCs/>
        </w:rPr>
        <w:t>et al.</w:t>
      </w:r>
      <w:r w:rsidRPr="005A6658">
        <w:t xml:space="preserve"> Methicillin-resistant Staphylococcus aureus: an overview of basic and clinical research. </w:t>
      </w:r>
      <w:r w:rsidRPr="005A6658">
        <w:rPr>
          <w:i/>
          <w:iCs/>
        </w:rPr>
        <w:t xml:space="preserve">Nat Rev </w:t>
      </w:r>
      <w:proofErr w:type="spellStart"/>
      <w:r w:rsidRPr="005A6658">
        <w:rPr>
          <w:i/>
          <w:iCs/>
        </w:rPr>
        <w:t>Microbiol</w:t>
      </w:r>
      <w:proofErr w:type="spellEnd"/>
      <w:r w:rsidRPr="005A6658">
        <w:t xml:space="preserve"> </w:t>
      </w:r>
      <w:r w:rsidRPr="005A6658">
        <w:rPr>
          <w:b/>
          <w:bCs/>
        </w:rPr>
        <w:t>17</w:t>
      </w:r>
      <w:r w:rsidRPr="005A6658">
        <w:t>, 203–218 (2019).</w:t>
      </w:r>
    </w:p>
    <w:p w14:paraId="75AC564A" w14:textId="77777777" w:rsidR="005A6658" w:rsidRPr="005A6658" w:rsidRDefault="005A6658" w:rsidP="005A6658">
      <w:pPr>
        <w:pStyle w:val="Bibliography"/>
      </w:pPr>
      <w:r w:rsidRPr="005A6658">
        <w:t>8.</w:t>
      </w:r>
      <w:r w:rsidRPr="005A6658">
        <w:tab/>
        <w:t xml:space="preserve">Barros, E. M. </w:t>
      </w:r>
      <w:r w:rsidRPr="005A6658">
        <w:rPr>
          <w:i/>
          <w:iCs/>
        </w:rPr>
        <w:t>et al.</w:t>
      </w:r>
      <w:r w:rsidRPr="005A6658">
        <w:t xml:space="preserve"> Daptomycin Resistance and Tolerance Due to Loss of Function in Staphylococcus aureus </w:t>
      </w:r>
      <w:r w:rsidRPr="005A6658">
        <w:rPr>
          <w:i/>
          <w:iCs/>
        </w:rPr>
        <w:t>dsp1</w:t>
      </w:r>
      <w:r w:rsidRPr="005A6658">
        <w:t xml:space="preserve"> and </w:t>
      </w:r>
      <w:r w:rsidRPr="005A6658">
        <w:rPr>
          <w:i/>
          <w:iCs/>
        </w:rPr>
        <w:t>asp23</w:t>
      </w:r>
      <w:r w:rsidRPr="005A6658">
        <w:t xml:space="preserve">. </w:t>
      </w:r>
      <w:proofErr w:type="spellStart"/>
      <w:r w:rsidRPr="005A6658">
        <w:rPr>
          <w:i/>
          <w:iCs/>
        </w:rPr>
        <w:t>Antimicrob</w:t>
      </w:r>
      <w:proofErr w:type="spellEnd"/>
      <w:r w:rsidRPr="005A6658">
        <w:rPr>
          <w:i/>
          <w:iCs/>
        </w:rPr>
        <w:t xml:space="preserve"> Agents </w:t>
      </w:r>
      <w:proofErr w:type="spellStart"/>
      <w:r w:rsidRPr="005A6658">
        <w:rPr>
          <w:i/>
          <w:iCs/>
        </w:rPr>
        <w:t>Chemother</w:t>
      </w:r>
      <w:proofErr w:type="spellEnd"/>
      <w:r w:rsidRPr="005A6658">
        <w:t xml:space="preserve"> </w:t>
      </w:r>
      <w:r w:rsidRPr="005A6658">
        <w:rPr>
          <w:b/>
          <w:bCs/>
        </w:rPr>
        <w:t>63</w:t>
      </w:r>
      <w:r w:rsidRPr="005A6658">
        <w:t>, e01542-18 (2019).</w:t>
      </w:r>
    </w:p>
    <w:p w14:paraId="6F774CB1" w14:textId="77777777" w:rsidR="005A6658" w:rsidRPr="005A6658" w:rsidRDefault="005A6658" w:rsidP="005A6658">
      <w:pPr>
        <w:pStyle w:val="Bibliography"/>
      </w:pPr>
      <w:r w:rsidRPr="005A6658">
        <w:t>9.</w:t>
      </w:r>
      <w:r w:rsidRPr="005A6658">
        <w:tab/>
        <w:t xml:space="preserve">Suttle, S. W. Viruses and Nutrient Cycles in the Sea. </w:t>
      </w:r>
      <w:r w:rsidRPr="005A6658">
        <w:rPr>
          <w:b/>
          <w:bCs/>
        </w:rPr>
        <w:t>49</w:t>
      </w:r>
      <w:r w:rsidRPr="005A6658">
        <w:t>, (1999).</w:t>
      </w:r>
    </w:p>
    <w:p w14:paraId="4EC60D39" w14:textId="77777777" w:rsidR="005A6658" w:rsidRPr="005A6658" w:rsidRDefault="005A6658" w:rsidP="005A6658">
      <w:pPr>
        <w:pStyle w:val="Bibliography"/>
      </w:pPr>
      <w:r w:rsidRPr="005A6658">
        <w:t>10.</w:t>
      </w:r>
      <w:r w:rsidRPr="005A6658">
        <w:tab/>
        <w:t xml:space="preserve">Kortright, K. E., Chan, B. K., Koff, J. L. &amp; Turner, P. E. Phage Therapy: A Renewed Approach to Combat Antibiotic-Resistant Bacteria. </w:t>
      </w:r>
      <w:r w:rsidRPr="005A6658">
        <w:rPr>
          <w:i/>
          <w:iCs/>
        </w:rPr>
        <w:t>Cell Host &amp; Microbe</w:t>
      </w:r>
      <w:r w:rsidRPr="005A6658">
        <w:t xml:space="preserve"> </w:t>
      </w:r>
      <w:r w:rsidRPr="005A6658">
        <w:rPr>
          <w:b/>
          <w:bCs/>
        </w:rPr>
        <w:t>25</w:t>
      </w:r>
      <w:r w:rsidRPr="005A6658">
        <w:t>, 219–232 (2019).</w:t>
      </w:r>
    </w:p>
    <w:p w14:paraId="1EF62557" w14:textId="77777777" w:rsidR="005A6658" w:rsidRPr="005A6658" w:rsidRDefault="005A6658" w:rsidP="005A6658">
      <w:pPr>
        <w:pStyle w:val="Bibliography"/>
      </w:pPr>
      <w:r w:rsidRPr="005A6658">
        <w:t>11.</w:t>
      </w:r>
      <w:r w:rsidRPr="005A6658">
        <w:tab/>
        <w:t xml:space="preserve">Hatoum-Aslan, A. The phages of staphylococci: critical catalysts in health and disease. </w:t>
      </w:r>
      <w:r w:rsidRPr="005A6658">
        <w:rPr>
          <w:i/>
          <w:iCs/>
        </w:rPr>
        <w:t>Trends in Microbiology</w:t>
      </w:r>
      <w:r w:rsidRPr="005A6658">
        <w:t xml:space="preserve"> </w:t>
      </w:r>
      <w:r w:rsidRPr="005A6658">
        <w:rPr>
          <w:b/>
          <w:bCs/>
        </w:rPr>
        <w:t>29</w:t>
      </w:r>
      <w:r w:rsidRPr="005A6658">
        <w:t>, 1117–1129 (2021).</w:t>
      </w:r>
    </w:p>
    <w:p w14:paraId="64034814" w14:textId="77777777" w:rsidR="005A6658" w:rsidRPr="005A6658" w:rsidRDefault="005A6658" w:rsidP="005A6658">
      <w:pPr>
        <w:pStyle w:val="Bibliography"/>
      </w:pPr>
      <w:r w:rsidRPr="005A6658">
        <w:t>12.</w:t>
      </w:r>
      <w:r w:rsidRPr="005A6658">
        <w:tab/>
      </w:r>
      <w:proofErr w:type="spellStart"/>
      <w:r w:rsidRPr="005A6658">
        <w:t>Oechslin</w:t>
      </w:r>
      <w:proofErr w:type="spellEnd"/>
      <w:r w:rsidRPr="005A6658">
        <w:t xml:space="preserve">, F. Resistance Development to Bacteriophages Occurring during Bacteriophage Therapy. </w:t>
      </w:r>
      <w:r w:rsidRPr="005A6658">
        <w:rPr>
          <w:i/>
          <w:iCs/>
        </w:rPr>
        <w:t>Viruses</w:t>
      </w:r>
      <w:r w:rsidRPr="005A6658">
        <w:t xml:space="preserve"> </w:t>
      </w:r>
      <w:r w:rsidRPr="005A6658">
        <w:rPr>
          <w:b/>
          <w:bCs/>
        </w:rPr>
        <w:t>10</w:t>
      </w:r>
      <w:r w:rsidRPr="005A6658">
        <w:t>, 351 (2018).</w:t>
      </w:r>
    </w:p>
    <w:p w14:paraId="6CF1206C" w14:textId="77777777" w:rsidR="005A6658" w:rsidRPr="005A6658" w:rsidRDefault="005A6658" w:rsidP="005A6658">
      <w:pPr>
        <w:pStyle w:val="Bibliography"/>
      </w:pPr>
      <w:r w:rsidRPr="005A6658">
        <w:t>13.</w:t>
      </w:r>
      <w:r w:rsidRPr="005A6658">
        <w:tab/>
        <w:t xml:space="preserve">Azam, A. H. &amp; Tanji, Y. Peculiarities of Staphylococcus aureus phages and their possible application in phage therapy. </w:t>
      </w:r>
      <w:r w:rsidRPr="005A6658">
        <w:rPr>
          <w:i/>
          <w:iCs/>
        </w:rPr>
        <w:t xml:space="preserve">Appl </w:t>
      </w:r>
      <w:proofErr w:type="spellStart"/>
      <w:r w:rsidRPr="005A6658">
        <w:rPr>
          <w:i/>
          <w:iCs/>
        </w:rPr>
        <w:t>Microbiol</w:t>
      </w:r>
      <w:proofErr w:type="spellEnd"/>
      <w:r w:rsidRPr="005A6658">
        <w:rPr>
          <w:i/>
          <w:iCs/>
        </w:rPr>
        <w:t xml:space="preserve"> </w:t>
      </w:r>
      <w:proofErr w:type="spellStart"/>
      <w:r w:rsidRPr="005A6658">
        <w:rPr>
          <w:i/>
          <w:iCs/>
        </w:rPr>
        <w:t>Biotechnol</w:t>
      </w:r>
      <w:proofErr w:type="spellEnd"/>
      <w:r w:rsidRPr="005A6658">
        <w:t xml:space="preserve"> </w:t>
      </w:r>
      <w:r w:rsidRPr="005A6658">
        <w:rPr>
          <w:b/>
          <w:bCs/>
        </w:rPr>
        <w:t>103</w:t>
      </w:r>
      <w:r w:rsidRPr="005A6658">
        <w:t>, 4279–4289 (2019).</w:t>
      </w:r>
    </w:p>
    <w:p w14:paraId="7975C46B" w14:textId="77777777" w:rsidR="005A6658" w:rsidRPr="005A6658" w:rsidRDefault="005A6658" w:rsidP="005A6658">
      <w:pPr>
        <w:pStyle w:val="Bibliography"/>
      </w:pPr>
      <w:r w:rsidRPr="005A6658">
        <w:t>14.</w:t>
      </w:r>
      <w:r w:rsidRPr="005A6658">
        <w:tab/>
        <w:t xml:space="preserve">Gerlach, D. </w:t>
      </w:r>
      <w:r w:rsidRPr="005A6658">
        <w:rPr>
          <w:i/>
          <w:iCs/>
        </w:rPr>
        <w:t>et al.</w:t>
      </w:r>
      <w:r w:rsidRPr="005A6658">
        <w:t xml:space="preserve"> Methicillin-resistant Staphylococcus aureus alters cell wall glycosylation to evade immunity. </w:t>
      </w:r>
      <w:r w:rsidRPr="005A6658">
        <w:rPr>
          <w:i/>
          <w:iCs/>
        </w:rPr>
        <w:t>Nature</w:t>
      </w:r>
      <w:r w:rsidRPr="005A6658">
        <w:t xml:space="preserve"> </w:t>
      </w:r>
      <w:r w:rsidRPr="005A6658">
        <w:rPr>
          <w:b/>
          <w:bCs/>
        </w:rPr>
        <w:t>563</w:t>
      </w:r>
      <w:r w:rsidRPr="005A6658">
        <w:t>, 705–709 (2018).</w:t>
      </w:r>
    </w:p>
    <w:p w14:paraId="35FD405F" w14:textId="77777777" w:rsidR="005A6658" w:rsidRPr="005A6658" w:rsidRDefault="005A6658" w:rsidP="005A6658">
      <w:pPr>
        <w:pStyle w:val="Bibliography"/>
      </w:pPr>
      <w:r w:rsidRPr="005A6658">
        <w:t>15.</w:t>
      </w:r>
      <w:r w:rsidRPr="005A6658">
        <w:tab/>
        <w:t xml:space="preserve">Meyer, J. R. </w:t>
      </w:r>
      <w:r w:rsidRPr="005A6658">
        <w:rPr>
          <w:i/>
          <w:iCs/>
        </w:rPr>
        <w:t>et al.</w:t>
      </w:r>
      <w:r w:rsidRPr="005A6658">
        <w:t xml:space="preserve"> Repeatability and Contingency in the Evolution of a Key Innovation in Phage Lambda. </w:t>
      </w:r>
      <w:r w:rsidRPr="005A6658">
        <w:rPr>
          <w:i/>
          <w:iCs/>
        </w:rPr>
        <w:t>Science</w:t>
      </w:r>
      <w:r w:rsidRPr="005A6658">
        <w:t xml:space="preserve"> </w:t>
      </w:r>
      <w:r w:rsidRPr="005A6658">
        <w:rPr>
          <w:b/>
          <w:bCs/>
        </w:rPr>
        <w:t>335</w:t>
      </w:r>
      <w:r w:rsidRPr="005A6658">
        <w:t>, 428–432 (2012).</w:t>
      </w:r>
    </w:p>
    <w:p w14:paraId="4F9B4DF5" w14:textId="77777777" w:rsidR="005A6658" w:rsidRPr="005A6658" w:rsidRDefault="005A6658" w:rsidP="005A6658">
      <w:pPr>
        <w:pStyle w:val="Bibliography"/>
      </w:pPr>
      <w:r w:rsidRPr="005A6658">
        <w:t>16.</w:t>
      </w:r>
      <w:r w:rsidRPr="005A6658">
        <w:tab/>
        <w:t xml:space="preserve">Bernheim, A. &amp; Sorek, R. The pan-immune system of bacteria: antiviral </w:t>
      </w:r>
      <w:proofErr w:type="spellStart"/>
      <w:r w:rsidRPr="005A6658">
        <w:t>defence</w:t>
      </w:r>
      <w:proofErr w:type="spellEnd"/>
      <w:r w:rsidRPr="005A6658">
        <w:t xml:space="preserve"> as a community resource. </w:t>
      </w:r>
      <w:r w:rsidRPr="005A6658">
        <w:rPr>
          <w:i/>
          <w:iCs/>
        </w:rPr>
        <w:t xml:space="preserve">Nat Rev </w:t>
      </w:r>
      <w:proofErr w:type="spellStart"/>
      <w:r w:rsidRPr="005A6658">
        <w:rPr>
          <w:i/>
          <w:iCs/>
        </w:rPr>
        <w:t>Microbiol</w:t>
      </w:r>
      <w:proofErr w:type="spellEnd"/>
      <w:r w:rsidRPr="005A6658">
        <w:t xml:space="preserve"> </w:t>
      </w:r>
      <w:r w:rsidRPr="005A6658">
        <w:rPr>
          <w:b/>
          <w:bCs/>
        </w:rPr>
        <w:t>18</w:t>
      </w:r>
      <w:r w:rsidRPr="005A6658">
        <w:t>, 113–119 (2020).</w:t>
      </w:r>
    </w:p>
    <w:p w14:paraId="140A9ADB" w14:textId="77777777" w:rsidR="005A6658" w:rsidRPr="005A6658" w:rsidRDefault="005A6658" w:rsidP="005A6658">
      <w:pPr>
        <w:pStyle w:val="Bibliography"/>
      </w:pPr>
      <w:r w:rsidRPr="005A6658">
        <w:t>17.</w:t>
      </w:r>
      <w:r w:rsidRPr="005A6658">
        <w:tab/>
        <w:t xml:space="preserve">Maynard, N. D. </w:t>
      </w:r>
      <w:r w:rsidRPr="005A6658">
        <w:rPr>
          <w:i/>
          <w:iCs/>
        </w:rPr>
        <w:t>et al.</w:t>
      </w:r>
      <w:r w:rsidRPr="005A6658">
        <w:t xml:space="preserve"> A Forward-Genetic Screen and Dynamic Analysis of Lambda Phage Host-Dependencies Reveals an Extensive Interaction Network and a New Anti-Viral Strategy. </w:t>
      </w:r>
      <w:proofErr w:type="spellStart"/>
      <w:r w:rsidRPr="005A6658">
        <w:rPr>
          <w:i/>
          <w:iCs/>
        </w:rPr>
        <w:t>PLoS</w:t>
      </w:r>
      <w:proofErr w:type="spellEnd"/>
      <w:r w:rsidRPr="005A6658">
        <w:rPr>
          <w:i/>
          <w:iCs/>
        </w:rPr>
        <w:t xml:space="preserve"> Genet</w:t>
      </w:r>
      <w:r w:rsidRPr="005A6658">
        <w:t xml:space="preserve"> </w:t>
      </w:r>
      <w:r w:rsidRPr="005A6658">
        <w:rPr>
          <w:b/>
          <w:bCs/>
        </w:rPr>
        <w:t>6</w:t>
      </w:r>
      <w:r w:rsidRPr="005A6658">
        <w:t>, e1001017 (2010).</w:t>
      </w:r>
    </w:p>
    <w:p w14:paraId="75E377C8" w14:textId="77777777" w:rsidR="005A6658" w:rsidRPr="005A6658" w:rsidRDefault="005A6658" w:rsidP="005A6658">
      <w:pPr>
        <w:pStyle w:val="Bibliography"/>
      </w:pPr>
      <w:r w:rsidRPr="005A6658">
        <w:t>18.</w:t>
      </w:r>
      <w:r w:rsidRPr="005A6658">
        <w:tab/>
      </w:r>
      <w:proofErr w:type="spellStart"/>
      <w:r w:rsidRPr="005A6658">
        <w:t>Oromí</w:t>
      </w:r>
      <w:proofErr w:type="spellEnd"/>
      <w:r w:rsidRPr="005A6658">
        <w:t xml:space="preserve">-Bosch, A., Antani, J. D. &amp; Turner, P. E. Developing Phage Therapy That Overcomes the Evolution of Bacterial Resistance. </w:t>
      </w:r>
      <w:r w:rsidRPr="005A6658">
        <w:rPr>
          <w:i/>
          <w:iCs/>
        </w:rPr>
        <w:t xml:space="preserve">Annu. Rev. </w:t>
      </w:r>
      <w:proofErr w:type="spellStart"/>
      <w:r w:rsidRPr="005A6658">
        <w:rPr>
          <w:i/>
          <w:iCs/>
        </w:rPr>
        <w:t>Virol</w:t>
      </w:r>
      <w:proofErr w:type="spellEnd"/>
      <w:r w:rsidRPr="005A6658">
        <w:rPr>
          <w:i/>
          <w:iCs/>
        </w:rPr>
        <w:t>.</w:t>
      </w:r>
      <w:r w:rsidRPr="005A6658">
        <w:t xml:space="preserve"> </w:t>
      </w:r>
      <w:r w:rsidRPr="005A6658">
        <w:rPr>
          <w:b/>
          <w:bCs/>
        </w:rPr>
        <w:t>10</w:t>
      </w:r>
      <w:r w:rsidRPr="005A6658">
        <w:t>, 503–524 (2023).</w:t>
      </w:r>
    </w:p>
    <w:p w14:paraId="327724A6" w14:textId="77777777" w:rsidR="005A6658" w:rsidRPr="005A6658" w:rsidRDefault="005A6658" w:rsidP="005A6658">
      <w:pPr>
        <w:pStyle w:val="Bibliography"/>
      </w:pPr>
      <w:r w:rsidRPr="005A6658">
        <w:t>19.</w:t>
      </w:r>
      <w:r w:rsidRPr="005A6658">
        <w:tab/>
        <w:t xml:space="preserve">Chan, B. K. </w:t>
      </w:r>
      <w:r w:rsidRPr="005A6658">
        <w:rPr>
          <w:i/>
          <w:iCs/>
        </w:rPr>
        <w:t>et al.</w:t>
      </w:r>
      <w:r w:rsidRPr="005A6658">
        <w:t xml:space="preserve"> Phage selection restores antibiotic sensitivity in MDR Pseudomonas aeruginosa. </w:t>
      </w:r>
      <w:r w:rsidRPr="005A6658">
        <w:rPr>
          <w:i/>
          <w:iCs/>
        </w:rPr>
        <w:t>Sci Rep</w:t>
      </w:r>
      <w:r w:rsidRPr="005A6658">
        <w:t xml:space="preserve"> </w:t>
      </w:r>
      <w:r w:rsidRPr="005A6658">
        <w:rPr>
          <w:b/>
          <w:bCs/>
        </w:rPr>
        <w:t>6</w:t>
      </w:r>
      <w:r w:rsidRPr="005A6658">
        <w:t>, 26717 (2016).</w:t>
      </w:r>
    </w:p>
    <w:p w14:paraId="1FC5CAD9" w14:textId="77777777" w:rsidR="005A6658" w:rsidRPr="005A6658" w:rsidRDefault="005A6658" w:rsidP="005A6658">
      <w:pPr>
        <w:pStyle w:val="Bibliography"/>
      </w:pPr>
      <w:r w:rsidRPr="005A6658">
        <w:t>20.</w:t>
      </w:r>
      <w:r w:rsidRPr="005A6658">
        <w:tab/>
        <w:t xml:space="preserve">Berryhill, B. A., Huseby, D. L., McCall, I. C., Hughes, D. &amp; Levin, B. R. Evaluating the potential efficacy and limitations of a phage for joint antibiotic and phage therapy of </w:t>
      </w:r>
      <w:r w:rsidRPr="005A6658">
        <w:rPr>
          <w:i/>
          <w:iCs/>
        </w:rPr>
        <w:t>Staphylococcus aureus</w:t>
      </w:r>
      <w:r w:rsidRPr="005A6658">
        <w:t xml:space="preserve"> infections. </w:t>
      </w:r>
      <w:r w:rsidRPr="005A6658">
        <w:rPr>
          <w:i/>
          <w:iCs/>
        </w:rPr>
        <w:t>Proc. Natl. Acad. Sci. U.S.A.</w:t>
      </w:r>
      <w:r w:rsidRPr="005A6658">
        <w:t xml:space="preserve"> </w:t>
      </w:r>
      <w:r w:rsidRPr="005A6658">
        <w:rPr>
          <w:b/>
          <w:bCs/>
        </w:rPr>
        <w:t>118</w:t>
      </w:r>
      <w:r w:rsidRPr="005A6658">
        <w:t>, e2008007118 (2021).</w:t>
      </w:r>
    </w:p>
    <w:p w14:paraId="0203B8CF" w14:textId="77777777" w:rsidR="005A6658" w:rsidRPr="005A6658" w:rsidRDefault="005A6658" w:rsidP="005A6658">
      <w:pPr>
        <w:pStyle w:val="Bibliography"/>
      </w:pPr>
      <w:r w:rsidRPr="005A6658">
        <w:t>21.</w:t>
      </w:r>
      <w:r w:rsidRPr="005A6658">
        <w:tab/>
        <w:t xml:space="preserve">Xia, G. &amp; Wolz, C. Phages of Staphylococcus aureus and their impact on host evolution. </w:t>
      </w:r>
      <w:r w:rsidRPr="005A6658">
        <w:rPr>
          <w:i/>
          <w:iCs/>
        </w:rPr>
        <w:t>Infection, Genetics and Evolution</w:t>
      </w:r>
      <w:r w:rsidRPr="005A6658">
        <w:t xml:space="preserve"> </w:t>
      </w:r>
      <w:r w:rsidRPr="005A6658">
        <w:rPr>
          <w:b/>
          <w:bCs/>
        </w:rPr>
        <w:t>21</w:t>
      </w:r>
      <w:r w:rsidRPr="005A6658">
        <w:t>, 593–601 (2014).</w:t>
      </w:r>
    </w:p>
    <w:p w14:paraId="63D585BC" w14:textId="77777777" w:rsidR="005A6658" w:rsidRPr="005A6658" w:rsidRDefault="005A6658" w:rsidP="005A6658">
      <w:pPr>
        <w:pStyle w:val="Bibliography"/>
      </w:pPr>
      <w:r w:rsidRPr="005A6658">
        <w:lastRenderedPageBreak/>
        <w:t>22.</w:t>
      </w:r>
      <w:r w:rsidRPr="005A6658">
        <w:tab/>
      </w:r>
      <w:proofErr w:type="spellStart"/>
      <w:r w:rsidRPr="005A6658">
        <w:t>Voyich</w:t>
      </w:r>
      <w:proofErr w:type="spellEnd"/>
      <w:r w:rsidRPr="005A6658">
        <w:t xml:space="preserve">, J. M. </w:t>
      </w:r>
      <w:r w:rsidRPr="005A6658">
        <w:rPr>
          <w:i/>
          <w:iCs/>
        </w:rPr>
        <w:t>et al.</w:t>
      </w:r>
      <w:r w:rsidRPr="005A6658">
        <w:t xml:space="preserve"> Insights into Mechanisms Used by </w:t>
      </w:r>
      <w:r w:rsidRPr="005A6658">
        <w:rPr>
          <w:i/>
          <w:iCs/>
        </w:rPr>
        <w:t>Staphylococcus aureus</w:t>
      </w:r>
      <w:r w:rsidRPr="005A6658">
        <w:t xml:space="preserve"> to Avoid Destruction by Human Neutrophils. </w:t>
      </w:r>
      <w:r w:rsidRPr="005A6658">
        <w:rPr>
          <w:i/>
          <w:iCs/>
        </w:rPr>
        <w:t>The Journal of Immunology</w:t>
      </w:r>
      <w:r w:rsidRPr="005A6658">
        <w:t xml:space="preserve"> </w:t>
      </w:r>
      <w:r w:rsidRPr="005A6658">
        <w:rPr>
          <w:b/>
          <w:bCs/>
        </w:rPr>
        <w:t>175</w:t>
      </w:r>
      <w:r w:rsidRPr="005A6658">
        <w:t>, 3907–3919 (2005).</w:t>
      </w:r>
    </w:p>
    <w:p w14:paraId="11786168" w14:textId="77777777" w:rsidR="005A6658" w:rsidRPr="005A6658" w:rsidRDefault="005A6658" w:rsidP="005A6658">
      <w:pPr>
        <w:pStyle w:val="Bibliography"/>
      </w:pPr>
      <w:r w:rsidRPr="005A6658">
        <w:t>23.</w:t>
      </w:r>
      <w:r w:rsidRPr="005A6658">
        <w:tab/>
        <w:t xml:space="preserve">Holden, M. T. G. </w:t>
      </w:r>
      <w:r w:rsidRPr="005A6658">
        <w:rPr>
          <w:i/>
          <w:iCs/>
        </w:rPr>
        <w:t>et al.</w:t>
      </w:r>
      <w:r w:rsidRPr="005A6658">
        <w:t xml:space="preserve"> Complete genomes of two clinical </w:t>
      </w:r>
      <w:r w:rsidRPr="005A6658">
        <w:rPr>
          <w:i/>
          <w:iCs/>
        </w:rPr>
        <w:t>Staphylococcus aureus</w:t>
      </w:r>
      <w:r w:rsidRPr="005A6658">
        <w:t xml:space="preserve"> strains: Evidence for the rapid evolution of virulence and drug resistance. </w:t>
      </w:r>
      <w:r w:rsidRPr="005A6658">
        <w:rPr>
          <w:i/>
          <w:iCs/>
        </w:rPr>
        <w:t>Proc. Natl. Acad. Sci. U.S.A.</w:t>
      </w:r>
      <w:r w:rsidRPr="005A6658">
        <w:t xml:space="preserve"> </w:t>
      </w:r>
      <w:r w:rsidRPr="005A6658">
        <w:rPr>
          <w:b/>
          <w:bCs/>
        </w:rPr>
        <w:t>101</w:t>
      </w:r>
      <w:r w:rsidRPr="005A6658">
        <w:t>, 9786–9791 (2004).</w:t>
      </w:r>
    </w:p>
    <w:p w14:paraId="523D90AC" w14:textId="77777777" w:rsidR="005A6658" w:rsidRPr="005A6658" w:rsidRDefault="005A6658" w:rsidP="005A6658">
      <w:pPr>
        <w:pStyle w:val="Bibliography"/>
      </w:pPr>
      <w:r w:rsidRPr="005A6658">
        <w:t>24.</w:t>
      </w:r>
      <w:r w:rsidRPr="005A6658">
        <w:tab/>
        <w:t xml:space="preserve">Kobayashi, S. D. </w:t>
      </w:r>
      <w:r w:rsidRPr="005A6658">
        <w:rPr>
          <w:i/>
          <w:iCs/>
        </w:rPr>
        <w:t>et al.</w:t>
      </w:r>
      <w:r w:rsidRPr="005A6658">
        <w:t xml:space="preserve"> Comparative analysis of USA300 virulence determinants in a rabbit model of skin and soft tissue infection. </w:t>
      </w:r>
      <w:r w:rsidRPr="005A6658">
        <w:rPr>
          <w:i/>
          <w:iCs/>
        </w:rPr>
        <w:t>J Infect Dis</w:t>
      </w:r>
      <w:r w:rsidRPr="005A6658">
        <w:t xml:space="preserve"> </w:t>
      </w:r>
      <w:r w:rsidRPr="005A6658">
        <w:rPr>
          <w:b/>
          <w:bCs/>
        </w:rPr>
        <w:t>204</w:t>
      </w:r>
      <w:r w:rsidRPr="005A6658">
        <w:t>, 937–941 (2011).</w:t>
      </w:r>
    </w:p>
    <w:p w14:paraId="1EE3F1AD" w14:textId="77777777" w:rsidR="005A6658" w:rsidRPr="005A6658" w:rsidRDefault="005A6658" w:rsidP="005A6658">
      <w:pPr>
        <w:pStyle w:val="Bibliography"/>
      </w:pPr>
      <w:r w:rsidRPr="005A6658">
        <w:t>25.</w:t>
      </w:r>
      <w:r w:rsidRPr="005A6658">
        <w:tab/>
      </w:r>
      <w:proofErr w:type="spellStart"/>
      <w:r w:rsidRPr="005A6658">
        <w:t>Deghorain</w:t>
      </w:r>
      <w:proofErr w:type="spellEnd"/>
      <w:r w:rsidRPr="005A6658">
        <w:t xml:space="preserve">, M. &amp; Van </w:t>
      </w:r>
      <w:proofErr w:type="spellStart"/>
      <w:r w:rsidRPr="005A6658">
        <w:t>Melderen</w:t>
      </w:r>
      <w:proofErr w:type="spellEnd"/>
      <w:r w:rsidRPr="005A6658">
        <w:t xml:space="preserve">, L. The Staphylococci Phages Family: An Overview. </w:t>
      </w:r>
      <w:r w:rsidRPr="005A6658">
        <w:rPr>
          <w:i/>
          <w:iCs/>
        </w:rPr>
        <w:t>Viruses</w:t>
      </w:r>
      <w:r w:rsidRPr="005A6658">
        <w:t xml:space="preserve"> </w:t>
      </w:r>
      <w:r w:rsidRPr="005A6658">
        <w:rPr>
          <w:b/>
          <w:bCs/>
        </w:rPr>
        <w:t>4</w:t>
      </w:r>
      <w:r w:rsidRPr="005A6658">
        <w:t>, 3316–3335 (2012).</w:t>
      </w:r>
    </w:p>
    <w:p w14:paraId="29BB2F7F" w14:textId="77777777" w:rsidR="005A6658" w:rsidRPr="005A6658" w:rsidRDefault="005A6658" w:rsidP="005A6658">
      <w:pPr>
        <w:pStyle w:val="Bibliography"/>
      </w:pPr>
      <w:r w:rsidRPr="005A6658">
        <w:t>26.</w:t>
      </w:r>
      <w:r w:rsidRPr="005A6658">
        <w:tab/>
        <w:t xml:space="preserve">Land, A. D., Hogan, P., Fritz, S. &amp; Levin, P. A. Phenotypic Variation Is Almost Entirely Independent of the Host-Pathogen Relationship in Clinical Isolates of S. aureus. </w:t>
      </w:r>
      <w:proofErr w:type="spellStart"/>
      <w:r w:rsidRPr="005A6658">
        <w:rPr>
          <w:i/>
          <w:iCs/>
        </w:rPr>
        <w:t>PLoS</w:t>
      </w:r>
      <w:proofErr w:type="spellEnd"/>
      <w:r w:rsidRPr="005A6658">
        <w:rPr>
          <w:i/>
          <w:iCs/>
        </w:rPr>
        <w:t xml:space="preserve"> ONE</w:t>
      </w:r>
      <w:r w:rsidRPr="005A6658">
        <w:t xml:space="preserve"> </w:t>
      </w:r>
      <w:r w:rsidRPr="005A6658">
        <w:rPr>
          <w:b/>
          <w:bCs/>
        </w:rPr>
        <w:t>10</w:t>
      </w:r>
      <w:r w:rsidRPr="005A6658">
        <w:t>, e0129670 (2015).</w:t>
      </w:r>
    </w:p>
    <w:p w14:paraId="0D19F714" w14:textId="77777777" w:rsidR="005A6658" w:rsidRPr="005A6658" w:rsidRDefault="005A6658" w:rsidP="005A6658">
      <w:pPr>
        <w:pStyle w:val="Bibliography"/>
      </w:pPr>
      <w:r w:rsidRPr="005A6658">
        <w:t>27.</w:t>
      </w:r>
      <w:r w:rsidRPr="005A6658">
        <w:tab/>
        <w:t xml:space="preserve">Mo, C. Y. </w:t>
      </w:r>
      <w:r w:rsidRPr="005A6658">
        <w:rPr>
          <w:i/>
          <w:iCs/>
        </w:rPr>
        <w:t>et al.</w:t>
      </w:r>
      <w:r w:rsidRPr="005A6658">
        <w:t xml:space="preserve"> Type III-A CRISPR immunity promotes mutagenesis of staphylococci. </w:t>
      </w:r>
      <w:r w:rsidRPr="005A6658">
        <w:rPr>
          <w:i/>
          <w:iCs/>
        </w:rPr>
        <w:t>Nature</w:t>
      </w:r>
      <w:r w:rsidRPr="005A6658">
        <w:t xml:space="preserve"> </w:t>
      </w:r>
      <w:r w:rsidRPr="005A6658">
        <w:rPr>
          <w:b/>
          <w:bCs/>
        </w:rPr>
        <w:t>592</w:t>
      </w:r>
      <w:r w:rsidRPr="005A6658">
        <w:t>, 611–615 (2021).</w:t>
      </w:r>
    </w:p>
    <w:p w14:paraId="382868DF" w14:textId="77777777" w:rsidR="005A6658" w:rsidRPr="005A6658" w:rsidRDefault="005A6658" w:rsidP="005A6658">
      <w:pPr>
        <w:pStyle w:val="Bibliography"/>
      </w:pPr>
      <w:r w:rsidRPr="005A6658">
        <w:t>28.</w:t>
      </w:r>
      <w:r w:rsidRPr="005A6658">
        <w:tab/>
        <w:t xml:space="preserve">Goldberg, G. W., Jiang, W., </w:t>
      </w:r>
      <w:proofErr w:type="spellStart"/>
      <w:r w:rsidRPr="005A6658">
        <w:t>Bikard</w:t>
      </w:r>
      <w:proofErr w:type="spellEnd"/>
      <w:r w:rsidRPr="005A6658">
        <w:t xml:space="preserve">, D. &amp; </w:t>
      </w:r>
      <w:proofErr w:type="spellStart"/>
      <w:r w:rsidRPr="005A6658">
        <w:t>Marraffini</w:t>
      </w:r>
      <w:proofErr w:type="spellEnd"/>
      <w:r w:rsidRPr="005A6658">
        <w:t xml:space="preserve">, L. A. Conditional tolerance of temperate phages via transcription-dependent CRISPR-Cas targeting. </w:t>
      </w:r>
      <w:r w:rsidRPr="005A6658">
        <w:rPr>
          <w:i/>
          <w:iCs/>
        </w:rPr>
        <w:t>Nature</w:t>
      </w:r>
      <w:r w:rsidRPr="005A6658">
        <w:t xml:space="preserve"> </w:t>
      </w:r>
      <w:r w:rsidRPr="005A6658">
        <w:rPr>
          <w:b/>
          <w:bCs/>
        </w:rPr>
        <w:t>514</w:t>
      </w:r>
      <w:r w:rsidRPr="005A6658">
        <w:t>, 633–637 (2014).</w:t>
      </w:r>
    </w:p>
    <w:p w14:paraId="014C0C1B" w14:textId="77777777" w:rsidR="005A6658" w:rsidRPr="005A6658" w:rsidRDefault="005A6658" w:rsidP="005A6658">
      <w:pPr>
        <w:pStyle w:val="Bibliography"/>
      </w:pPr>
      <w:r w:rsidRPr="005A6658">
        <w:t>29.</w:t>
      </w:r>
      <w:r w:rsidRPr="005A6658">
        <w:tab/>
        <w:t xml:space="preserve">Baba, T., Bae, T., </w:t>
      </w:r>
      <w:proofErr w:type="spellStart"/>
      <w:r w:rsidRPr="005A6658">
        <w:t>Schneewind</w:t>
      </w:r>
      <w:proofErr w:type="spellEnd"/>
      <w:r w:rsidRPr="005A6658">
        <w:t xml:space="preserve">, O., Takeuchi, F. &amp; Hiramatsu, K. Genome Sequence of </w:t>
      </w:r>
      <w:r w:rsidRPr="005A6658">
        <w:rPr>
          <w:i/>
          <w:iCs/>
        </w:rPr>
        <w:t>Staphylococcus aureus</w:t>
      </w:r>
      <w:r w:rsidRPr="005A6658">
        <w:t xml:space="preserve"> Strain Newman and Comparative Analysis of Staphylococcal Genomes: Polymorphism and Evolution of Two Major Pathogenicity Islands. </w:t>
      </w:r>
      <w:r w:rsidRPr="005A6658">
        <w:rPr>
          <w:i/>
          <w:iCs/>
        </w:rPr>
        <w:t xml:space="preserve">J </w:t>
      </w:r>
      <w:proofErr w:type="spellStart"/>
      <w:r w:rsidRPr="005A6658">
        <w:rPr>
          <w:i/>
          <w:iCs/>
        </w:rPr>
        <w:t>Bacteriol</w:t>
      </w:r>
      <w:proofErr w:type="spellEnd"/>
      <w:r w:rsidRPr="005A6658">
        <w:t xml:space="preserve"> </w:t>
      </w:r>
      <w:r w:rsidRPr="005A6658">
        <w:rPr>
          <w:b/>
          <w:bCs/>
        </w:rPr>
        <w:t>190</w:t>
      </w:r>
      <w:r w:rsidRPr="005A6658">
        <w:t>, 300–310 (2008).</w:t>
      </w:r>
    </w:p>
    <w:p w14:paraId="5D791A29" w14:textId="77777777" w:rsidR="005A6658" w:rsidRPr="005A6658" w:rsidRDefault="005A6658" w:rsidP="005A6658">
      <w:pPr>
        <w:pStyle w:val="Bibliography"/>
      </w:pPr>
      <w:r w:rsidRPr="005A6658">
        <w:t>30.</w:t>
      </w:r>
      <w:r w:rsidRPr="005A6658">
        <w:tab/>
        <w:t xml:space="preserve">Pincus, N. B. </w:t>
      </w:r>
      <w:r w:rsidRPr="005A6658">
        <w:rPr>
          <w:i/>
          <w:iCs/>
        </w:rPr>
        <w:t>et al.</w:t>
      </w:r>
      <w:r w:rsidRPr="005A6658">
        <w:t xml:space="preserve"> Strain Specific Phage Treatment for Staphylococcus aureus Infection Is Influenced by Host Immunity and Site of Infection. </w:t>
      </w:r>
      <w:proofErr w:type="spellStart"/>
      <w:r w:rsidRPr="005A6658">
        <w:rPr>
          <w:i/>
          <w:iCs/>
        </w:rPr>
        <w:t>PLoS</w:t>
      </w:r>
      <w:proofErr w:type="spellEnd"/>
      <w:r w:rsidRPr="005A6658">
        <w:rPr>
          <w:i/>
          <w:iCs/>
        </w:rPr>
        <w:t xml:space="preserve"> ONE</w:t>
      </w:r>
      <w:r w:rsidRPr="005A6658">
        <w:t xml:space="preserve"> </w:t>
      </w:r>
      <w:r w:rsidRPr="005A6658">
        <w:rPr>
          <w:b/>
          <w:bCs/>
        </w:rPr>
        <w:t>10</w:t>
      </w:r>
      <w:r w:rsidRPr="005A6658">
        <w:t>, e0124280 (2015).</w:t>
      </w:r>
    </w:p>
    <w:p w14:paraId="09ED7323" w14:textId="77777777" w:rsidR="005A6658" w:rsidRPr="005A6658" w:rsidRDefault="005A6658" w:rsidP="005A6658">
      <w:pPr>
        <w:pStyle w:val="Bibliography"/>
      </w:pPr>
      <w:r w:rsidRPr="005A6658">
        <w:t>31.</w:t>
      </w:r>
      <w:r w:rsidRPr="005A6658">
        <w:tab/>
        <w:t xml:space="preserve">Li, L. </w:t>
      </w:r>
      <w:r w:rsidRPr="005A6658">
        <w:rPr>
          <w:i/>
          <w:iCs/>
        </w:rPr>
        <w:t>et al.</w:t>
      </w:r>
      <w:r w:rsidRPr="005A6658">
        <w:t xml:space="preserve"> The Global Regulon </w:t>
      </w:r>
      <w:proofErr w:type="spellStart"/>
      <w:r w:rsidRPr="005A6658">
        <w:rPr>
          <w:i/>
          <w:iCs/>
        </w:rPr>
        <w:t>sarA</w:t>
      </w:r>
      <w:proofErr w:type="spellEnd"/>
      <w:r w:rsidRPr="005A6658">
        <w:t xml:space="preserve"> Regulates β-Lactam Antibiotic Resistance in Methicillin-Resistant </w:t>
      </w:r>
      <w:r w:rsidRPr="005A6658">
        <w:rPr>
          <w:i/>
          <w:iCs/>
        </w:rPr>
        <w:t>Staphylococcus aureus</w:t>
      </w:r>
      <w:r w:rsidRPr="005A6658">
        <w:t xml:space="preserve"> In Vitro and in Endovascular Infections. </w:t>
      </w:r>
      <w:r w:rsidRPr="005A6658">
        <w:rPr>
          <w:i/>
          <w:iCs/>
        </w:rPr>
        <w:t>J Infect Dis.</w:t>
      </w:r>
      <w:r w:rsidRPr="005A6658">
        <w:t xml:space="preserve"> </w:t>
      </w:r>
      <w:r w:rsidRPr="005A6658">
        <w:rPr>
          <w:b/>
          <w:bCs/>
        </w:rPr>
        <w:t>214</w:t>
      </w:r>
      <w:r w:rsidRPr="005A6658">
        <w:t>, 1421–1429 (2016).</w:t>
      </w:r>
    </w:p>
    <w:p w14:paraId="7566B54B" w14:textId="77777777" w:rsidR="005A6658" w:rsidRPr="005A6658" w:rsidRDefault="005A6658" w:rsidP="005A6658">
      <w:pPr>
        <w:pStyle w:val="Bibliography"/>
      </w:pPr>
      <w:r w:rsidRPr="005A6658">
        <w:t>32.</w:t>
      </w:r>
      <w:r w:rsidRPr="005A6658">
        <w:tab/>
        <w:t xml:space="preserve">Zielinska, A. K. </w:t>
      </w:r>
      <w:r w:rsidRPr="005A6658">
        <w:rPr>
          <w:i/>
          <w:iCs/>
        </w:rPr>
        <w:t>et al.</w:t>
      </w:r>
      <w:r w:rsidRPr="005A6658">
        <w:t xml:space="preserve"> </w:t>
      </w:r>
      <w:r w:rsidRPr="005A6658">
        <w:rPr>
          <w:smallCaps/>
        </w:rPr>
        <w:t xml:space="preserve"> </w:t>
      </w:r>
      <w:proofErr w:type="spellStart"/>
      <w:proofErr w:type="gramStart"/>
      <w:r w:rsidRPr="005A6658">
        <w:rPr>
          <w:i/>
          <w:iCs/>
          <w:smallCaps/>
        </w:rPr>
        <w:t>sarA</w:t>
      </w:r>
      <w:proofErr w:type="spellEnd"/>
      <w:r w:rsidRPr="005A6658">
        <w:rPr>
          <w:smallCaps/>
        </w:rPr>
        <w:t xml:space="preserve"> </w:t>
      </w:r>
      <w:r w:rsidRPr="005A6658">
        <w:t xml:space="preserve"> ‐</w:t>
      </w:r>
      <w:proofErr w:type="gramEnd"/>
      <w:r w:rsidRPr="005A6658">
        <w:t xml:space="preserve">mediated repression of protease production plays a key role in the pathogenesis </w:t>
      </w:r>
      <w:proofErr w:type="gramStart"/>
      <w:r w:rsidRPr="005A6658">
        <w:t xml:space="preserve">of </w:t>
      </w:r>
      <w:r w:rsidRPr="005A6658">
        <w:rPr>
          <w:i/>
          <w:iCs/>
        </w:rPr>
        <w:t xml:space="preserve"> </w:t>
      </w:r>
      <w:r w:rsidRPr="005A6658">
        <w:rPr>
          <w:i/>
          <w:iCs/>
          <w:smallCaps/>
        </w:rPr>
        <w:t>S</w:t>
      </w:r>
      <w:proofErr w:type="gramEnd"/>
      <w:r w:rsidRPr="005A6658">
        <w:rPr>
          <w:i/>
          <w:iCs/>
        </w:rPr>
        <w:t xml:space="preserve"> </w:t>
      </w:r>
      <w:proofErr w:type="spellStart"/>
      <w:r w:rsidRPr="005A6658">
        <w:rPr>
          <w:i/>
          <w:iCs/>
        </w:rPr>
        <w:t>taphylococcus</w:t>
      </w:r>
      <w:proofErr w:type="spellEnd"/>
      <w:r w:rsidRPr="005A6658">
        <w:rPr>
          <w:i/>
          <w:iCs/>
        </w:rPr>
        <w:t xml:space="preserve"> </w:t>
      </w:r>
      <w:proofErr w:type="gramStart"/>
      <w:r w:rsidRPr="005A6658">
        <w:rPr>
          <w:i/>
          <w:iCs/>
        </w:rPr>
        <w:t xml:space="preserve">aureus </w:t>
      </w:r>
      <w:r w:rsidRPr="005A6658">
        <w:t xml:space="preserve"> </w:t>
      </w:r>
      <w:r w:rsidRPr="005A6658">
        <w:rPr>
          <w:smallCaps/>
        </w:rPr>
        <w:t>USA</w:t>
      </w:r>
      <w:proofErr w:type="gramEnd"/>
      <w:r w:rsidRPr="005A6658">
        <w:t xml:space="preserve"> 300 isolates. </w:t>
      </w:r>
      <w:r w:rsidRPr="005A6658">
        <w:rPr>
          <w:i/>
          <w:iCs/>
        </w:rPr>
        <w:t>Molecular Microbiology</w:t>
      </w:r>
      <w:r w:rsidRPr="005A6658">
        <w:t xml:space="preserve"> </w:t>
      </w:r>
      <w:r w:rsidRPr="005A6658">
        <w:rPr>
          <w:b/>
          <w:bCs/>
        </w:rPr>
        <w:t>86</w:t>
      </w:r>
      <w:r w:rsidRPr="005A6658">
        <w:t>, 1183–1196 (2012).</w:t>
      </w:r>
    </w:p>
    <w:p w14:paraId="0045E534" w14:textId="77777777" w:rsidR="005A6658" w:rsidRPr="005A6658" w:rsidRDefault="005A6658" w:rsidP="005A6658">
      <w:pPr>
        <w:pStyle w:val="Bibliography"/>
      </w:pPr>
      <w:r w:rsidRPr="005A6658">
        <w:t>33.</w:t>
      </w:r>
      <w:r w:rsidRPr="005A6658">
        <w:tab/>
        <w:t xml:space="preserve">Crosby, H. A. </w:t>
      </w:r>
      <w:r w:rsidRPr="005A6658">
        <w:rPr>
          <w:i/>
          <w:iCs/>
        </w:rPr>
        <w:t>et al.</w:t>
      </w:r>
      <w:r w:rsidRPr="005A6658">
        <w:t xml:space="preserve"> The Staphylococcus aureus Global Regulator </w:t>
      </w:r>
      <w:proofErr w:type="spellStart"/>
      <w:r w:rsidRPr="005A6658">
        <w:t>MgrA</w:t>
      </w:r>
      <w:proofErr w:type="spellEnd"/>
      <w:r w:rsidRPr="005A6658">
        <w:t xml:space="preserve"> Modulates Clumping and Virulence by Controlling Surface Protein Expression. </w:t>
      </w:r>
      <w:proofErr w:type="spellStart"/>
      <w:r w:rsidRPr="005A6658">
        <w:rPr>
          <w:i/>
          <w:iCs/>
        </w:rPr>
        <w:t>PLoS</w:t>
      </w:r>
      <w:proofErr w:type="spellEnd"/>
      <w:r w:rsidRPr="005A6658">
        <w:rPr>
          <w:i/>
          <w:iCs/>
        </w:rPr>
        <w:t xml:space="preserve"> </w:t>
      </w:r>
      <w:proofErr w:type="spellStart"/>
      <w:r w:rsidRPr="005A6658">
        <w:rPr>
          <w:i/>
          <w:iCs/>
        </w:rPr>
        <w:t>Pathog</w:t>
      </w:r>
      <w:proofErr w:type="spellEnd"/>
      <w:r w:rsidRPr="005A6658">
        <w:t xml:space="preserve"> </w:t>
      </w:r>
      <w:r w:rsidRPr="005A6658">
        <w:rPr>
          <w:b/>
          <w:bCs/>
        </w:rPr>
        <w:t>12</w:t>
      </w:r>
      <w:r w:rsidRPr="005A6658">
        <w:t>, e1005604 (2016).</w:t>
      </w:r>
    </w:p>
    <w:p w14:paraId="14769F09" w14:textId="77777777" w:rsidR="005A6658" w:rsidRPr="005A6658" w:rsidRDefault="005A6658" w:rsidP="005A6658">
      <w:pPr>
        <w:pStyle w:val="Bibliography"/>
      </w:pPr>
      <w:r w:rsidRPr="005A6658">
        <w:t>34.</w:t>
      </w:r>
      <w:r w:rsidRPr="005A6658">
        <w:tab/>
        <w:t xml:space="preserve">Kwiecinski, J. M. </w:t>
      </w:r>
      <w:r w:rsidRPr="005A6658">
        <w:rPr>
          <w:i/>
          <w:iCs/>
        </w:rPr>
        <w:t>et al.</w:t>
      </w:r>
      <w:r w:rsidRPr="005A6658">
        <w:t xml:space="preserve"> Staphylococcus aureus uses the </w:t>
      </w:r>
      <w:proofErr w:type="spellStart"/>
      <w:r w:rsidRPr="005A6658">
        <w:t>ArlRS</w:t>
      </w:r>
      <w:proofErr w:type="spellEnd"/>
      <w:r w:rsidRPr="005A6658">
        <w:t xml:space="preserve"> and </w:t>
      </w:r>
      <w:proofErr w:type="spellStart"/>
      <w:r w:rsidRPr="005A6658">
        <w:t>MgrA</w:t>
      </w:r>
      <w:proofErr w:type="spellEnd"/>
      <w:r w:rsidRPr="005A6658">
        <w:t xml:space="preserve"> cascade to regulate immune evasion during skin infection. </w:t>
      </w:r>
      <w:r w:rsidRPr="005A6658">
        <w:rPr>
          <w:i/>
          <w:iCs/>
        </w:rPr>
        <w:t>Cell Reports</w:t>
      </w:r>
      <w:r w:rsidRPr="005A6658">
        <w:t xml:space="preserve"> </w:t>
      </w:r>
      <w:r w:rsidRPr="005A6658">
        <w:rPr>
          <w:b/>
          <w:bCs/>
        </w:rPr>
        <w:t>36</w:t>
      </w:r>
      <w:r w:rsidRPr="005A6658">
        <w:t>, 109462 (2021).</w:t>
      </w:r>
    </w:p>
    <w:p w14:paraId="25BFD704" w14:textId="77777777" w:rsidR="005A6658" w:rsidRPr="005A6658" w:rsidRDefault="005A6658" w:rsidP="005A6658">
      <w:pPr>
        <w:pStyle w:val="Bibliography"/>
      </w:pPr>
      <w:r w:rsidRPr="005A6658">
        <w:t>35.</w:t>
      </w:r>
      <w:r w:rsidRPr="005A6658">
        <w:tab/>
        <w:t xml:space="preserve">Panchal, V. V. </w:t>
      </w:r>
      <w:r w:rsidRPr="005A6658">
        <w:rPr>
          <w:i/>
          <w:iCs/>
        </w:rPr>
        <w:t>et al.</w:t>
      </w:r>
      <w:r w:rsidRPr="005A6658">
        <w:t xml:space="preserve"> Evolving MRSA: High-level β-lactam resistance in Staphylococcus aureus is associated with RNA Polymerase alterations and fine tuning of gene expression. </w:t>
      </w:r>
      <w:proofErr w:type="spellStart"/>
      <w:r w:rsidRPr="005A6658">
        <w:rPr>
          <w:i/>
          <w:iCs/>
        </w:rPr>
        <w:t>PLoS</w:t>
      </w:r>
      <w:proofErr w:type="spellEnd"/>
      <w:r w:rsidRPr="005A6658">
        <w:rPr>
          <w:i/>
          <w:iCs/>
        </w:rPr>
        <w:t xml:space="preserve"> </w:t>
      </w:r>
      <w:proofErr w:type="spellStart"/>
      <w:r w:rsidRPr="005A6658">
        <w:rPr>
          <w:i/>
          <w:iCs/>
        </w:rPr>
        <w:t>Pathog</w:t>
      </w:r>
      <w:proofErr w:type="spellEnd"/>
      <w:r w:rsidRPr="005A6658">
        <w:t xml:space="preserve"> </w:t>
      </w:r>
      <w:r w:rsidRPr="005A6658">
        <w:rPr>
          <w:b/>
          <w:bCs/>
        </w:rPr>
        <w:t>16</w:t>
      </w:r>
      <w:r w:rsidRPr="005A6658">
        <w:t>, e1008672 (2020).</w:t>
      </w:r>
    </w:p>
    <w:p w14:paraId="4BA885E2" w14:textId="77777777" w:rsidR="005A6658" w:rsidRPr="005A6658" w:rsidRDefault="005A6658" w:rsidP="005A6658">
      <w:pPr>
        <w:pStyle w:val="Bibliography"/>
      </w:pPr>
      <w:r w:rsidRPr="005A6658">
        <w:t>36.</w:t>
      </w:r>
      <w:r w:rsidRPr="005A6658">
        <w:tab/>
        <w:t xml:space="preserve">Bai, J. </w:t>
      </w:r>
      <w:r w:rsidRPr="005A6658">
        <w:rPr>
          <w:i/>
          <w:iCs/>
        </w:rPr>
        <w:t>et al.</w:t>
      </w:r>
      <w:r w:rsidRPr="005A6658">
        <w:t xml:space="preserve"> The role of </w:t>
      </w:r>
      <w:proofErr w:type="spellStart"/>
      <w:r w:rsidRPr="005A6658">
        <w:t>ArlRS</w:t>
      </w:r>
      <w:proofErr w:type="spellEnd"/>
      <w:r w:rsidRPr="005A6658">
        <w:t xml:space="preserve"> in regulating oxacillin susceptibility in methicillin-resistant </w:t>
      </w:r>
      <w:r w:rsidRPr="005A6658">
        <w:rPr>
          <w:i/>
          <w:iCs/>
        </w:rPr>
        <w:t>Staphylococcus aureus</w:t>
      </w:r>
      <w:r w:rsidRPr="005A6658">
        <w:t xml:space="preserve"> indicates it is a potential target for antimicrobial resistance breakers. </w:t>
      </w:r>
      <w:r w:rsidRPr="005A6658">
        <w:rPr>
          <w:i/>
          <w:iCs/>
        </w:rPr>
        <w:t>Emerging Microbes &amp; Infections</w:t>
      </w:r>
      <w:r w:rsidRPr="005A6658">
        <w:t xml:space="preserve"> </w:t>
      </w:r>
      <w:r w:rsidRPr="005A6658">
        <w:rPr>
          <w:b/>
          <w:bCs/>
        </w:rPr>
        <w:t>8</w:t>
      </w:r>
      <w:r w:rsidRPr="005A6658">
        <w:t>, 503–515 (2019).</w:t>
      </w:r>
    </w:p>
    <w:p w14:paraId="1B24FB75" w14:textId="77777777" w:rsidR="005A6658" w:rsidRPr="005A6658" w:rsidRDefault="005A6658" w:rsidP="005A6658">
      <w:pPr>
        <w:pStyle w:val="Bibliography"/>
      </w:pPr>
      <w:r w:rsidRPr="005A6658">
        <w:t>37.</w:t>
      </w:r>
      <w:r w:rsidRPr="005A6658">
        <w:tab/>
        <w:t xml:space="preserve">Walker, J. N. </w:t>
      </w:r>
      <w:r w:rsidRPr="005A6658">
        <w:rPr>
          <w:i/>
          <w:iCs/>
        </w:rPr>
        <w:t>et al.</w:t>
      </w:r>
      <w:r w:rsidRPr="005A6658">
        <w:t xml:space="preserve"> The Staphylococcus aureus </w:t>
      </w:r>
      <w:proofErr w:type="spellStart"/>
      <w:r w:rsidRPr="005A6658">
        <w:t>ArlRS</w:t>
      </w:r>
      <w:proofErr w:type="spellEnd"/>
      <w:r w:rsidRPr="005A6658">
        <w:t xml:space="preserve"> Two-Component System Is a Novel Regulator of Agglutination and Pathogenesis. </w:t>
      </w:r>
      <w:proofErr w:type="spellStart"/>
      <w:r w:rsidRPr="005A6658">
        <w:rPr>
          <w:i/>
          <w:iCs/>
        </w:rPr>
        <w:t>PLoS</w:t>
      </w:r>
      <w:proofErr w:type="spellEnd"/>
      <w:r w:rsidRPr="005A6658">
        <w:rPr>
          <w:i/>
          <w:iCs/>
        </w:rPr>
        <w:t xml:space="preserve"> </w:t>
      </w:r>
      <w:proofErr w:type="spellStart"/>
      <w:r w:rsidRPr="005A6658">
        <w:rPr>
          <w:i/>
          <w:iCs/>
        </w:rPr>
        <w:t>Pathog</w:t>
      </w:r>
      <w:proofErr w:type="spellEnd"/>
      <w:r w:rsidRPr="005A6658">
        <w:t xml:space="preserve"> </w:t>
      </w:r>
      <w:r w:rsidRPr="005A6658">
        <w:rPr>
          <w:b/>
          <w:bCs/>
        </w:rPr>
        <w:t>9</w:t>
      </w:r>
      <w:r w:rsidRPr="005A6658">
        <w:t>, e1003819 (2013).</w:t>
      </w:r>
    </w:p>
    <w:p w14:paraId="74CF6E80" w14:textId="77777777" w:rsidR="005A6658" w:rsidRPr="005A6658" w:rsidRDefault="005A6658" w:rsidP="005A6658">
      <w:pPr>
        <w:pStyle w:val="Bibliography"/>
      </w:pPr>
      <w:r w:rsidRPr="005A6658">
        <w:t>38.</w:t>
      </w:r>
      <w:r w:rsidRPr="005A6658">
        <w:tab/>
        <w:t xml:space="preserve">Schulthess, B. </w:t>
      </w:r>
      <w:r w:rsidRPr="005A6658">
        <w:rPr>
          <w:i/>
          <w:iCs/>
        </w:rPr>
        <w:t>et al.</w:t>
      </w:r>
      <w:r w:rsidRPr="005A6658">
        <w:t xml:space="preserve"> The σ </w:t>
      </w:r>
      <w:r w:rsidRPr="005A6658">
        <w:rPr>
          <w:vertAlign w:val="superscript"/>
        </w:rPr>
        <w:t>B</w:t>
      </w:r>
      <w:r w:rsidRPr="005A6658">
        <w:t xml:space="preserve"> -Dependent </w:t>
      </w:r>
      <w:proofErr w:type="spellStart"/>
      <w:r w:rsidRPr="005A6658">
        <w:rPr>
          <w:i/>
          <w:iCs/>
        </w:rPr>
        <w:t>yabJ-spoVG</w:t>
      </w:r>
      <w:proofErr w:type="spellEnd"/>
      <w:r w:rsidRPr="005A6658">
        <w:t xml:space="preserve"> Operon Is Involved in the Regulation of Extracellular Nuclease, Lipase, and Protease Expression in Staphylococcus aureus. </w:t>
      </w:r>
      <w:r w:rsidRPr="005A6658">
        <w:rPr>
          <w:i/>
          <w:iCs/>
        </w:rPr>
        <w:t xml:space="preserve">J </w:t>
      </w:r>
      <w:proofErr w:type="spellStart"/>
      <w:r w:rsidRPr="005A6658">
        <w:rPr>
          <w:i/>
          <w:iCs/>
        </w:rPr>
        <w:t>Bacteriol</w:t>
      </w:r>
      <w:proofErr w:type="spellEnd"/>
      <w:r w:rsidRPr="005A6658">
        <w:t xml:space="preserve"> </w:t>
      </w:r>
      <w:r w:rsidRPr="005A6658">
        <w:rPr>
          <w:b/>
          <w:bCs/>
        </w:rPr>
        <w:t>193</w:t>
      </w:r>
      <w:r w:rsidRPr="005A6658">
        <w:t>, 4954–4962 (2011).</w:t>
      </w:r>
    </w:p>
    <w:p w14:paraId="54CF0AC7" w14:textId="77777777" w:rsidR="005A6658" w:rsidRPr="005A6658" w:rsidRDefault="005A6658" w:rsidP="005A6658">
      <w:pPr>
        <w:pStyle w:val="Bibliography"/>
      </w:pPr>
      <w:r w:rsidRPr="005A6658">
        <w:lastRenderedPageBreak/>
        <w:t>39.</w:t>
      </w:r>
      <w:r w:rsidRPr="005A6658">
        <w:tab/>
        <w:t xml:space="preserve">Liu, X., Zhang, S. &amp; Sun, B. </w:t>
      </w:r>
      <w:proofErr w:type="spellStart"/>
      <w:r w:rsidRPr="005A6658">
        <w:t>SpoVG</w:t>
      </w:r>
      <w:proofErr w:type="spellEnd"/>
      <w:r w:rsidRPr="005A6658">
        <w:t xml:space="preserve"> Regulates Cell Wall Metabolism and Oxacillin Resistance in Methicillin-Resistant Staphylococcus aureus Strain N315. </w:t>
      </w:r>
      <w:proofErr w:type="spellStart"/>
      <w:r w:rsidRPr="005A6658">
        <w:rPr>
          <w:i/>
          <w:iCs/>
        </w:rPr>
        <w:t>Antimicrob</w:t>
      </w:r>
      <w:proofErr w:type="spellEnd"/>
      <w:r w:rsidRPr="005A6658">
        <w:rPr>
          <w:i/>
          <w:iCs/>
        </w:rPr>
        <w:t xml:space="preserve"> Agents </w:t>
      </w:r>
      <w:proofErr w:type="spellStart"/>
      <w:r w:rsidRPr="005A6658">
        <w:rPr>
          <w:i/>
          <w:iCs/>
        </w:rPr>
        <w:t>Chemother</w:t>
      </w:r>
      <w:proofErr w:type="spellEnd"/>
      <w:r w:rsidRPr="005A6658">
        <w:t xml:space="preserve"> </w:t>
      </w:r>
      <w:r w:rsidRPr="005A6658">
        <w:rPr>
          <w:b/>
          <w:bCs/>
        </w:rPr>
        <w:t>60</w:t>
      </w:r>
      <w:r w:rsidRPr="005A6658">
        <w:t>, 3455–3461 (2016).</w:t>
      </w:r>
    </w:p>
    <w:p w14:paraId="25DD4BE3" w14:textId="77777777" w:rsidR="005A6658" w:rsidRPr="005A6658" w:rsidRDefault="005A6658" w:rsidP="005A6658">
      <w:pPr>
        <w:pStyle w:val="Bibliography"/>
      </w:pPr>
      <w:r w:rsidRPr="005A6658">
        <w:t>40.</w:t>
      </w:r>
      <w:r w:rsidRPr="005A6658">
        <w:tab/>
        <w:t xml:space="preserve">Chen, C. </w:t>
      </w:r>
      <w:r w:rsidRPr="005A6658">
        <w:rPr>
          <w:i/>
          <w:iCs/>
        </w:rPr>
        <w:t>et al.</w:t>
      </w:r>
      <w:r w:rsidRPr="005A6658">
        <w:t xml:space="preserve"> Characterization of serine acetyltransferase (</w:t>
      </w:r>
      <w:proofErr w:type="spellStart"/>
      <w:r w:rsidRPr="005A6658">
        <w:t>CysE</w:t>
      </w:r>
      <w:proofErr w:type="spellEnd"/>
      <w:r w:rsidRPr="005A6658">
        <w:t xml:space="preserve">) from methicillin-resistant Staphylococcus aureus and inhibitory effect of two natural products on </w:t>
      </w:r>
      <w:proofErr w:type="spellStart"/>
      <w:r w:rsidRPr="005A6658">
        <w:t>CysE</w:t>
      </w:r>
      <w:proofErr w:type="spellEnd"/>
      <w:r w:rsidRPr="005A6658">
        <w:t xml:space="preserve">. </w:t>
      </w:r>
      <w:r w:rsidRPr="005A6658">
        <w:rPr>
          <w:i/>
          <w:iCs/>
        </w:rPr>
        <w:t>Microbial Pathogenesis</w:t>
      </w:r>
      <w:r w:rsidRPr="005A6658">
        <w:t xml:space="preserve"> </w:t>
      </w:r>
      <w:r w:rsidRPr="005A6658">
        <w:rPr>
          <w:b/>
          <w:bCs/>
        </w:rPr>
        <w:t>131</w:t>
      </w:r>
      <w:r w:rsidRPr="005A6658">
        <w:t>, 218–226 (2019).</w:t>
      </w:r>
    </w:p>
    <w:p w14:paraId="35B503E7" w14:textId="77777777" w:rsidR="005A6658" w:rsidRPr="005A6658" w:rsidRDefault="005A6658" w:rsidP="005A6658">
      <w:pPr>
        <w:pStyle w:val="Bibliography"/>
      </w:pPr>
      <w:r w:rsidRPr="005A6658">
        <w:t>41.</w:t>
      </w:r>
      <w:r w:rsidRPr="005A6658">
        <w:tab/>
        <w:t xml:space="preserve">Markham, G. D., </w:t>
      </w:r>
      <w:proofErr w:type="spellStart"/>
      <w:r w:rsidRPr="005A6658">
        <w:t>DeParasis</w:t>
      </w:r>
      <w:proofErr w:type="spellEnd"/>
      <w:r w:rsidRPr="005A6658">
        <w:t xml:space="preserve">, J. &amp; Gatmaitan, J. The sequence of </w:t>
      </w:r>
      <w:proofErr w:type="spellStart"/>
      <w:r w:rsidRPr="005A6658">
        <w:t>metK</w:t>
      </w:r>
      <w:proofErr w:type="spellEnd"/>
      <w:r w:rsidRPr="005A6658">
        <w:t xml:space="preserve">, the structural gene for S-adenosylmethionine synthetase in Escherichia coli. </w:t>
      </w:r>
      <w:r w:rsidRPr="005A6658">
        <w:rPr>
          <w:i/>
          <w:iCs/>
        </w:rPr>
        <w:t>Journal of Biological Chemistry</w:t>
      </w:r>
      <w:r w:rsidRPr="005A6658">
        <w:t xml:space="preserve"> </w:t>
      </w:r>
      <w:r w:rsidRPr="005A6658">
        <w:rPr>
          <w:b/>
          <w:bCs/>
        </w:rPr>
        <w:t>259</w:t>
      </w:r>
      <w:r w:rsidRPr="005A6658">
        <w:t>, 14505–14507 (1984).</w:t>
      </w:r>
    </w:p>
    <w:p w14:paraId="7C6396D9" w14:textId="77777777" w:rsidR="005A6658" w:rsidRPr="005A6658" w:rsidRDefault="005A6658" w:rsidP="005A6658">
      <w:pPr>
        <w:pStyle w:val="Bibliography"/>
      </w:pPr>
      <w:r w:rsidRPr="005A6658">
        <w:t>42.</w:t>
      </w:r>
      <w:r w:rsidRPr="005A6658">
        <w:tab/>
        <w:t xml:space="preserve">Proctor, A. R. &amp; Kloos, W. E. Tryptophan Biosynthetic Enzymes of </w:t>
      </w:r>
      <w:r w:rsidRPr="005A6658">
        <w:rPr>
          <w:i/>
          <w:iCs/>
        </w:rPr>
        <w:t>Staphylococcus aureus</w:t>
      </w:r>
      <w:r w:rsidRPr="005A6658">
        <w:t xml:space="preserve">. </w:t>
      </w:r>
      <w:r w:rsidRPr="005A6658">
        <w:rPr>
          <w:i/>
          <w:iCs/>
        </w:rPr>
        <w:t xml:space="preserve">J </w:t>
      </w:r>
      <w:proofErr w:type="spellStart"/>
      <w:r w:rsidRPr="005A6658">
        <w:rPr>
          <w:i/>
          <w:iCs/>
        </w:rPr>
        <w:t>Bacteriol</w:t>
      </w:r>
      <w:proofErr w:type="spellEnd"/>
      <w:r w:rsidRPr="005A6658">
        <w:t xml:space="preserve"> </w:t>
      </w:r>
      <w:r w:rsidRPr="005A6658">
        <w:rPr>
          <w:b/>
          <w:bCs/>
        </w:rPr>
        <w:t>114</w:t>
      </w:r>
      <w:r w:rsidRPr="005A6658">
        <w:t>, 169–177 (1973).</w:t>
      </w:r>
    </w:p>
    <w:p w14:paraId="139EEC2F" w14:textId="77777777" w:rsidR="005A6658" w:rsidRPr="005A6658" w:rsidRDefault="005A6658" w:rsidP="005A6658">
      <w:pPr>
        <w:pStyle w:val="Bibliography"/>
      </w:pPr>
      <w:r w:rsidRPr="005A6658">
        <w:t>43.</w:t>
      </w:r>
      <w:r w:rsidRPr="005A6658">
        <w:tab/>
      </w:r>
      <w:proofErr w:type="spellStart"/>
      <w:r w:rsidRPr="005A6658">
        <w:t>Maidhof</w:t>
      </w:r>
      <w:proofErr w:type="spellEnd"/>
      <w:r w:rsidRPr="005A6658">
        <w:t>, H., Reinicke, B., Blümel, P., Berger-</w:t>
      </w:r>
      <w:proofErr w:type="spellStart"/>
      <w:r w:rsidRPr="005A6658">
        <w:t>Bächi</w:t>
      </w:r>
      <w:proofErr w:type="spellEnd"/>
      <w:r w:rsidRPr="005A6658">
        <w:t xml:space="preserve">, B. &amp; </w:t>
      </w:r>
      <w:proofErr w:type="spellStart"/>
      <w:r w:rsidRPr="005A6658">
        <w:t>Labischinski</w:t>
      </w:r>
      <w:proofErr w:type="spellEnd"/>
      <w:r w:rsidRPr="005A6658">
        <w:t xml:space="preserve">, H. </w:t>
      </w:r>
      <w:proofErr w:type="spellStart"/>
      <w:r w:rsidRPr="005A6658">
        <w:t>femA</w:t>
      </w:r>
      <w:proofErr w:type="spellEnd"/>
      <w:r w:rsidRPr="005A6658">
        <w:t xml:space="preserve">, which encodes a factor essential for expression of methicillin resistance, affects glycine content of peptidoglycan in methicillin-resistant and methicillin-susceptible Staphylococcus aureus strains. </w:t>
      </w:r>
      <w:r w:rsidRPr="005A6658">
        <w:rPr>
          <w:i/>
          <w:iCs/>
        </w:rPr>
        <w:t xml:space="preserve">J </w:t>
      </w:r>
      <w:proofErr w:type="spellStart"/>
      <w:r w:rsidRPr="005A6658">
        <w:rPr>
          <w:i/>
          <w:iCs/>
        </w:rPr>
        <w:t>Bacteriol</w:t>
      </w:r>
      <w:proofErr w:type="spellEnd"/>
      <w:r w:rsidRPr="005A6658">
        <w:t xml:space="preserve"> </w:t>
      </w:r>
      <w:r w:rsidRPr="005A6658">
        <w:rPr>
          <w:b/>
          <w:bCs/>
        </w:rPr>
        <w:t>173</w:t>
      </w:r>
      <w:r w:rsidRPr="005A6658">
        <w:t>, 3507–3513 (1991).</w:t>
      </w:r>
    </w:p>
    <w:p w14:paraId="52D78963" w14:textId="77777777" w:rsidR="005A6658" w:rsidRPr="005A6658" w:rsidRDefault="005A6658" w:rsidP="005A6658">
      <w:pPr>
        <w:pStyle w:val="Bibliography"/>
      </w:pPr>
      <w:r w:rsidRPr="005A6658">
        <w:t>44.</w:t>
      </w:r>
      <w:r w:rsidRPr="005A6658">
        <w:tab/>
      </w:r>
      <w:proofErr w:type="spellStart"/>
      <w:r w:rsidRPr="005A6658">
        <w:t>Srisuknimit</w:t>
      </w:r>
      <w:proofErr w:type="spellEnd"/>
      <w:r w:rsidRPr="005A6658">
        <w:t xml:space="preserve">, V., Qiao, Y., Schaefer, K., Kahne, D. &amp; Walker, S. Peptidoglycan Cross-Linking Preferences of Staphylococcus aureus Penicillin-Binding Proteins Have Implications for Treating MRSA Infections. </w:t>
      </w:r>
      <w:r w:rsidRPr="005A6658">
        <w:rPr>
          <w:i/>
          <w:iCs/>
        </w:rPr>
        <w:t>J. Am. Chem. Soc.</w:t>
      </w:r>
      <w:r w:rsidRPr="005A6658">
        <w:t xml:space="preserve"> </w:t>
      </w:r>
      <w:r w:rsidRPr="005A6658">
        <w:rPr>
          <w:b/>
          <w:bCs/>
        </w:rPr>
        <w:t>139</w:t>
      </w:r>
      <w:r w:rsidRPr="005A6658">
        <w:t>, 9791–9794 (2017).</w:t>
      </w:r>
    </w:p>
    <w:p w14:paraId="31BE6B4A" w14:textId="77777777" w:rsidR="005A6658" w:rsidRPr="005A6658" w:rsidRDefault="005A6658" w:rsidP="005A6658">
      <w:pPr>
        <w:pStyle w:val="Bibliography"/>
      </w:pPr>
      <w:r w:rsidRPr="005A6658">
        <w:t>45.</w:t>
      </w:r>
      <w:r w:rsidRPr="005A6658">
        <w:tab/>
      </w:r>
      <w:proofErr w:type="spellStart"/>
      <w:r w:rsidRPr="005A6658">
        <w:t>Gardete</w:t>
      </w:r>
      <w:proofErr w:type="spellEnd"/>
      <w:r w:rsidRPr="005A6658">
        <w:t xml:space="preserve">, S. </w:t>
      </w:r>
      <w:r w:rsidRPr="005A6658">
        <w:rPr>
          <w:i/>
          <w:iCs/>
        </w:rPr>
        <w:t>et al.</w:t>
      </w:r>
      <w:r w:rsidRPr="005A6658">
        <w:t xml:space="preserve"> Role of </w:t>
      </w:r>
      <w:proofErr w:type="spellStart"/>
      <w:r w:rsidRPr="005A6658">
        <w:rPr>
          <w:i/>
          <w:iCs/>
        </w:rPr>
        <w:t>murE</w:t>
      </w:r>
      <w:proofErr w:type="spellEnd"/>
      <w:r w:rsidRPr="005A6658">
        <w:t xml:space="preserve"> in the Expression of β-Lactam Antibiotic Resistance in </w:t>
      </w:r>
      <w:r w:rsidRPr="005A6658">
        <w:rPr>
          <w:i/>
          <w:iCs/>
        </w:rPr>
        <w:t>Staphylococcus aureus</w:t>
      </w:r>
      <w:r w:rsidRPr="005A6658">
        <w:t xml:space="preserve">. </w:t>
      </w:r>
      <w:r w:rsidRPr="005A6658">
        <w:rPr>
          <w:i/>
          <w:iCs/>
        </w:rPr>
        <w:t xml:space="preserve">J </w:t>
      </w:r>
      <w:proofErr w:type="spellStart"/>
      <w:r w:rsidRPr="005A6658">
        <w:rPr>
          <w:i/>
          <w:iCs/>
        </w:rPr>
        <w:t>Bacteriol</w:t>
      </w:r>
      <w:proofErr w:type="spellEnd"/>
      <w:r w:rsidRPr="005A6658">
        <w:t xml:space="preserve"> </w:t>
      </w:r>
      <w:r w:rsidRPr="005A6658">
        <w:rPr>
          <w:b/>
          <w:bCs/>
        </w:rPr>
        <w:t>186</w:t>
      </w:r>
      <w:r w:rsidRPr="005A6658">
        <w:t>, 1705–1713 (2004).</w:t>
      </w:r>
    </w:p>
    <w:p w14:paraId="7126C4EE" w14:textId="77777777" w:rsidR="005A6658" w:rsidRPr="005A6658" w:rsidRDefault="005A6658" w:rsidP="005A6658">
      <w:pPr>
        <w:pStyle w:val="Bibliography"/>
      </w:pPr>
      <w:r w:rsidRPr="005A6658">
        <w:t>46.</w:t>
      </w:r>
      <w:r w:rsidRPr="005A6658">
        <w:tab/>
        <w:t xml:space="preserve">Xu, Z. J. </w:t>
      </w:r>
      <w:r w:rsidRPr="005A6658">
        <w:rPr>
          <w:i/>
          <w:iCs/>
        </w:rPr>
        <w:t>et al.</w:t>
      </w:r>
      <w:r w:rsidRPr="005A6658">
        <w:t xml:space="preserve"> Tryptophanyl-tRNA synthetase from Bacillus subtilis. </w:t>
      </w:r>
      <w:r w:rsidRPr="005A6658">
        <w:rPr>
          <w:i/>
          <w:iCs/>
        </w:rPr>
        <w:t>Journal of Biological Chemistry</w:t>
      </w:r>
      <w:r w:rsidRPr="005A6658">
        <w:t xml:space="preserve"> </w:t>
      </w:r>
      <w:r w:rsidRPr="005A6658">
        <w:rPr>
          <w:b/>
          <w:bCs/>
        </w:rPr>
        <w:t>264</w:t>
      </w:r>
      <w:r w:rsidRPr="005A6658">
        <w:t>, 4304–4311 (1989).</w:t>
      </w:r>
    </w:p>
    <w:p w14:paraId="775DD080" w14:textId="77777777" w:rsidR="005A6658" w:rsidRPr="005A6658" w:rsidRDefault="005A6658" w:rsidP="005A6658">
      <w:pPr>
        <w:pStyle w:val="Bibliography"/>
      </w:pPr>
      <w:r w:rsidRPr="005A6658">
        <w:t>47.</w:t>
      </w:r>
      <w:r w:rsidRPr="005A6658">
        <w:tab/>
        <w:t xml:space="preserve">Jaroch, M. </w:t>
      </w:r>
      <w:r w:rsidRPr="005A6658">
        <w:rPr>
          <w:i/>
          <w:iCs/>
        </w:rPr>
        <w:t>et al.</w:t>
      </w:r>
      <w:r w:rsidRPr="005A6658">
        <w:t xml:space="preserve"> Alternate routes to </w:t>
      </w:r>
      <w:proofErr w:type="spellStart"/>
      <w:r w:rsidRPr="005A6658">
        <w:t>mnm</w:t>
      </w:r>
      <w:proofErr w:type="spellEnd"/>
      <w:r w:rsidRPr="005A6658">
        <w:t xml:space="preserve"> </w:t>
      </w:r>
      <w:r w:rsidRPr="005A6658">
        <w:rPr>
          <w:vertAlign w:val="superscript"/>
        </w:rPr>
        <w:t>5</w:t>
      </w:r>
      <w:r w:rsidRPr="005A6658">
        <w:t xml:space="preserve"> s </w:t>
      </w:r>
      <w:r w:rsidRPr="005A6658">
        <w:rPr>
          <w:vertAlign w:val="superscript"/>
        </w:rPr>
        <w:t>2</w:t>
      </w:r>
      <w:r w:rsidRPr="005A6658">
        <w:t xml:space="preserve"> U synthesis in Gram-positive bacteria. </w:t>
      </w:r>
      <w:r w:rsidRPr="005A6658">
        <w:rPr>
          <w:i/>
          <w:iCs/>
        </w:rPr>
        <w:t xml:space="preserve">J </w:t>
      </w:r>
      <w:proofErr w:type="spellStart"/>
      <w:r w:rsidRPr="005A6658">
        <w:rPr>
          <w:i/>
          <w:iCs/>
        </w:rPr>
        <w:t>Bacteriol</w:t>
      </w:r>
      <w:proofErr w:type="spellEnd"/>
      <w:r w:rsidRPr="005A6658">
        <w:t xml:space="preserve"> </w:t>
      </w:r>
      <w:r w:rsidRPr="005A6658">
        <w:rPr>
          <w:b/>
          <w:bCs/>
        </w:rPr>
        <w:t>206</w:t>
      </w:r>
      <w:r w:rsidRPr="005A6658">
        <w:t>, e00452-23 (2024).</w:t>
      </w:r>
    </w:p>
    <w:p w14:paraId="6514A9DF" w14:textId="77777777" w:rsidR="005A6658" w:rsidRPr="005A6658" w:rsidRDefault="005A6658" w:rsidP="005A6658">
      <w:pPr>
        <w:pStyle w:val="Bibliography"/>
      </w:pPr>
      <w:r w:rsidRPr="005A6658">
        <w:t>48.</w:t>
      </w:r>
      <w:r w:rsidRPr="005A6658">
        <w:tab/>
        <w:t xml:space="preserve">Kobayashi, K. </w:t>
      </w:r>
      <w:r w:rsidRPr="005A6658">
        <w:rPr>
          <w:i/>
          <w:iCs/>
        </w:rPr>
        <w:t>et al.</w:t>
      </w:r>
      <w:r w:rsidRPr="005A6658">
        <w:t xml:space="preserve"> Comprehensive DNA Microarray Analysis of </w:t>
      </w:r>
      <w:r w:rsidRPr="005A6658">
        <w:rPr>
          <w:i/>
          <w:iCs/>
        </w:rPr>
        <w:t>Bacillus subtilis</w:t>
      </w:r>
      <w:r w:rsidRPr="005A6658">
        <w:t xml:space="preserve"> Two-Component Regulatory Systems. </w:t>
      </w:r>
      <w:r w:rsidRPr="005A6658">
        <w:rPr>
          <w:i/>
          <w:iCs/>
        </w:rPr>
        <w:t xml:space="preserve">J </w:t>
      </w:r>
      <w:proofErr w:type="spellStart"/>
      <w:r w:rsidRPr="005A6658">
        <w:rPr>
          <w:i/>
          <w:iCs/>
        </w:rPr>
        <w:t>Bacteriol</w:t>
      </w:r>
      <w:proofErr w:type="spellEnd"/>
      <w:r w:rsidRPr="005A6658">
        <w:t xml:space="preserve"> </w:t>
      </w:r>
      <w:r w:rsidRPr="005A6658">
        <w:rPr>
          <w:b/>
          <w:bCs/>
        </w:rPr>
        <w:t>183</w:t>
      </w:r>
      <w:r w:rsidRPr="005A6658">
        <w:t>, 7365–7370 (2001).</w:t>
      </w:r>
    </w:p>
    <w:p w14:paraId="64C5B517" w14:textId="77777777" w:rsidR="005A6658" w:rsidRPr="005A6658" w:rsidRDefault="005A6658" w:rsidP="005A6658">
      <w:pPr>
        <w:pStyle w:val="Bibliography"/>
      </w:pPr>
      <w:r w:rsidRPr="005A6658">
        <w:t>49.</w:t>
      </w:r>
      <w:r w:rsidRPr="005A6658">
        <w:tab/>
        <w:t>Maki, H., McCallum, N., Bischoff, M., Wada, A. &amp; Berger-</w:t>
      </w:r>
      <w:proofErr w:type="spellStart"/>
      <w:r w:rsidRPr="005A6658">
        <w:t>Bächi</w:t>
      </w:r>
      <w:proofErr w:type="spellEnd"/>
      <w:r w:rsidRPr="005A6658">
        <w:t xml:space="preserve">, B. </w:t>
      </w:r>
      <w:proofErr w:type="spellStart"/>
      <w:r w:rsidRPr="005A6658">
        <w:rPr>
          <w:i/>
          <w:iCs/>
        </w:rPr>
        <w:t>tcaA</w:t>
      </w:r>
      <w:proofErr w:type="spellEnd"/>
      <w:r w:rsidRPr="005A6658">
        <w:t xml:space="preserve"> Inactivation Increases Glycopeptide Resistance in </w:t>
      </w:r>
      <w:r w:rsidRPr="005A6658">
        <w:rPr>
          <w:i/>
          <w:iCs/>
        </w:rPr>
        <w:t>Staphylococcus aureus</w:t>
      </w:r>
      <w:r w:rsidRPr="005A6658">
        <w:t xml:space="preserve">. </w:t>
      </w:r>
      <w:proofErr w:type="spellStart"/>
      <w:r w:rsidRPr="005A6658">
        <w:rPr>
          <w:i/>
          <w:iCs/>
        </w:rPr>
        <w:t>Antimicrob</w:t>
      </w:r>
      <w:proofErr w:type="spellEnd"/>
      <w:r w:rsidRPr="005A6658">
        <w:rPr>
          <w:i/>
          <w:iCs/>
        </w:rPr>
        <w:t xml:space="preserve"> Agents </w:t>
      </w:r>
      <w:proofErr w:type="spellStart"/>
      <w:r w:rsidRPr="005A6658">
        <w:rPr>
          <w:i/>
          <w:iCs/>
        </w:rPr>
        <w:t>Chemother</w:t>
      </w:r>
      <w:proofErr w:type="spellEnd"/>
      <w:r w:rsidRPr="005A6658">
        <w:t xml:space="preserve"> </w:t>
      </w:r>
      <w:r w:rsidRPr="005A6658">
        <w:rPr>
          <w:b/>
          <w:bCs/>
        </w:rPr>
        <w:t>48</w:t>
      </w:r>
      <w:r w:rsidRPr="005A6658">
        <w:t>, 1953–1959 (2004).</w:t>
      </w:r>
    </w:p>
    <w:p w14:paraId="0FC10E79" w14:textId="77777777" w:rsidR="005A6658" w:rsidRPr="005A6658" w:rsidRDefault="005A6658" w:rsidP="005A6658">
      <w:pPr>
        <w:pStyle w:val="Bibliography"/>
      </w:pPr>
      <w:r w:rsidRPr="005A6658">
        <w:t>50.</w:t>
      </w:r>
      <w:r w:rsidRPr="005A6658">
        <w:tab/>
        <w:t xml:space="preserve">Willing, S., Dyer, E., </w:t>
      </w:r>
      <w:proofErr w:type="spellStart"/>
      <w:r w:rsidRPr="005A6658">
        <w:t>Schneewind</w:t>
      </w:r>
      <w:proofErr w:type="spellEnd"/>
      <w:r w:rsidRPr="005A6658">
        <w:t xml:space="preserve">, O. &amp; </w:t>
      </w:r>
      <w:proofErr w:type="spellStart"/>
      <w:r w:rsidRPr="005A6658">
        <w:t>Missiakas</w:t>
      </w:r>
      <w:proofErr w:type="spellEnd"/>
      <w:r w:rsidRPr="005A6658">
        <w:t xml:space="preserve">, D. </w:t>
      </w:r>
      <w:proofErr w:type="spellStart"/>
      <w:r w:rsidRPr="005A6658">
        <w:t>FmhA</w:t>
      </w:r>
      <w:proofErr w:type="spellEnd"/>
      <w:r w:rsidRPr="005A6658">
        <w:t xml:space="preserve"> and </w:t>
      </w:r>
      <w:proofErr w:type="spellStart"/>
      <w:r w:rsidRPr="005A6658">
        <w:t>FmhC</w:t>
      </w:r>
      <w:proofErr w:type="spellEnd"/>
      <w:r w:rsidRPr="005A6658">
        <w:t xml:space="preserve"> of Staphylococcus aureus incorporate serine residues into peptidoglycan cross-bridges. </w:t>
      </w:r>
      <w:r w:rsidRPr="005A6658">
        <w:rPr>
          <w:i/>
          <w:iCs/>
        </w:rPr>
        <w:t>Journal of Biological Chemistry</w:t>
      </w:r>
      <w:r w:rsidRPr="005A6658">
        <w:t xml:space="preserve"> </w:t>
      </w:r>
      <w:r w:rsidRPr="005A6658">
        <w:rPr>
          <w:b/>
          <w:bCs/>
        </w:rPr>
        <w:t>295</w:t>
      </w:r>
      <w:r w:rsidRPr="005A6658">
        <w:t>, 13664–13676 (2020).</w:t>
      </w:r>
    </w:p>
    <w:p w14:paraId="7C54E6A2" w14:textId="77777777" w:rsidR="005A6658" w:rsidRPr="005A6658" w:rsidRDefault="005A6658" w:rsidP="005A6658">
      <w:pPr>
        <w:pStyle w:val="Bibliography"/>
      </w:pPr>
      <w:r w:rsidRPr="005A6658">
        <w:t>51.</w:t>
      </w:r>
      <w:r w:rsidRPr="005A6658">
        <w:tab/>
      </w:r>
      <w:proofErr w:type="spellStart"/>
      <w:r w:rsidRPr="005A6658">
        <w:t>Lalaouna</w:t>
      </w:r>
      <w:proofErr w:type="spellEnd"/>
      <w:r w:rsidRPr="005A6658">
        <w:t xml:space="preserve">, D. </w:t>
      </w:r>
      <w:r w:rsidRPr="005A6658">
        <w:rPr>
          <w:i/>
          <w:iCs/>
        </w:rPr>
        <w:t>et al.</w:t>
      </w:r>
      <w:r w:rsidRPr="005A6658">
        <w:t xml:space="preserve"> </w:t>
      </w:r>
      <w:proofErr w:type="spellStart"/>
      <w:r w:rsidRPr="005A6658">
        <w:t>RsaC</w:t>
      </w:r>
      <w:proofErr w:type="spellEnd"/>
      <w:r w:rsidRPr="005A6658">
        <w:t xml:space="preserve"> sRNA modulates the oxidative stress response of Staphylococcus aureus during manganese starvation. </w:t>
      </w:r>
      <w:r w:rsidRPr="005A6658">
        <w:rPr>
          <w:i/>
          <w:iCs/>
        </w:rPr>
        <w:t>Nucleic Acids Research</w:t>
      </w:r>
      <w:r w:rsidRPr="005A6658">
        <w:t xml:space="preserve"> </w:t>
      </w:r>
      <w:r w:rsidRPr="005A6658">
        <w:rPr>
          <w:b/>
          <w:bCs/>
        </w:rPr>
        <w:t>47</w:t>
      </w:r>
      <w:r w:rsidRPr="005A6658">
        <w:t>, 9871–9887 (2019).</w:t>
      </w:r>
    </w:p>
    <w:p w14:paraId="6020DB45" w14:textId="77777777" w:rsidR="005A6658" w:rsidRPr="005A6658" w:rsidRDefault="005A6658" w:rsidP="005A6658">
      <w:pPr>
        <w:pStyle w:val="Bibliography"/>
      </w:pPr>
      <w:r w:rsidRPr="005A6658">
        <w:t>52.</w:t>
      </w:r>
      <w:r w:rsidRPr="005A6658">
        <w:tab/>
        <w:t xml:space="preserve">Masalha, M., </w:t>
      </w:r>
      <w:proofErr w:type="spellStart"/>
      <w:r w:rsidRPr="005A6658">
        <w:t>Borovok</w:t>
      </w:r>
      <w:proofErr w:type="spellEnd"/>
      <w:r w:rsidRPr="005A6658">
        <w:t xml:space="preserve">, I., Schreiber, R., </w:t>
      </w:r>
      <w:proofErr w:type="spellStart"/>
      <w:r w:rsidRPr="005A6658">
        <w:t>Aharonowitz</w:t>
      </w:r>
      <w:proofErr w:type="spellEnd"/>
      <w:r w:rsidRPr="005A6658">
        <w:t xml:space="preserve">, Y. &amp; Cohen, G. Analysis of Transcription of the </w:t>
      </w:r>
      <w:r w:rsidRPr="005A6658">
        <w:rPr>
          <w:i/>
          <w:iCs/>
        </w:rPr>
        <w:t>Staphylococcus aureus</w:t>
      </w:r>
      <w:r w:rsidRPr="005A6658">
        <w:t xml:space="preserve"> Aerobic Class </w:t>
      </w:r>
      <w:proofErr w:type="spellStart"/>
      <w:r w:rsidRPr="005A6658">
        <w:t>Ib</w:t>
      </w:r>
      <w:proofErr w:type="spellEnd"/>
      <w:r w:rsidRPr="005A6658">
        <w:t xml:space="preserve"> and Anaerobic Class III Ribonucleotide Reductase Genes in Response to Oxygen. </w:t>
      </w:r>
      <w:r w:rsidRPr="005A6658">
        <w:rPr>
          <w:i/>
          <w:iCs/>
        </w:rPr>
        <w:t xml:space="preserve">J </w:t>
      </w:r>
      <w:proofErr w:type="spellStart"/>
      <w:r w:rsidRPr="005A6658">
        <w:rPr>
          <w:i/>
          <w:iCs/>
        </w:rPr>
        <w:t>Bacteriol</w:t>
      </w:r>
      <w:proofErr w:type="spellEnd"/>
      <w:r w:rsidRPr="005A6658">
        <w:t xml:space="preserve"> </w:t>
      </w:r>
      <w:r w:rsidRPr="005A6658">
        <w:rPr>
          <w:b/>
          <w:bCs/>
        </w:rPr>
        <w:t>183</w:t>
      </w:r>
      <w:r w:rsidRPr="005A6658">
        <w:t>, 7260–7272 (2001).</w:t>
      </w:r>
    </w:p>
    <w:p w14:paraId="6788E106" w14:textId="77777777" w:rsidR="005A6658" w:rsidRPr="005A6658" w:rsidRDefault="005A6658" w:rsidP="005A6658">
      <w:pPr>
        <w:pStyle w:val="Bibliography"/>
      </w:pPr>
      <w:r w:rsidRPr="005A6658">
        <w:t>53.</w:t>
      </w:r>
      <w:r w:rsidRPr="005A6658">
        <w:tab/>
        <w:t xml:space="preserve">Jurado, A., Fernández, L., Rodríguez, A. &amp; García, P. Understanding the Mechanisms That Drive Phage Resistance in Staphylococci to Prevent Phage Therapy Failure. </w:t>
      </w:r>
      <w:r w:rsidRPr="005A6658">
        <w:rPr>
          <w:i/>
          <w:iCs/>
        </w:rPr>
        <w:t>Viruses</w:t>
      </w:r>
      <w:r w:rsidRPr="005A6658">
        <w:t xml:space="preserve"> </w:t>
      </w:r>
      <w:r w:rsidRPr="005A6658">
        <w:rPr>
          <w:b/>
          <w:bCs/>
        </w:rPr>
        <w:t>14</w:t>
      </w:r>
      <w:r w:rsidRPr="005A6658">
        <w:t>, 1061 (2022).</w:t>
      </w:r>
    </w:p>
    <w:p w14:paraId="092D7FCB" w14:textId="77777777" w:rsidR="005A6658" w:rsidRPr="005A6658" w:rsidRDefault="005A6658" w:rsidP="005A6658">
      <w:pPr>
        <w:pStyle w:val="Bibliography"/>
      </w:pPr>
      <w:r w:rsidRPr="005A6658">
        <w:t>54.</w:t>
      </w:r>
      <w:r w:rsidRPr="005A6658">
        <w:tab/>
        <w:t xml:space="preserve">Cao, Z., Casabona, M. G., Kneuper, H., Chalmers, J. D. &amp; Palmer, T. The type VII secretion system of Staphylococcus aureus secretes a nuclease toxin that targets competitor bacteria. </w:t>
      </w:r>
      <w:r w:rsidRPr="005A6658">
        <w:rPr>
          <w:i/>
          <w:iCs/>
        </w:rPr>
        <w:t xml:space="preserve">Nat </w:t>
      </w:r>
      <w:proofErr w:type="spellStart"/>
      <w:r w:rsidRPr="005A6658">
        <w:rPr>
          <w:i/>
          <w:iCs/>
        </w:rPr>
        <w:t>Microbiol</w:t>
      </w:r>
      <w:proofErr w:type="spellEnd"/>
      <w:r w:rsidRPr="005A6658">
        <w:t xml:space="preserve"> </w:t>
      </w:r>
      <w:r w:rsidRPr="005A6658">
        <w:rPr>
          <w:b/>
          <w:bCs/>
        </w:rPr>
        <w:t>2</w:t>
      </w:r>
      <w:r w:rsidRPr="005A6658">
        <w:t>, 16183 (2016).</w:t>
      </w:r>
    </w:p>
    <w:p w14:paraId="318C55B4" w14:textId="77777777" w:rsidR="005A6658" w:rsidRPr="005A6658" w:rsidRDefault="005A6658" w:rsidP="005A6658">
      <w:pPr>
        <w:pStyle w:val="Bibliography"/>
      </w:pPr>
      <w:r w:rsidRPr="005A6658">
        <w:lastRenderedPageBreak/>
        <w:t>55.</w:t>
      </w:r>
      <w:r w:rsidRPr="005A6658">
        <w:tab/>
      </w:r>
      <w:proofErr w:type="spellStart"/>
      <w:r w:rsidRPr="005A6658">
        <w:t>Clauditz</w:t>
      </w:r>
      <w:proofErr w:type="spellEnd"/>
      <w:r w:rsidRPr="005A6658">
        <w:t xml:space="preserve">, A., Resch, A., Wieland, K.-P., Peschel, A. &amp; Götz, F. </w:t>
      </w:r>
      <w:proofErr w:type="spellStart"/>
      <w:r w:rsidRPr="005A6658">
        <w:t>Staphyloxanthin</w:t>
      </w:r>
      <w:proofErr w:type="spellEnd"/>
      <w:r w:rsidRPr="005A6658">
        <w:t xml:space="preserve"> Plays a Role in the Fitness of </w:t>
      </w:r>
      <w:r w:rsidRPr="005A6658">
        <w:rPr>
          <w:i/>
          <w:iCs/>
        </w:rPr>
        <w:t>Staphylococcus aureus</w:t>
      </w:r>
      <w:r w:rsidRPr="005A6658">
        <w:t xml:space="preserve"> and Its Ability </w:t>
      </w:r>
      <w:proofErr w:type="gramStart"/>
      <w:r w:rsidRPr="005A6658">
        <w:t>To</w:t>
      </w:r>
      <w:proofErr w:type="gramEnd"/>
      <w:r w:rsidRPr="005A6658">
        <w:t xml:space="preserve"> Cope with Oxidative Stress. </w:t>
      </w:r>
      <w:r w:rsidRPr="005A6658">
        <w:rPr>
          <w:i/>
          <w:iCs/>
        </w:rPr>
        <w:t xml:space="preserve">Infect </w:t>
      </w:r>
      <w:proofErr w:type="spellStart"/>
      <w:r w:rsidRPr="005A6658">
        <w:rPr>
          <w:i/>
          <w:iCs/>
        </w:rPr>
        <w:t>Immun</w:t>
      </w:r>
      <w:proofErr w:type="spellEnd"/>
      <w:r w:rsidRPr="005A6658">
        <w:t xml:space="preserve"> </w:t>
      </w:r>
      <w:r w:rsidRPr="005A6658">
        <w:rPr>
          <w:b/>
          <w:bCs/>
        </w:rPr>
        <w:t>74</w:t>
      </w:r>
      <w:r w:rsidRPr="005A6658">
        <w:t>, 4950–4953 (2006).</w:t>
      </w:r>
    </w:p>
    <w:p w14:paraId="6FC0B4C0" w14:textId="77777777" w:rsidR="005A6658" w:rsidRPr="005A6658" w:rsidRDefault="005A6658" w:rsidP="005A6658">
      <w:pPr>
        <w:pStyle w:val="Bibliography"/>
      </w:pPr>
      <w:r w:rsidRPr="005A6658">
        <w:t>56.</w:t>
      </w:r>
      <w:r w:rsidRPr="005A6658">
        <w:tab/>
        <w:t xml:space="preserve">Yarwood, J. M. &amp; Schlievert, P. M. Quorum sensing in Staphylococcus infections. </w:t>
      </w:r>
      <w:r w:rsidRPr="005A6658">
        <w:rPr>
          <w:i/>
          <w:iCs/>
        </w:rPr>
        <w:t>J. Clin. Invest.</w:t>
      </w:r>
      <w:r w:rsidRPr="005A6658">
        <w:t xml:space="preserve"> </w:t>
      </w:r>
      <w:r w:rsidRPr="005A6658">
        <w:rPr>
          <w:b/>
          <w:bCs/>
        </w:rPr>
        <w:t>112</w:t>
      </w:r>
      <w:r w:rsidRPr="005A6658">
        <w:t>, 1620–1625 (2003).</w:t>
      </w:r>
    </w:p>
    <w:p w14:paraId="4EE32C33" w14:textId="77777777" w:rsidR="005A6658" w:rsidRPr="005A6658" w:rsidRDefault="005A6658" w:rsidP="005A6658">
      <w:pPr>
        <w:pStyle w:val="Bibliography"/>
      </w:pPr>
      <w:r w:rsidRPr="005A6658">
        <w:t>57.</w:t>
      </w:r>
      <w:r w:rsidRPr="005A6658">
        <w:tab/>
        <w:t xml:space="preserve">Moller, A. G. </w:t>
      </w:r>
      <w:r w:rsidRPr="005A6658">
        <w:rPr>
          <w:i/>
          <w:iCs/>
        </w:rPr>
        <w:t>et al.</w:t>
      </w:r>
      <w:r w:rsidRPr="005A6658">
        <w:t xml:space="preserve"> Genes Inﬂuencing Phage Host Range in Staphylococcus aureus on a Species-Wide Scale. </w:t>
      </w:r>
      <w:r w:rsidRPr="005A6658">
        <w:rPr>
          <w:b/>
          <w:bCs/>
        </w:rPr>
        <w:t>6</w:t>
      </w:r>
      <w:r w:rsidRPr="005A6658">
        <w:t>, (2021).</w:t>
      </w:r>
    </w:p>
    <w:p w14:paraId="7C238381" w14:textId="77777777" w:rsidR="005A6658" w:rsidRPr="005A6658" w:rsidRDefault="005A6658" w:rsidP="005A6658">
      <w:pPr>
        <w:pStyle w:val="Bibliography"/>
      </w:pPr>
      <w:r w:rsidRPr="005A6658">
        <w:t>58.</w:t>
      </w:r>
      <w:r w:rsidRPr="005A6658">
        <w:tab/>
        <w:t xml:space="preserve">Reyes-Robles, T. </w:t>
      </w:r>
      <w:r w:rsidRPr="005A6658">
        <w:rPr>
          <w:i/>
          <w:iCs/>
        </w:rPr>
        <w:t>et al.</w:t>
      </w:r>
      <w:r w:rsidRPr="005A6658">
        <w:t xml:space="preserve"> Staphylococcus aureus Leukotoxin ED Targets the Chemokine Receptors CXCR1 and CXCR2 to Kill Leukocytes and Promote Infection. </w:t>
      </w:r>
      <w:r w:rsidRPr="005A6658">
        <w:rPr>
          <w:i/>
          <w:iCs/>
        </w:rPr>
        <w:t>Cell Host &amp; Microbe</w:t>
      </w:r>
      <w:r w:rsidRPr="005A6658">
        <w:t xml:space="preserve"> </w:t>
      </w:r>
      <w:r w:rsidRPr="005A6658">
        <w:rPr>
          <w:b/>
          <w:bCs/>
        </w:rPr>
        <w:t>14</w:t>
      </w:r>
      <w:r w:rsidRPr="005A6658">
        <w:t>, 453–459 (2013).</w:t>
      </w:r>
    </w:p>
    <w:p w14:paraId="7978EA0A" w14:textId="77777777" w:rsidR="005A6658" w:rsidRPr="005A6658" w:rsidRDefault="005A6658" w:rsidP="005A6658">
      <w:pPr>
        <w:pStyle w:val="Bibliography"/>
      </w:pPr>
      <w:r w:rsidRPr="005A6658">
        <w:t>59.</w:t>
      </w:r>
      <w:r w:rsidRPr="005A6658">
        <w:tab/>
        <w:t xml:space="preserve">Cheung, G. Y. C., Bae, J. S. &amp; Otto, M. Pathogenicity and virulence of </w:t>
      </w:r>
      <w:r w:rsidRPr="005A6658">
        <w:rPr>
          <w:i/>
          <w:iCs/>
        </w:rPr>
        <w:t>Staphylococcus aureus</w:t>
      </w:r>
      <w:r w:rsidRPr="005A6658">
        <w:t xml:space="preserve">. </w:t>
      </w:r>
      <w:r w:rsidRPr="005A6658">
        <w:rPr>
          <w:i/>
          <w:iCs/>
        </w:rPr>
        <w:t>Virulence</w:t>
      </w:r>
      <w:r w:rsidRPr="005A6658">
        <w:t xml:space="preserve"> </w:t>
      </w:r>
      <w:r w:rsidRPr="005A6658">
        <w:rPr>
          <w:b/>
          <w:bCs/>
        </w:rPr>
        <w:t>12</w:t>
      </w:r>
      <w:r w:rsidRPr="005A6658">
        <w:t>, 547–569 (2021).</w:t>
      </w:r>
    </w:p>
    <w:p w14:paraId="2EB77D57" w14:textId="77777777" w:rsidR="005A6658" w:rsidRPr="005A6658" w:rsidRDefault="005A6658" w:rsidP="005A6658">
      <w:pPr>
        <w:pStyle w:val="Bibliography"/>
      </w:pPr>
      <w:r w:rsidRPr="005A6658">
        <w:t>60.</w:t>
      </w:r>
      <w:r w:rsidRPr="005A6658">
        <w:tab/>
        <w:t xml:space="preserve">Otto, M. Staphylococcus aureus toxins. </w:t>
      </w:r>
      <w:r w:rsidRPr="005A6658">
        <w:rPr>
          <w:i/>
          <w:iCs/>
        </w:rPr>
        <w:t>Current Opinion in Microbiology</w:t>
      </w:r>
      <w:r w:rsidRPr="005A6658">
        <w:t xml:space="preserve"> </w:t>
      </w:r>
      <w:r w:rsidRPr="005A6658">
        <w:rPr>
          <w:b/>
          <w:bCs/>
        </w:rPr>
        <w:t>17</w:t>
      </w:r>
      <w:r w:rsidRPr="005A6658">
        <w:t>, 32–37 (2014).</w:t>
      </w:r>
    </w:p>
    <w:p w14:paraId="5050483F" w14:textId="77777777" w:rsidR="005A6658" w:rsidRPr="005A6658" w:rsidRDefault="005A6658" w:rsidP="005A6658">
      <w:pPr>
        <w:pStyle w:val="Bibliography"/>
      </w:pPr>
      <w:r w:rsidRPr="005A6658">
        <w:t>61.</w:t>
      </w:r>
      <w:r w:rsidRPr="005A6658">
        <w:tab/>
        <w:t xml:space="preserve">Kortright, K. E., Doss-Gollin, S., Chan, B. K. &amp; Turner, P. E. Evolution of Bacterial Cross-Resistance to Lytic Phages and </w:t>
      </w:r>
      <w:proofErr w:type="spellStart"/>
      <w:r w:rsidRPr="005A6658">
        <w:t>Albicidin</w:t>
      </w:r>
      <w:proofErr w:type="spellEnd"/>
      <w:r w:rsidRPr="005A6658">
        <w:t xml:space="preserve"> Antibiotic. </w:t>
      </w:r>
      <w:r w:rsidRPr="005A6658">
        <w:rPr>
          <w:i/>
          <w:iCs/>
        </w:rPr>
        <w:t xml:space="preserve">Front. </w:t>
      </w:r>
      <w:proofErr w:type="spellStart"/>
      <w:r w:rsidRPr="005A6658">
        <w:rPr>
          <w:i/>
          <w:iCs/>
        </w:rPr>
        <w:t>Microbiol</w:t>
      </w:r>
      <w:proofErr w:type="spellEnd"/>
      <w:r w:rsidRPr="005A6658">
        <w:rPr>
          <w:i/>
          <w:iCs/>
        </w:rPr>
        <w:t>.</w:t>
      </w:r>
      <w:r w:rsidRPr="005A6658">
        <w:t xml:space="preserve"> </w:t>
      </w:r>
      <w:r w:rsidRPr="005A6658">
        <w:rPr>
          <w:b/>
          <w:bCs/>
        </w:rPr>
        <w:t>12</w:t>
      </w:r>
      <w:r w:rsidRPr="005A6658">
        <w:t>, 658374 (2021).</w:t>
      </w:r>
    </w:p>
    <w:p w14:paraId="32F08A54" w14:textId="77777777" w:rsidR="005A6658" w:rsidRPr="005A6658" w:rsidRDefault="005A6658" w:rsidP="005A6658">
      <w:pPr>
        <w:pStyle w:val="Bibliography"/>
      </w:pPr>
      <w:r w:rsidRPr="005A6658">
        <w:t>62.</w:t>
      </w:r>
      <w:r w:rsidRPr="005A6658">
        <w:tab/>
        <w:t xml:space="preserve">Crosby, H. A., Kwiecinski, J. M. &amp; Horswill, A. R. In Vitro Assay for Quantifying Clumping of Staphylococcus aureus. in </w:t>
      </w:r>
      <w:r w:rsidRPr="005A6658">
        <w:rPr>
          <w:i/>
          <w:iCs/>
        </w:rPr>
        <w:t>Staphylococcus aureus</w:t>
      </w:r>
      <w:r w:rsidRPr="005A6658">
        <w:t xml:space="preserve"> (ed. Rice, K. C.) vol. 2341 31–36 (Springer US, New York, NY, 2021).</w:t>
      </w:r>
    </w:p>
    <w:p w14:paraId="50F79281" w14:textId="77777777" w:rsidR="005A6658" w:rsidRPr="005A6658" w:rsidRDefault="005A6658" w:rsidP="005A6658">
      <w:pPr>
        <w:pStyle w:val="Bibliography"/>
      </w:pPr>
      <w:r w:rsidRPr="005A6658">
        <w:t>63.</w:t>
      </w:r>
      <w:r w:rsidRPr="005A6658">
        <w:tab/>
      </w:r>
      <w:proofErr w:type="spellStart"/>
      <w:r w:rsidRPr="005A6658">
        <w:t>Feoktistova</w:t>
      </w:r>
      <w:proofErr w:type="spellEnd"/>
      <w:r w:rsidRPr="005A6658">
        <w:t xml:space="preserve">, M., Geserick, P. &amp; </w:t>
      </w:r>
      <w:proofErr w:type="spellStart"/>
      <w:r w:rsidRPr="005A6658">
        <w:t>Leverkus</w:t>
      </w:r>
      <w:proofErr w:type="spellEnd"/>
      <w:r w:rsidRPr="005A6658">
        <w:t xml:space="preserve">, M. Crystal Violet Assay for Determining Viability of Cultured Cells. </w:t>
      </w:r>
      <w:r w:rsidRPr="005A6658">
        <w:rPr>
          <w:i/>
          <w:iCs/>
        </w:rPr>
        <w:t xml:space="preserve">Cold Spring Harb </w:t>
      </w:r>
      <w:proofErr w:type="spellStart"/>
      <w:r w:rsidRPr="005A6658">
        <w:rPr>
          <w:i/>
          <w:iCs/>
        </w:rPr>
        <w:t>Protoc</w:t>
      </w:r>
      <w:proofErr w:type="spellEnd"/>
      <w:r w:rsidRPr="005A6658">
        <w:t xml:space="preserve"> </w:t>
      </w:r>
      <w:r w:rsidRPr="005A6658">
        <w:rPr>
          <w:b/>
          <w:bCs/>
        </w:rPr>
        <w:t>2016</w:t>
      </w:r>
      <w:r w:rsidRPr="005A6658">
        <w:t xml:space="preserve">, </w:t>
      </w:r>
      <w:proofErr w:type="gramStart"/>
      <w:r w:rsidRPr="005A6658">
        <w:t>pdb.prot</w:t>
      </w:r>
      <w:proofErr w:type="gramEnd"/>
      <w:r w:rsidRPr="005A6658">
        <w:t>087379 (2016).</w:t>
      </w:r>
    </w:p>
    <w:p w14:paraId="44BC3E79" w14:textId="77777777" w:rsidR="005A6658" w:rsidRPr="005A6658" w:rsidRDefault="005A6658" w:rsidP="005A6658">
      <w:pPr>
        <w:pStyle w:val="Bibliography"/>
      </w:pPr>
      <w:r w:rsidRPr="005A6658">
        <w:t>64.</w:t>
      </w:r>
      <w:r w:rsidRPr="005A6658">
        <w:tab/>
        <w:t xml:space="preserve">Hyatt, D. </w:t>
      </w:r>
      <w:r w:rsidRPr="005A6658">
        <w:rPr>
          <w:i/>
          <w:iCs/>
        </w:rPr>
        <w:t>et al.</w:t>
      </w:r>
      <w:r w:rsidRPr="005A6658">
        <w:t xml:space="preserve"> Prodigal: prokaryotic gene recognition and translation initiation site identification. </w:t>
      </w:r>
      <w:r w:rsidRPr="005A6658">
        <w:rPr>
          <w:i/>
          <w:iCs/>
        </w:rPr>
        <w:t>BMC Bioinformatics</w:t>
      </w:r>
      <w:r w:rsidRPr="005A6658">
        <w:t xml:space="preserve"> </w:t>
      </w:r>
      <w:r w:rsidRPr="005A6658">
        <w:rPr>
          <w:b/>
          <w:bCs/>
        </w:rPr>
        <w:t>11</w:t>
      </w:r>
      <w:r w:rsidRPr="005A6658">
        <w:t>, 119 (2010).</w:t>
      </w:r>
    </w:p>
    <w:p w14:paraId="04B5791C" w14:textId="77777777" w:rsidR="005A6658" w:rsidRPr="005A6658" w:rsidRDefault="005A6658" w:rsidP="005A6658">
      <w:pPr>
        <w:pStyle w:val="Bibliography"/>
      </w:pPr>
      <w:r w:rsidRPr="005A6658">
        <w:t>65.</w:t>
      </w:r>
      <w:r w:rsidRPr="005A6658">
        <w:tab/>
        <w:t xml:space="preserve">Li, H. Minimap2: pairwise alignment for nucleotide sequences. </w:t>
      </w:r>
      <w:r w:rsidRPr="005A6658">
        <w:rPr>
          <w:i/>
          <w:iCs/>
        </w:rPr>
        <w:t>Bioinformatics</w:t>
      </w:r>
      <w:r w:rsidRPr="005A6658">
        <w:t xml:space="preserve"> </w:t>
      </w:r>
      <w:r w:rsidRPr="005A6658">
        <w:rPr>
          <w:b/>
          <w:bCs/>
        </w:rPr>
        <w:t>34</w:t>
      </w:r>
      <w:r w:rsidRPr="005A6658">
        <w:t>, 3094–3100 (2018).</w:t>
      </w:r>
    </w:p>
    <w:p w14:paraId="40F3CFC9" w14:textId="77777777" w:rsidR="005A6658" w:rsidRPr="005A6658" w:rsidRDefault="005A6658" w:rsidP="005A6658">
      <w:pPr>
        <w:pStyle w:val="Bibliography"/>
      </w:pPr>
      <w:r w:rsidRPr="005A6658">
        <w:t>66.</w:t>
      </w:r>
      <w:r w:rsidRPr="005A6658">
        <w:tab/>
        <w:t xml:space="preserve">Li, H. </w:t>
      </w:r>
      <w:r w:rsidRPr="005A6658">
        <w:rPr>
          <w:i/>
          <w:iCs/>
        </w:rPr>
        <w:t>et al.</w:t>
      </w:r>
      <w:r w:rsidRPr="005A6658">
        <w:t xml:space="preserve"> The Sequence Alignment/Map format and </w:t>
      </w:r>
      <w:proofErr w:type="spellStart"/>
      <w:r w:rsidRPr="005A6658">
        <w:t>SAMtools</w:t>
      </w:r>
      <w:proofErr w:type="spellEnd"/>
      <w:r w:rsidRPr="005A6658">
        <w:t xml:space="preserve">. </w:t>
      </w:r>
      <w:r w:rsidRPr="005A6658">
        <w:rPr>
          <w:i/>
          <w:iCs/>
        </w:rPr>
        <w:t>Bioinformatics</w:t>
      </w:r>
      <w:r w:rsidRPr="005A6658">
        <w:t xml:space="preserve"> </w:t>
      </w:r>
      <w:r w:rsidRPr="005A6658">
        <w:rPr>
          <w:b/>
          <w:bCs/>
        </w:rPr>
        <w:t>25</w:t>
      </w:r>
      <w:r w:rsidRPr="005A6658">
        <w:t>, 2078–2079 (2009).</w:t>
      </w:r>
    </w:p>
    <w:p w14:paraId="647716BA" w14:textId="77777777" w:rsidR="005A6658" w:rsidRPr="005A6658" w:rsidRDefault="005A6658" w:rsidP="005A6658">
      <w:pPr>
        <w:pStyle w:val="Bibliography"/>
      </w:pPr>
      <w:r w:rsidRPr="005A6658">
        <w:t>67.</w:t>
      </w:r>
      <w:r w:rsidRPr="005A6658">
        <w:tab/>
        <w:t xml:space="preserve">Langmead, B. &amp; Salzberg, S. L. Fast gapped-read alignment with Bowtie 2. </w:t>
      </w:r>
      <w:r w:rsidRPr="005A6658">
        <w:rPr>
          <w:i/>
          <w:iCs/>
        </w:rPr>
        <w:t>Nat Methods</w:t>
      </w:r>
      <w:r w:rsidRPr="005A6658">
        <w:t xml:space="preserve"> </w:t>
      </w:r>
      <w:r w:rsidRPr="005A6658">
        <w:rPr>
          <w:b/>
          <w:bCs/>
        </w:rPr>
        <w:t>9</w:t>
      </w:r>
      <w:r w:rsidRPr="005A6658">
        <w:t>, 357–359 (2012).</w:t>
      </w:r>
    </w:p>
    <w:p w14:paraId="47AFCD10" w14:textId="77777777" w:rsidR="005A6658" w:rsidRPr="005A6658" w:rsidRDefault="005A6658" w:rsidP="005A6658">
      <w:pPr>
        <w:pStyle w:val="Bibliography"/>
      </w:pPr>
      <w:r w:rsidRPr="005A6658">
        <w:t>68.</w:t>
      </w:r>
      <w:r w:rsidRPr="005A6658">
        <w:tab/>
        <w:t xml:space="preserve">Liao, Y., Smyth, G. K. &amp; Shi, W. </w:t>
      </w:r>
      <w:proofErr w:type="spellStart"/>
      <w:r w:rsidRPr="005A6658">
        <w:t>featureCounts</w:t>
      </w:r>
      <w:proofErr w:type="spellEnd"/>
      <w:r w:rsidRPr="005A6658">
        <w:t xml:space="preserve">: an efficient </w:t>
      </w:r>
      <w:proofErr w:type="gramStart"/>
      <w:r w:rsidRPr="005A6658">
        <w:t>general purpose</w:t>
      </w:r>
      <w:proofErr w:type="gramEnd"/>
      <w:r w:rsidRPr="005A6658">
        <w:t xml:space="preserve"> program for assigning sequence reads to genomic features. </w:t>
      </w:r>
      <w:r w:rsidRPr="005A6658">
        <w:rPr>
          <w:i/>
          <w:iCs/>
        </w:rPr>
        <w:t>Bioinformatics</w:t>
      </w:r>
      <w:r w:rsidRPr="005A6658">
        <w:t xml:space="preserve"> </w:t>
      </w:r>
      <w:r w:rsidRPr="005A6658">
        <w:rPr>
          <w:b/>
          <w:bCs/>
        </w:rPr>
        <w:t>30</w:t>
      </w:r>
      <w:r w:rsidRPr="005A6658">
        <w:t>, 923–930 (2014).</w:t>
      </w:r>
    </w:p>
    <w:p w14:paraId="3E5AC371" w14:textId="77777777" w:rsidR="005A6658" w:rsidRPr="005A6658" w:rsidRDefault="005A6658" w:rsidP="005A6658">
      <w:pPr>
        <w:pStyle w:val="Bibliography"/>
      </w:pPr>
      <w:r w:rsidRPr="005A6658">
        <w:t>69.</w:t>
      </w:r>
      <w:r w:rsidRPr="005A6658">
        <w:tab/>
        <w:t xml:space="preserve">Love, M. I., Huber, W. &amp; Anders, S. Moderated estimation of fold change and dispersion for RNA-seq data with DESeq2. </w:t>
      </w:r>
      <w:r w:rsidRPr="005A6658">
        <w:rPr>
          <w:i/>
          <w:iCs/>
        </w:rPr>
        <w:t>Genome Biol</w:t>
      </w:r>
      <w:r w:rsidRPr="005A6658">
        <w:t xml:space="preserve"> </w:t>
      </w:r>
      <w:r w:rsidRPr="005A6658">
        <w:rPr>
          <w:b/>
          <w:bCs/>
        </w:rPr>
        <w:t>15</w:t>
      </w:r>
      <w:r w:rsidRPr="005A6658">
        <w:t>, 550 (2014).</w:t>
      </w:r>
    </w:p>
    <w:p w14:paraId="3B089DB8" w14:textId="77777777" w:rsidR="005A6658" w:rsidRPr="005A6658" w:rsidRDefault="005A6658" w:rsidP="005A6658">
      <w:pPr>
        <w:pStyle w:val="Bibliography"/>
      </w:pPr>
      <w:r w:rsidRPr="005A6658">
        <w:t>70.</w:t>
      </w:r>
      <w:r w:rsidRPr="005A6658">
        <w:tab/>
      </w:r>
      <w:proofErr w:type="spellStart"/>
      <w:r w:rsidRPr="005A6658">
        <w:t>Steinegger</w:t>
      </w:r>
      <w:proofErr w:type="spellEnd"/>
      <w:r w:rsidRPr="005A6658">
        <w:t xml:space="preserve">, M. &amp; </w:t>
      </w:r>
      <w:proofErr w:type="spellStart"/>
      <w:r w:rsidRPr="005A6658">
        <w:t>Söding</w:t>
      </w:r>
      <w:proofErr w:type="spellEnd"/>
      <w:r w:rsidRPr="005A6658">
        <w:t xml:space="preserve">, J. MMseqs2 enables sensitive protein sequence searching for the analysis of massive data sets. </w:t>
      </w:r>
      <w:r w:rsidRPr="005A6658">
        <w:rPr>
          <w:i/>
          <w:iCs/>
        </w:rPr>
        <w:t xml:space="preserve">Nat </w:t>
      </w:r>
      <w:proofErr w:type="spellStart"/>
      <w:r w:rsidRPr="005A6658">
        <w:rPr>
          <w:i/>
          <w:iCs/>
        </w:rPr>
        <w:t>Biotechnol</w:t>
      </w:r>
      <w:proofErr w:type="spellEnd"/>
      <w:r w:rsidRPr="005A6658">
        <w:t xml:space="preserve"> </w:t>
      </w:r>
      <w:r w:rsidRPr="005A6658">
        <w:rPr>
          <w:b/>
          <w:bCs/>
        </w:rPr>
        <w:t>35</w:t>
      </w:r>
      <w:r w:rsidRPr="005A6658">
        <w:t>, 1026–1028 (2017).</w:t>
      </w:r>
    </w:p>
    <w:p w14:paraId="54976340" w14:textId="77777777" w:rsidR="005A6658" w:rsidRPr="005A6658" w:rsidRDefault="005A6658" w:rsidP="005A6658">
      <w:pPr>
        <w:pStyle w:val="Bibliography"/>
      </w:pPr>
      <w:r w:rsidRPr="005A6658">
        <w:t>71.</w:t>
      </w:r>
      <w:r w:rsidRPr="005A6658">
        <w:tab/>
        <w:t xml:space="preserve">Christensen, G. D., Simpson, W. A., Bisno, A. L. &amp; Beachey, E. H. Adherence of slime-producing strains of Staphylococcus epidermidis to smooth surfaces. </w:t>
      </w:r>
      <w:r w:rsidRPr="005A6658">
        <w:rPr>
          <w:i/>
          <w:iCs/>
        </w:rPr>
        <w:t xml:space="preserve">Infect </w:t>
      </w:r>
      <w:proofErr w:type="spellStart"/>
      <w:r w:rsidRPr="005A6658">
        <w:rPr>
          <w:i/>
          <w:iCs/>
        </w:rPr>
        <w:t>Immun</w:t>
      </w:r>
      <w:proofErr w:type="spellEnd"/>
      <w:r w:rsidRPr="005A6658">
        <w:t xml:space="preserve"> </w:t>
      </w:r>
      <w:r w:rsidRPr="005A6658">
        <w:rPr>
          <w:b/>
          <w:bCs/>
        </w:rPr>
        <w:t>37</w:t>
      </w:r>
      <w:r w:rsidRPr="005A6658">
        <w:t>, 318–326 (1982).</w:t>
      </w:r>
    </w:p>
    <w:p w14:paraId="4EC76C0F" w14:textId="77777777" w:rsidR="005A6658" w:rsidRPr="005A6658" w:rsidRDefault="005A6658" w:rsidP="005A6658">
      <w:pPr>
        <w:pStyle w:val="Bibliography"/>
      </w:pPr>
      <w:r w:rsidRPr="005A6658">
        <w:t>72.</w:t>
      </w:r>
      <w:r w:rsidRPr="005A6658">
        <w:tab/>
        <w:t xml:space="preserve">Jiang, W. </w:t>
      </w:r>
      <w:r w:rsidRPr="005A6658">
        <w:rPr>
          <w:i/>
          <w:iCs/>
        </w:rPr>
        <w:t>et al.</w:t>
      </w:r>
      <w:r w:rsidRPr="005A6658">
        <w:t xml:space="preserve"> Dealing with the Evolutionary Downside of CRISPR Immunity: Bacteria and Beneficial Plasmids. </w:t>
      </w:r>
      <w:proofErr w:type="spellStart"/>
      <w:r w:rsidRPr="005A6658">
        <w:rPr>
          <w:i/>
          <w:iCs/>
        </w:rPr>
        <w:t>PLoS</w:t>
      </w:r>
      <w:proofErr w:type="spellEnd"/>
      <w:r w:rsidRPr="005A6658">
        <w:rPr>
          <w:i/>
          <w:iCs/>
        </w:rPr>
        <w:t xml:space="preserve"> Genet</w:t>
      </w:r>
      <w:r w:rsidRPr="005A6658">
        <w:t xml:space="preserve"> </w:t>
      </w:r>
      <w:r w:rsidRPr="005A6658">
        <w:rPr>
          <w:b/>
          <w:bCs/>
        </w:rPr>
        <w:t>9</w:t>
      </w:r>
      <w:r w:rsidRPr="005A6658">
        <w:t>, e1003844 (2013).</w:t>
      </w:r>
    </w:p>
    <w:p w14:paraId="2456EADA" w14:textId="5389652C" w:rsidR="003F57DE" w:rsidRPr="005A6658" w:rsidRDefault="005A6658" w:rsidP="005A6658">
      <w:pPr>
        <w:pStyle w:val="NoSpacing"/>
        <w:rPr>
          <w:rFonts w:ascii="Times New Roman" w:hAnsi="Times New Roman" w:cs="Times New Roman"/>
          <w:lang w:val="es-PR"/>
        </w:rPr>
      </w:pPr>
      <w:r w:rsidRPr="005A6658">
        <w:rPr>
          <w:rFonts w:ascii="Times New Roman" w:hAnsi="Times New Roman" w:cs="Times New Roman"/>
          <w:b/>
          <w:bCs/>
          <w:u w:val="single"/>
        </w:rPr>
        <w:fldChar w:fldCharType="end"/>
      </w:r>
    </w:p>
    <w:p w14:paraId="7E69DA67" w14:textId="77777777" w:rsidR="003F57DE" w:rsidRPr="005A6658" w:rsidRDefault="003F57DE" w:rsidP="003F57DE">
      <w:pPr>
        <w:pStyle w:val="NoSpacing"/>
        <w:rPr>
          <w:rFonts w:ascii="Times New Roman" w:hAnsi="Times New Roman" w:cs="Times New Roman"/>
          <w:lang w:val="es-PR"/>
        </w:rPr>
      </w:pPr>
    </w:p>
    <w:p w14:paraId="19605581" w14:textId="77777777" w:rsidR="003F57DE" w:rsidRPr="005A6658" w:rsidRDefault="003F57DE" w:rsidP="003F57DE">
      <w:pPr>
        <w:pStyle w:val="NoSpacing"/>
        <w:rPr>
          <w:rFonts w:ascii="Times New Roman" w:hAnsi="Times New Roman" w:cs="Times New Roman"/>
          <w:lang w:val="es-PR"/>
        </w:rPr>
      </w:pPr>
    </w:p>
    <w:p w14:paraId="10FDF301" w14:textId="77777777" w:rsidR="003F57DE" w:rsidRPr="005A6658" w:rsidRDefault="003F57DE" w:rsidP="003F57DE">
      <w:pPr>
        <w:pStyle w:val="NoSpacing"/>
        <w:rPr>
          <w:rFonts w:ascii="Times New Roman" w:hAnsi="Times New Roman" w:cs="Times New Roman"/>
          <w:lang w:val="es-PR"/>
        </w:rPr>
      </w:pPr>
    </w:p>
    <w:p w14:paraId="615C9C47" w14:textId="77777777" w:rsidR="003F57DE" w:rsidRPr="005A6658" w:rsidRDefault="003F57DE" w:rsidP="003F57DE">
      <w:pPr>
        <w:pStyle w:val="NoSpacing"/>
        <w:rPr>
          <w:rFonts w:ascii="Times New Roman" w:hAnsi="Times New Roman" w:cs="Times New Roman"/>
          <w:lang w:val="es-PR"/>
        </w:rPr>
      </w:pPr>
    </w:p>
    <w:p w14:paraId="15E80E69" w14:textId="77777777" w:rsidR="006F47D1" w:rsidRPr="006F47D1" w:rsidRDefault="006F47D1" w:rsidP="00EA6837">
      <w:pPr>
        <w:pStyle w:val="NoSpacing"/>
        <w:rPr>
          <w:lang w:val="es-PR"/>
        </w:rPr>
      </w:pPr>
    </w:p>
    <w:sectPr w:rsidR="006F47D1" w:rsidRPr="006F47D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72C"/>
    <w:rsid w:val="00002E3D"/>
    <w:rsid w:val="00013119"/>
    <w:rsid w:val="00013364"/>
    <w:rsid w:val="000364B3"/>
    <w:rsid w:val="0005458D"/>
    <w:rsid w:val="000D4BBA"/>
    <w:rsid w:val="001104C5"/>
    <w:rsid w:val="00136C26"/>
    <w:rsid w:val="00147516"/>
    <w:rsid w:val="00255092"/>
    <w:rsid w:val="00275E27"/>
    <w:rsid w:val="002800AE"/>
    <w:rsid w:val="00291D38"/>
    <w:rsid w:val="002C7131"/>
    <w:rsid w:val="002E38CD"/>
    <w:rsid w:val="003F57DE"/>
    <w:rsid w:val="00401F59"/>
    <w:rsid w:val="0044657F"/>
    <w:rsid w:val="0047696A"/>
    <w:rsid w:val="00526B4D"/>
    <w:rsid w:val="00540516"/>
    <w:rsid w:val="00542AC2"/>
    <w:rsid w:val="005A6658"/>
    <w:rsid w:val="005C3C51"/>
    <w:rsid w:val="005F08C3"/>
    <w:rsid w:val="006A5517"/>
    <w:rsid w:val="006C7EE0"/>
    <w:rsid w:val="006E5DBB"/>
    <w:rsid w:val="006F47D1"/>
    <w:rsid w:val="00730BE1"/>
    <w:rsid w:val="007827FB"/>
    <w:rsid w:val="00785B21"/>
    <w:rsid w:val="008155D9"/>
    <w:rsid w:val="0091777F"/>
    <w:rsid w:val="00925F3D"/>
    <w:rsid w:val="0093543D"/>
    <w:rsid w:val="009C4492"/>
    <w:rsid w:val="009E16EC"/>
    <w:rsid w:val="009E74C0"/>
    <w:rsid w:val="00A124E2"/>
    <w:rsid w:val="00A41AF9"/>
    <w:rsid w:val="00A61C9C"/>
    <w:rsid w:val="00A720ED"/>
    <w:rsid w:val="00AD4185"/>
    <w:rsid w:val="00B3472C"/>
    <w:rsid w:val="00B36A49"/>
    <w:rsid w:val="00B51A5F"/>
    <w:rsid w:val="00B767BD"/>
    <w:rsid w:val="00B806AE"/>
    <w:rsid w:val="00BB4366"/>
    <w:rsid w:val="00C00DB3"/>
    <w:rsid w:val="00C87793"/>
    <w:rsid w:val="00CB19E5"/>
    <w:rsid w:val="00CF30E9"/>
    <w:rsid w:val="00D44FBE"/>
    <w:rsid w:val="00D63644"/>
    <w:rsid w:val="00D8269E"/>
    <w:rsid w:val="00E75CC3"/>
    <w:rsid w:val="00EA6837"/>
    <w:rsid w:val="00EB09A1"/>
    <w:rsid w:val="00EB369B"/>
    <w:rsid w:val="00EC2DE6"/>
    <w:rsid w:val="00F65448"/>
    <w:rsid w:val="00F71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E7804"/>
  <w15:chartTrackingRefBased/>
  <w15:docId w15:val="{6EE6FB03-FF2E-4B44-B751-9834C132E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185"/>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B347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347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3472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3472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3472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3472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472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472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472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472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3472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3472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3472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3472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347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47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47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472C"/>
    <w:rPr>
      <w:rFonts w:eastAsiaTheme="majorEastAsia" w:cstheme="majorBidi"/>
      <w:color w:val="272727" w:themeColor="text1" w:themeTint="D8"/>
    </w:rPr>
  </w:style>
  <w:style w:type="paragraph" w:styleId="Title">
    <w:name w:val="Title"/>
    <w:basedOn w:val="Normal"/>
    <w:next w:val="Normal"/>
    <w:link w:val="TitleChar"/>
    <w:uiPriority w:val="10"/>
    <w:qFormat/>
    <w:rsid w:val="00B3472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47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47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47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472C"/>
    <w:pPr>
      <w:spacing w:before="160"/>
      <w:jc w:val="center"/>
    </w:pPr>
    <w:rPr>
      <w:i/>
      <w:iCs/>
      <w:color w:val="404040" w:themeColor="text1" w:themeTint="BF"/>
    </w:rPr>
  </w:style>
  <w:style w:type="character" w:customStyle="1" w:styleId="QuoteChar">
    <w:name w:val="Quote Char"/>
    <w:basedOn w:val="DefaultParagraphFont"/>
    <w:link w:val="Quote"/>
    <w:uiPriority w:val="29"/>
    <w:rsid w:val="00B3472C"/>
    <w:rPr>
      <w:i/>
      <w:iCs/>
      <w:color w:val="404040" w:themeColor="text1" w:themeTint="BF"/>
    </w:rPr>
  </w:style>
  <w:style w:type="paragraph" w:styleId="ListParagraph">
    <w:name w:val="List Paragraph"/>
    <w:basedOn w:val="Normal"/>
    <w:uiPriority w:val="34"/>
    <w:qFormat/>
    <w:rsid w:val="00B3472C"/>
    <w:pPr>
      <w:ind w:left="720"/>
      <w:contextualSpacing/>
    </w:pPr>
  </w:style>
  <w:style w:type="character" w:styleId="IntenseEmphasis">
    <w:name w:val="Intense Emphasis"/>
    <w:basedOn w:val="DefaultParagraphFont"/>
    <w:uiPriority w:val="21"/>
    <w:qFormat/>
    <w:rsid w:val="00B3472C"/>
    <w:rPr>
      <w:i/>
      <w:iCs/>
      <w:color w:val="0F4761" w:themeColor="accent1" w:themeShade="BF"/>
    </w:rPr>
  </w:style>
  <w:style w:type="paragraph" w:styleId="IntenseQuote">
    <w:name w:val="Intense Quote"/>
    <w:basedOn w:val="Normal"/>
    <w:next w:val="Normal"/>
    <w:link w:val="IntenseQuoteChar"/>
    <w:uiPriority w:val="30"/>
    <w:qFormat/>
    <w:rsid w:val="00B347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3472C"/>
    <w:rPr>
      <w:i/>
      <w:iCs/>
      <w:color w:val="0F4761" w:themeColor="accent1" w:themeShade="BF"/>
    </w:rPr>
  </w:style>
  <w:style w:type="character" w:styleId="IntenseReference">
    <w:name w:val="Intense Reference"/>
    <w:basedOn w:val="DefaultParagraphFont"/>
    <w:uiPriority w:val="32"/>
    <w:qFormat/>
    <w:rsid w:val="00B3472C"/>
    <w:rPr>
      <w:b/>
      <w:bCs/>
      <w:smallCaps/>
      <w:color w:val="0F4761" w:themeColor="accent1" w:themeShade="BF"/>
      <w:spacing w:val="5"/>
    </w:rPr>
  </w:style>
  <w:style w:type="paragraph" w:styleId="NoSpacing">
    <w:name w:val="No Spacing"/>
    <w:uiPriority w:val="1"/>
    <w:qFormat/>
    <w:rsid w:val="00B3472C"/>
    <w:pPr>
      <w:spacing w:after="0" w:line="240" w:lineRule="auto"/>
    </w:pPr>
  </w:style>
  <w:style w:type="character" w:styleId="Hyperlink">
    <w:name w:val="Hyperlink"/>
    <w:basedOn w:val="DefaultParagraphFont"/>
    <w:uiPriority w:val="99"/>
    <w:unhideWhenUsed/>
    <w:rsid w:val="00B3472C"/>
    <w:rPr>
      <w:color w:val="467886" w:themeColor="hyperlink"/>
      <w:u w:val="single"/>
    </w:rPr>
  </w:style>
  <w:style w:type="character" w:styleId="UnresolvedMention">
    <w:name w:val="Unresolved Mention"/>
    <w:basedOn w:val="DefaultParagraphFont"/>
    <w:uiPriority w:val="99"/>
    <w:semiHidden/>
    <w:unhideWhenUsed/>
    <w:rsid w:val="00B3472C"/>
    <w:rPr>
      <w:color w:val="605E5C"/>
      <w:shd w:val="clear" w:color="auto" w:fill="E1DFDD"/>
    </w:rPr>
  </w:style>
  <w:style w:type="table" w:styleId="TableGrid">
    <w:name w:val="Table Grid"/>
    <w:basedOn w:val="TableNormal"/>
    <w:uiPriority w:val="39"/>
    <w:rsid w:val="00AD418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542AC2"/>
  </w:style>
  <w:style w:type="table" w:styleId="TableGridLight">
    <w:name w:val="Grid Table Light"/>
    <w:basedOn w:val="TableNormal"/>
    <w:uiPriority w:val="40"/>
    <w:rsid w:val="006A5517"/>
    <w:pPr>
      <w:spacing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uiPriority w:val="37"/>
    <w:semiHidden/>
    <w:unhideWhenUsed/>
    <w:rsid w:val="005A6658"/>
  </w:style>
  <w:style w:type="paragraph" w:customStyle="1" w:styleId="paragraph">
    <w:name w:val="paragraph"/>
    <w:basedOn w:val="Normal"/>
    <w:rsid w:val="005A665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860706">
      <w:bodyDiv w:val="1"/>
      <w:marLeft w:val="0"/>
      <w:marRight w:val="0"/>
      <w:marTop w:val="0"/>
      <w:marBottom w:val="0"/>
      <w:divBdr>
        <w:top w:val="none" w:sz="0" w:space="0" w:color="auto"/>
        <w:left w:val="none" w:sz="0" w:space="0" w:color="auto"/>
        <w:bottom w:val="none" w:sz="0" w:space="0" w:color="auto"/>
        <w:right w:val="none" w:sz="0" w:space="0" w:color="auto"/>
      </w:divBdr>
    </w:div>
    <w:div w:id="215092653">
      <w:bodyDiv w:val="1"/>
      <w:marLeft w:val="0"/>
      <w:marRight w:val="0"/>
      <w:marTop w:val="0"/>
      <w:marBottom w:val="0"/>
      <w:divBdr>
        <w:top w:val="none" w:sz="0" w:space="0" w:color="auto"/>
        <w:left w:val="none" w:sz="0" w:space="0" w:color="auto"/>
        <w:bottom w:val="none" w:sz="0" w:space="0" w:color="auto"/>
        <w:right w:val="none" w:sz="0" w:space="0" w:color="auto"/>
      </w:divBdr>
    </w:div>
    <w:div w:id="277221471">
      <w:bodyDiv w:val="1"/>
      <w:marLeft w:val="0"/>
      <w:marRight w:val="0"/>
      <w:marTop w:val="0"/>
      <w:marBottom w:val="0"/>
      <w:divBdr>
        <w:top w:val="none" w:sz="0" w:space="0" w:color="auto"/>
        <w:left w:val="none" w:sz="0" w:space="0" w:color="auto"/>
        <w:bottom w:val="none" w:sz="0" w:space="0" w:color="auto"/>
        <w:right w:val="none" w:sz="0" w:space="0" w:color="auto"/>
      </w:divBdr>
    </w:div>
    <w:div w:id="335963133">
      <w:bodyDiv w:val="1"/>
      <w:marLeft w:val="0"/>
      <w:marRight w:val="0"/>
      <w:marTop w:val="0"/>
      <w:marBottom w:val="0"/>
      <w:divBdr>
        <w:top w:val="none" w:sz="0" w:space="0" w:color="auto"/>
        <w:left w:val="none" w:sz="0" w:space="0" w:color="auto"/>
        <w:bottom w:val="none" w:sz="0" w:space="0" w:color="auto"/>
        <w:right w:val="none" w:sz="0" w:space="0" w:color="auto"/>
      </w:divBdr>
    </w:div>
    <w:div w:id="426508905">
      <w:bodyDiv w:val="1"/>
      <w:marLeft w:val="0"/>
      <w:marRight w:val="0"/>
      <w:marTop w:val="0"/>
      <w:marBottom w:val="0"/>
      <w:divBdr>
        <w:top w:val="none" w:sz="0" w:space="0" w:color="auto"/>
        <w:left w:val="none" w:sz="0" w:space="0" w:color="auto"/>
        <w:bottom w:val="none" w:sz="0" w:space="0" w:color="auto"/>
        <w:right w:val="none" w:sz="0" w:space="0" w:color="auto"/>
      </w:divBdr>
    </w:div>
    <w:div w:id="434253224">
      <w:bodyDiv w:val="1"/>
      <w:marLeft w:val="0"/>
      <w:marRight w:val="0"/>
      <w:marTop w:val="0"/>
      <w:marBottom w:val="0"/>
      <w:divBdr>
        <w:top w:val="none" w:sz="0" w:space="0" w:color="auto"/>
        <w:left w:val="none" w:sz="0" w:space="0" w:color="auto"/>
        <w:bottom w:val="none" w:sz="0" w:space="0" w:color="auto"/>
        <w:right w:val="none" w:sz="0" w:space="0" w:color="auto"/>
      </w:divBdr>
    </w:div>
    <w:div w:id="446391336">
      <w:bodyDiv w:val="1"/>
      <w:marLeft w:val="0"/>
      <w:marRight w:val="0"/>
      <w:marTop w:val="0"/>
      <w:marBottom w:val="0"/>
      <w:divBdr>
        <w:top w:val="none" w:sz="0" w:space="0" w:color="auto"/>
        <w:left w:val="none" w:sz="0" w:space="0" w:color="auto"/>
        <w:bottom w:val="none" w:sz="0" w:space="0" w:color="auto"/>
        <w:right w:val="none" w:sz="0" w:space="0" w:color="auto"/>
      </w:divBdr>
    </w:div>
    <w:div w:id="466779973">
      <w:bodyDiv w:val="1"/>
      <w:marLeft w:val="0"/>
      <w:marRight w:val="0"/>
      <w:marTop w:val="0"/>
      <w:marBottom w:val="0"/>
      <w:divBdr>
        <w:top w:val="none" w:sz="0" w:space="0" w:color="auto"/>
        <w:left w:val="none" w:sz="0" w:space="0" w:color="auto"/>
        <w:bottom w:val="none" w:sz="0" w:space="0" w:color="auto"/>
        <w:right w:val="none" w:sz="0" w:space="0" w:color="auto"/>
      </w:divBdr>
    </w:div>
    <w:div w:id="487671216">
      <w:bodyDiv w:val="1"/>
      <w:marLeft w:val="0"/>
      <w:marRight w:val="0"/>
      <w:marTop w:val="0"/>
      <w:marBottom w:val="0"/>
      <w:divBdr>
        <w:top w:val="none" w:sz="0" w:space="0" w:color="auto"/>
        <w:left w:val="none" w:sz="0" w:space="0" w:color="auto"/>
        <w:bottom w:val="none" w:sz="0" w:space="0" w:color="auto"/>
        <w:right w:val="none" w:sz="0" w:space="0" w:color="auto"/>
      </w:divBdr>
    </w:div>
    <w:div w:id="554514146">
      <w:bodyDiv w:val="1"/>
      <w:marLeft w:val="0"/>
      <w:marRight w:val="0"/>
      <w:marTop w:val="0"/>
      <w:marBottom w:val="0"/>
      <w:divBdr>
        <w:top w:val="none" w:sz="0" w:space="0" w:color="auto"/>
        <w:left w:val="none" w:sz="0" w:space="0" w:color="auto"/>
        <w:bottom w:val="none" w:sz="0" w:space="0" w:color="auto"/>
        <w:right w:val="none" w:sz="0" w:space="0" w:color="auto"/>
      </w:divBdr>
    </w:div>
    <w:div w:id="635255726">
      <w:bodyDiv w:val="1"/>
      <w:marLeft w:val="0"/>
      <w:marRight w:val="0"/>
      <w:marTop w:val="0"/>
      <w:marBottom w:val="0"/>
      <w:divBdr>
        <w:top w:val="none" w:sz="0" w:space="0" w:color="auto"/>
        <w:left w:val="none" w:sz="0" w:space="0" w:color="auto"/>
        <w:bottom w:val="none" w:sz="0" w:space="0" w:color="auto"/>
        <w:right w:val="none" w:sz="0" w:space="0" w:color="auto"/>
      </w:divBdr>
    </w:div>
    <w:div w:id="880629720">
      <w:bodyDiv w:val="1"/>
      <w:marLeft w:val="0"/>
      <w:marRight w:val="0"/>
      <w:marTop w:val="0"/>
      <w:marBottom w:val="0"/>
      <w:divBdr>
        <w:top w:val="none" w:sz="0" w:space="0" w:color="auto"/>
        <w:left w:val="none" w:sz="0" w:space="0" w:color="auto"/>
        <w:bottom w:val="none" w:sz="0" w:space="0" w:color="auto"/>
        <w:right w:val="none" w:sz="0" w:space="0" w:color="auto"/>
      </w:divBdr>
    </w:div>
    <w:div w:id="952712353">
      <w:bodyDiv w:val="1"/>
      <w:marLeft w:val="0"/>
      <w:marRight w:val="0"/>
      <w:marTop w:val="0"/>
      <w:marBottom w:val="0"/>
      <w:divBdr>
        <w:top w:val="none" w:sz="0" w:space="0" w:color="auto"/>
        <w:left w:val="none" w:sz="0" w:space="0" w:color="auto"/>
        <w:bottom w:val="none" w:sz="0" w:space="0" w:color="auto"/>
        <w:right w:val="none" w:sz="0" w:space="0" w:color="auto"/>
      </w:divBdr>
    </w:div>
    <w:div w:id="1044910422">
      <w:bodyDiv w:val="1"/>
      <w:marLeft w:val="0"/>
      <w:marRight w:val="0"/>
      <w:marTop w:val="0"/>
      <w:marBottom w:val="0"/>
      <w:divBdr>
        <w:top w:val="none" w:sz="0" w:space="0" w:color="auto"/>
        <w:left w:val="none" w:sz="0" w:space="0" w:color="auto"/>
        <w:bottom w:val="none" w:sz="0" w:space="0" w:color="auto"/>
        <w:right w:val="none" w:sz="0" w:space="0" w:color="auto"/>
      </w:divBdr>
    </w:div>
    <w:div w:id="1158955351">
      <w:bodyDiv w:val="1"/>
      <w:marLeft w:val="0"/>
      <w:marRight w:val="0"/>
      <w:marTop w:val="0"/>
      <w:marBottom w:val="0"/>
      <w:divBdr>
        <w:top w:val="none" w:sz="0" w:space="0" w:color="auto"/>
        <w:left w:val="none" w:sz="0" w:space="0" w:color="auto"/>
        <w:bottom w:val="none" w:sz="0" w:space="0" w:color="auto"/>
        <w:right w:val="none" w:sz="0" w:space="0" w:color="auto"/>
      </w:divBdr>
    </w:div>
    <w:div w:id="1181704399">
      <w:bodyDiv w:val="1"/>
      <w:marLeft w:val="0"/>
      <w:marRight w:val="0"/>
      <w:marTop w:val="0"/>
      <w:marBottom w:val="0"/>
      <w:divBdr>
        <w:top w:val="none" w:sz="0" w:space="0" w:color="auto"/>
        <w:left w:val="none" w:sz="0" w:space="0" w:color="auto"/>
        <w:bottom w:val="none" w:sz="0" w:space="0" w:color="auto"/>
        <w:right w:val="none" w:sz="0" w:space="0" w:color="auto"/>
      </w:divBdr>
    </w:div>
    <w:div w:id="1292781597">
      <w:bodyDiv w:val="1"/>
      <w:marLeft w:val="0"/>
      <w:marRight w:val="0"/>
      <w:marTop w:val="0"/>
      <w:marBottom w:val="0"/>
      <w:divBdr>
        <w:top w:val="none" w:sz="0" w:space="0" w:color="auto"/>
        <w:left w:val="none" w:sz="0" w:space="0" w:color="auto"/>
        <w:bottom w:val="none" w:sz="0" w:space="0" w:color="auto"/>
        <w:right w:val="none" w:sz="0" w:space="0" w:color="auto"/>
      </w:divBdr>
    </w:div>
    <w:div w:id="1330911203">
      <w:bodyDiv w:val="1"/>
      <w:marLeft w:val="0"/>
      <w:marRight w:val="0"/>
      <w:marTop w:val="0"/>
      <w:marBottom w:val="0"/>
      <w:divBdr>
        <w:top w:val="none" w:sz="0" w:space="0" w:color="auto"/>
        <w:left w:val="none" w:sz="0" w:space="0" w:color="auto"/>
        <w:bottom w:val="none" w:sz="0" w:space="0" w:color="auto"/>
        <w:right w:val="none" w:sz="0" w:space="0" w:color="auto"/>
      </w:divBdr>
    </w:div>
    <w:div w:id="1481269932">
      <w:bodyDiv w:val="1"/>
      <w:marLeft w:val="0"/>
      <w:marRight w:val="0"/>
      <w:marTop w:val="0"/>
      <w:marBottom w:val="0"/>
      <w:divBdr>
        <w:top w:val="none" w:sz="0" w:space="0" w:color="auto"/>
        <w:left w:val="none" w:sz="0" w:space="0" w:color="auto"/>
        <w:bottom w:val="none" w:sz="0" w:space="0" w:color="auto"/>
        <w:right w:val="none" w:sz="0" w:space="0" w:color="auto"/>
      </w:divBdr>
    </w:div>
    <w:div w:id="1491214702">
      <w:bodyDiv w:val="1"/>
      <w:marLeft w:val="0"/>
      <w:marRight w:val="0"/>
      <w:marTop w:val="0"/>
      <w:marBottom w:val="0"/>
      <w:divBdr>
        <w:top w:val="none" w:sz="0" w:space="0" w:color="auto"/>
        <w:left w:val="none" w:sz="0" w:space="0" w:color="auto"/>
        <w:bottom w:val="none" w:sz="0" w:space="0" w:color="auto"/>
        <w:right w:val="none" w:sz="0" w:space="0" w:color="auto"/>
      </w:divBdr>
    </w:div>
    <w:div w:id="1500345268">
      <w:bodyDiv w:val="1"/>
      <w:marLeft w:val="0"/>
      <w:marRight w:val="0"/>
      <w:marTop w:val="0"/>
      <w:marBottom w:val="0"/>
      <w:divBdr>
        <w:top w:val="none" w:sz="0" w:space="0" w:color="auto"/>
        <w:left w:val="none" w:sz="0" w:space="0" w:color="auto"/>
        <w:bottom w:val="none" w:sz="0" w:space="0" w:color="auto"/>
        <w:right w:val="none" w:sz="0" w:space="0" w:color="auto"/>
      </w:divBdr>
    </w:div>
    <w:div w:id="1598250134">
      <w:bodyDiv w:val="1"/>
      <w:marLeft w:val="0"/>
      <w:marRight w:val="0"/>
      <w:marTop w:val="0"/>
      <w:marBottom w:val="0"/>
      <w:divBdr>
        <w:top w:val="none" w:sz="0" w:space="0" w:color="auto"/>
        <w:left w:val="none" w:sz="0" w:space="0" w:color="auto"/>
        <w:bottom w:val="none" w:sz="0" w:space="0" w:color="auto"/>
        <w:right w:val="none" w:sz="0" w:space="0" w:color="auto"/>
      </w:divBdr>
    </w:div>
    <w:div w:id="1707827016">
      <w:bodyDiv w:val="1"/>
      <w:marLeft w:val="0"/>
      <w:marRight w:val="0"/>
      <w:marTop w:val="0"/>
      <w:marBottom w:val="0"/>
      <w:divBdr>
        <w:top w:val="none" w:sz="0" w:space="0" w:color="auto"/>
        <w:left w:val="none" w:sz="0" w:space="0" w:color="auto"/>
        <w:bottom w:val="none" w:sz="0" w:space="0" w:color="auto"/>
        <w:right w:val="none" w:sz="0" w:space="0" w:color="auto"/>
      </w:divBdr>
    </w:div>
    <w:div w:id="1715692407">
      <w:bodyDiv w:val="1"/>
      <w:marLeft w:val="0"/>
      <w:marRight w:val="0"/>
      <w:marTop w:val="0"/>
      <w:marBottom w:val="0"/>
      <w:divBdr>
        <w:top w:val="none" w:sz="0" w:space="0" w:color="auto"/>
        <w:left w:val="none" w:sz="0" w:space="0" w:color="auto"/>
        <w:bottom w:val="none" w:sz="0" w:space="0" w:color="auto"/>
        <w:right w:val="none" w:sz="0" w:space="0" w:color="auto"/>
      </w:divBdr>
    </w:div>
    <w:div w:id="1732926891">
      <w:bodyDiv w:val="1"/>
      <w:marLeft w:val="0"/>
      <w:marRight w:val="0"/>
      <w:marTop w:val="0"/>
      <w:marBottom w:val="0"/>
      <w:divBdr>
        <w:top w:val="none" w:sz="0" w:space="0" w:color="auto"/>
        <w:left w:val="none" w:sz="0" w:space="0" w:color="auto"/>
        <w:bottom w:val="none" w:sz="0" w:space="0" w:color="auto"/>
        <w:right w:val="none" w:sz="0" w:space="0" w:color="auto"/>
      </w:divBdr>
    </w:div>
    <w:div w:id="1931699647">
      <w:bodyDiv w:val="1"/>
      <w:marLeft w:val="0"/>
      <w:marRight w:val="0"/>
      <w:marTop w:val="0"/>
      <w:marBottom w:val="0"/>
      <w:divBdr>
        <w:top w:val="none" w:sz="0" w:space="0" w:color="auto"/>
        <w:left w:val="none" w:sz="0" w:space="0" w:color="auto"/>
        <w:bottom w:val="none" w:sz="0" w:space="0" w:color="auto"/>
        <w:right w:val="none" w:sz="0" w:space="0" w:color="auto"/>
      </w:divBdr>
    </w:div>
    <w:div w:id="1945306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image" Target="media/image15.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image" Target="media/image14.emf"/><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image" Target="media/image12.emf"/><Relationship Id="rId10" Type="http://schemas.openxmlformats.org/officeDocument/2006/relationships/image" Target="media/image7.emf"/><Relationship Id="rId19"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4665</TotalTime>
  <Pages>33</Pages>
  <Words>19314</Words>
  <Characters>110095</Characters>
  <Application>Microsoft Office Word</Application>
  <DocSecurity>0</DocSecurity>
  <Lines>917</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 Hernandez</dc:creator>
  <cp:keywords/>
  <dc:description/>
  <cp:lastModifiedBy>CHARLIE YE MO</cp:lastModifiedBy>
  <cp:revision>11</cp:revision>
  <dcterms:created xsi:type="dcterms:W3CDTF">2025-04-24T22:55:00Z</dcterms:created>
  <dcterms:modified xsi:type="dcterms:W3CDTF">2025-05-25T15:19:00Z</dcterms:modified>
</cp:coreProperties>
</file>