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70CC2" w14:textId="77777777" w:rsidR="00832DC1" w:rsidRDefault="00000000">
      <w:pPr>
        <w:spacing w:after="60"/>
      </w:pPr>
      <w:r>
        <w:rPr>
          <w:b/>
          <w:bCs/>
          <w:color w:val="1F3864"/>
          <w:sz w:val="26"/>
          <w:szCs w:val="26"/>
        </w:rPr>
        <w:t>Materials Design Analysis Reporting (MDAR) Checklist for Authors</w:t>
      </w:r>
    </w:p>
    <w:p w14:paraId="53F15CEC" w14:textId="77777777" w:rsidR="00832DC1" w:rsidRDefault="00000000">
      <w:pPr>
        <w:spacing w:after="60"/>
      </w:pPr>
      <w:r>
        <w:rPr>
          <w:i/>
          <w:iCs/>
        </w:rPr>
        <w:t>Manuscript: “The adaptive landscapes of three global Escherichia coli transcriptional regulators” (Westmann, Goldbach &amp; Wagner). Submitted to eLife.</w:t>
      </w:r>
    </w:p>
    <w:p w14:paraId="6D869988" w14:textId="77777777" w:rsidR="00832DC1" w:rsidRDefault="00000000">
      <w:pPr>
        <w:spacing w:after="160"/>
      </w:pPr>
      <w:r>
        <w:rPr>
          <w:color w:val="555555"/>
          <w:sz w:val="16"/>
          <w:szCs w:val="16"/>
        </w:rPr>
        <w:t>The MDAR framework (https://osf.io/xfpn4/) establishes a minimum set of requirements for transparent reporting in the life sciences. For all items that apply, the table notes where in the article the information is provided; items marked N/A do not apply to this study.</w:t>
      </w:r>
    </w:p>
    <w:p w14:paraId="5FBCE167" w14:textId="77777777" w:rsidR="00832DC1" w:rsidRDefault="00000000">
      <w:pPr>
        <w:spacing w:before="240" w:after="120"/>
      </w:pPr>
      <w:r>
        <w:rPr>
          <w:b/>
          <w:bCs/>
          <w:color w:val="1F3864"/>
          <w:sz w:val="24"/>
          <w:szCs w:val="24"/>
        </w:rPr>
        <w:t>Materials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3360"/>
        <w:gridCol w:w="1400"/>
      </w:tblGrid>
      <w:tr w:rsidR="00832DC1" w14:paraId="3E8A126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C2014F1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>Item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5D04A4D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>Indicate where provided (section / figure legend / submission form)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BF436A" w14:textId="77777777" w:rsidR="00832DC1" w:rsidRDefault="00000000">
            <w:pPr>
              <w:spacing w:after="20"/>
              <w:jc w:val="center"/>
            </w:pPr>
            <w:r>
              <w:rPr>
                <w:b/>
                <w:bCs/>
              </w:rPr>
              <w:t>N/A</w:t>
            </w:r>
          </w:p>
        </w:tc>
      </w:tr>
      <w:tr w:rsidR="00832DC1" w14:paraId="3BB4B47D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EFB0AF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Newly created materials. </w:t>
            </w:r>
            <w:r>
              <w:rPr>
                <w:i/>
                <w:iCs/>
              </w:rPr>
              <w:t>Materials availability statement disclosing availability of newly created materials and any access restrictions.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35A122C" w14:textId="77777777" w:rsidR="00832DC1" w:rsidRDefault="00000000">
            <w:pPr>
              <w:spacing w:after="20"/>
            </w:pPr>
            <w:r>
              <w:t>Materials and Methods ('Strains and plasmids'; 'Code Availability and Data Analysis').</w:t>
            </w:r>
          </w:p>
          <w:p w14:paraId="617811B3" w14:textId="77777777" w:rsidR="00832DC1" w:rsidRDefault="00000000">
            <w:pPr>
              <w:spacing w:after="20"/>
            </w:pPr>
            <w:r>
              <w:t>All newly created plasmids, strains, primers and TFBS libraries are listed in Supplementary Files 1–4 and 6 and deposited at Zenodo (DOI: 10.5281/zenodo.13838265) and the associated GitHub repository. No access restrictions.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64BF9A3" w14:textId="77777777" w:rsidR="00832DC1" w:rsidRDefault="00832DC1">
            <w:pPr>
              <w:spacing w:after="20"/>
              <w:jc w:val="center"/>
            </w:pPr>
          </w:p>
        </w:tc>
      </w:tr>
      <w:tr w:rsidR="00832DC1" w14:paraId="51D67FDC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E7CE3D2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Antibodies. </w:t>
            </w:r>
            <w:r>
              <w:rPr>
                <w:i/>
                <w:iCs/>
              </w:rPr>
              <w:t>For commercial reagents, provide supplier name, catalogue number and RRID if available.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83CC2E9" w14:textId="77777777" w:rsidR="00832DC1" w:rsidRDefault="00000000">
            <w:pPr>
              <w:spacing w:after="20"/>
            </w:pPr>
            <w:r>
              <w:t>No antibodies were used in this study.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E0E3366" w14:textId="77777777" w:rsidR="00832DC1" w:rsidRDefault="00000000">
            <w:pPr>
              <w:spacing w:after="20"/>
              <w:jc w:val="center"/>
            </w:pPr>
            <w:r>
              <w:t>X</w:t>
            </w:r>
          </w:p>
        </w:tc>
      </w:tr>
      <w:tr w:rsidR="00832DC1" w14:paraId="3C68CB7F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F3F06B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DNA and RNA sequences. </w:t>
            </w:r>
            <w:r>
              <w:rPr>
                <w:i/>
                <w:iCs/>
              </w:rPr>
              <w:t>Short novel DNA/RNA (primers, probes) should be included or deposited in a public repository.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55AF604" w14:textId="77777777" w:rsidR="00832DC1" w:rsidRDefault="00000000">
            <w:pPr>
              <w:spacing w:after="20"/>
            </w:pPr>
            <w:r>
              <w:t>Materials and Methods; Supplementary Files: TFBS libraries (Supplementary File 3), reference TFBS (Supplementary File 4) and all primers (Supplementary File 6).</w:t>
            </w:r>
          </w:p>
          <w:p w14:paraId="2D9CB353" w14:textId="77777777" w:rsidR="00832DC1" w:rsidRDefault="00000000">
            <w:pPr>
              <w:spacing w:after="20"/>
            </w:pPr>
            <w:r>
              <w:t>Raw sequencing data: NCBI BioProject PRJNA1162449. Plasmid and primer sequences: Zenodo DOI 10.5281/zenodo.13838265.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F982FA5" w14:textId="77777777" w:rsidR="00832DC1" w:rsidRDefault="00832DC1">
            <w:pPr>
              <w:spacing w:after="20"/>
              <w:jc w:val="center"/>
            </w:pPr>
          </w:p>
        </w:tc>
      </w:tr>
      <w:tr w:rsidR="00832DC1" w14:paraId="3D077B11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B539909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Cell materials. </w:t>
            </w:r>
            <w:r>
              <w:rPr>
                <w:i/>
                <w:iCs/>
              </w:rPr>
              <w:t>Cell lines / primary cultures: provide species, strain, accession or supplier/catalogue/clone number or RRID.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122B633" w14:textId="77777777" w:rsidR="00832DC1" w:rsidRDefault="00000000">
            <w:pPr>
              <w:spacing w:after="20"/>
            </w:pPr>
            <w:r>
              <w:t>No eukaryotic cell lines or primary cultures were used. Bacterial strains are reported under 'Plants and microbes'.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BB4AAC0" w14:textId="77777777" w:rsidR="00832DC1" w:rsidRDefault="00000000">
            <w:pPr>
              <w:spacing w:after="20"/>
              <w:jc w:val="center"/>
            </w:pPr>
            <w:r>
              <w:t>X</w:t>
            </w:r>
          </w:p>
        </w:tc>
      </w:tr>
      <w:tr w:rsidR="00832DC1" w14:paraId="5F9CC56F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309038E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Experimental animals. </w:t>
            </w:r>
            <w:r>
              <w:rPr>
                <w:i/>
                <w:iCs/>
              </w:rPr>
              <w:t>Laboratory/model organisms or field animals: provide species, strain, sex, age, genetic modification status.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BDA4A41" w14:textId="77777777" w:rsidR="00832DC1" w:rsidRDefault="00000000">
            <w:pPr>
              <w:spacing w:after="20"/>
            </w:pPr>
            <w:r>
              <w:t>No experimental animals were used.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05FA07E" w14:textId="77777777" w:rsidR="00832DC1" w:rsidRDefault="00000000">
            <w:pPr>
              <w:spacing w:after="20"/>
              <w:jc w:val="center"/>
            </w:pPr>
            <w:r>
              <w:t>X</w:t>
            </w:r>
          </w:p>
        </w:tc>
      </w:tr>
      <w:tr w:rsidR="00832DC1" w14:paraId="7E53350B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C4F0DFD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Plants and microbes. </w:t>
            </w:r>
            <w:r>
              <w:rPr>
                <w:i/>
                <w:iCs/>
              </w:rPr>
              <w:t>Microbes: provide species and strain, unique accession number if available, and source.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FD87482" w14:textId="77777777" w:rsidR="00832DC1" w:rsidRDefault="00000000">
            <w:pPr>
              <w:spacing w:after="20"/>
            </w:pPr>
            <w:r>
              <w:t>Microbes — Materials and Methods ('Strains and plasmids') and Supplementary File 2: Escherichia coli SIG10-MAX (Sigma-Aldrich CMC0004); E. coli BW25113-derived KEIO single-gene deletions Δcrp (JW5702-4), ΔihfA (JW1702-1) and Δfis (JW3229-1), obtained from the KEIO collection.</w:t>
            </w:r>
          </w:p>
          <w:p w14:paraId="4DFA71A6" w14:textId="77777777" w:rsidR="00832DC1" w:rsidRDefault="00000000">
            <w:pPr>
              <w:spacing w:after="20"/>
            </w:pPr>
            <w:r>
              <w:t>Plants: not applicable (no plants used).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BE6BFA7" w14:textId="77777777" w:rsidR="00832DC1" w:rsidRDefault="00832DC1">
            <w:pPr>
              <w:spacing w:after="20"/>
              <w:jc w:val="center"/>
            </w:pPr>
          </w:p>
        </w:tc>
      </w:tr>
      <w:tr w:rsidR="00832DC1" w14:paraId="12BBC582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926DCDB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Human research participants. </w:t>
            </w:r>
            <w:r>
              <w:rPr>
                <w:i/>
                <w:iCs/>
              </w:rPr>
              <w:t>If collected, report age, sex, gender and ethnicity for all participants (within privacy constraints).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F3B31F" w14:textId="77777777" w:rsidR="00832DC1" w:rsidRDefault="00000000">
            <w:pPr>
              <w:spacing w:after="20"/>
            </w:pPr>
            <w:r>
              <w:t>No human research participants were involved.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A2B85E1" w14:textId="77777777" w:rsidR="00832DC1" w:rsidRDefault="00000000">
            <w:pPr>
              <w:spacing w:after="20"/>
              <w:jc w:val="center"/>
            </w:pPr>
            <w:r>
              <w:t>X</w:t>
            </w:r>
          </w:p>
        </w:tc>
      </w:tr>
    </w:tbl>
    <w:p w14:paraId="4894CB9E" w14:textId="77777777" w:rsidR="00832DC1" w:rsidRDefault="00000000">
      <w:pPr>
        <w:spacing w:before="240" w:after="120"/>
      </w:pPr>
      <w:r>
        <w:rPr>
          <w:b/>
          <w:bCs/>
          <w:color w:val="1F3864"/>
          <w:sz w:val="24"/>
          <w:szCs w:val="24"/>
        </w:rPr>
        <w:t>Design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3360"/>
        <w:gridCol w:w="1400"/>
      </w:tblGrid>
      <w:tr w:rsidR="00832DC1" w14:paraId="094C005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F543981" w14:textId="77777777" w:rsidR="00832DC1" w:rsidRDefault="00000000">
            <w:pPr>
              <w:spacing w:after="20"/>
            </w:pPr>
            <w:r>
              <w:rPr>
                <w:b/>
                <w:bCs/>
              </w:rPr>
              <w:lastRenderedPageBreak/>
              <w:t>Item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D2EB9D2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>Indicate where provided (section / figure legend / submission form)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9B6A5A" w14:textId="77777777" w:rsidR="00832DC1" w:rsidRDefault="00000000">
            <w:pPr>
              <w:spacing w:after="20"/>
              <w:jc w:val="center"/>
            </w:pPr>
            <w:r>
              <w:rPr>
                <w:b/>
                <w:bCs/>
              </w:rPr>
              <w:t>N/A</w:t>
            </w:r>
          </w:p>
        </w:tc>
      </w:tr>
      <w:tr w:rsidR="00832DC1" w14:paraId="2F368EE4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3B52CEB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Study protocol. </w:t>
            </w:r>
            <w:r>
              <w:rPr>
                <w:i/>
                <w:iCs/>
              </w:rPr>
              <w:t>If pre-registered, provide DOI. For clinical trials, provide trial registration number or DOI.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8891920" w14:textId="77777777" w:rsidR="00832DC1" w:rsidRDefault="00000000">
            <w:pPr>
              <w:spacing w:after="20"/>
            </w:pPr>
            <w:r>
              <w:t>Not a pre-registered study or clinical trial.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E95ADBA" w14:textId="77777777" w:rsidR="00832DC1" w:rsidRDefault="00000000">
            <w:pPr>
              <w:spacing w:after="20"/>
              <w:jc w:val="center"/>
            </w:pPr>
            <w:r>
              <w:t>X</w:t>
            </w:r>
          </w:p>
        </w:tc>
      </w:tr>
      <w:tr w:rsidR="00832DC1" w14:paraId="07FE539D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B147DE5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Laboratory protocol. </w:t>
            </w:r>
            <w:r>
              <w:rPr>
                <w:i/>
                <w:iCs/>
              </w:rPr>
              <w:t>Provide DOI or other citation if detailed step-by-step protocols are available.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C2E9574" w14:textId="77777777" w:rsidR="00832DC1" w:rsidRDefault="00000000">
            <w:pPr>
              <w:spacing w:after="20"/>
            </w:pPr>
            <w:r>
              <w:t>Detailed step-by-step procedures are provided in Materials and Methods and in Appendix 1 (General procedures; plasmid design and construction; library design, synthesis and cloning; cell sorting; DNA extraction and sequencing; data analysis).</w:t>
            </w:r>
          </w:p>
          <w:p w14:paraId="6228661E" w14:textId="77777777" w:rsidR="00832DC1" w:rsidRDefault="00000000">
            <w:pPr>
              <w:spacing w:after="20"/>
            </w:pPr>
            <w:r>
              <w:t>General procedures build on the previously published system of Westmann et al. (cited reference).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E28B14" w14:textId="77777777" w:rsidR="00832DC1" w:rsidRDefault="00832DC1">
            <w:pPr>
              <w:spacing w:after="20"/>
              <w:jc w:val="center"/>
            </w:pPr>
          </w:p>
        </w:tc>
      </w:tr>
      <w:tr w:rsidR="00832DC1" w14:paraId="079A9F9B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2DA5D3D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Sample-size determination. </w:t>
            </w:r>
            <w:r>
              <w:rPr>
                <w:i/>
                <w:iCs/>
              </w:rPr>
              <w:t>State whether/how performed (for in vivo studies).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37D7A2" w14:textId="77777777" w:rsidR="00832DC1" w:rsidRDefault="00000000">
            <w:pPr>
              <w:spacing w:after="20"/>
            </w:pPr>
            <w:r>
              <w:t>Appendix 1 ('Analysing and sorting cells'; 'DNA extraction and sequencing'): rationale for cells sorted per sequence (≥30 cells/sequence; ~100× library coverage; 6,553,600 cells sorted) and required sequencing reads (~30 reads/genotype).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F583FF6" w14:textId="77777777" w:rsidR="00832DC1" w:rsidRDefault="00832DC1">
            <w:pPr>
              <w:spacing w:after="20"/>
              <w:jc w:val="center"/>
            </w:pPr>
          </w:p>
        </w:tc>
      </w:tr>
      <w:tr w:rsidR="00832DC1" w14:paraId="3FF41989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1E9AB9D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Randomisation. </w:t>
            </w:r>
            <w:r>
              <w:rPr>
                <w:i/>
                <w:iCs/>
              </w:rPr>
              <w:t>State whether/how performed (for in vivo studies).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C69899E" w14:textId="77777777" w:rsidR="00832DC1" w:rsidRDefault="00000000">
            <w:pPr>
              <w:spacing w:after="20"/>
            </w:pPr>
            <w:r>
              <w:t>Not applicable (no in vivo animal experiments; comprehensive TFBS libraries assayed).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D1353C" w14:textId="77777777" w:rsidR="00832DC1" w:rsidRDefault="00000000">
            <w:pPr>
              <w:spacing w:after="20"/>
              <w:jc w:val="center"/>
            </w:pPr>
            <w:r>
              <w:t>X</w:t>
            </w:r>
          </w:p>
        </w:tc>
      </w:tr>
      <w:tr w:rsidR="00832DC1" w14:paraId="09F01934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2847556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Blinding. </w:t>
            </w:r>
            <w:r>
              <w:rPr>
                <w:i/>
                <w:iCs/>
              </w:rPr>
              <w:t>State whether/how performed (for in vivo studies).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E96328A" w14:textId="77777777" w:rsidR="00832DC1" w:rsidRDefault="00000000">
            <w:pPr>
              <w:spacing w:after="20"/>
            </w:pPr>
            <w:r>
              <w:t>Not applicable (high-throughput automated sort-seq measurements).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31DD137" w14:textId="77777777" w:rsidR="00832DC1" w:rsidRDefault="00000000">
            <w:pPr>
              <w:spacing w:after="20"/>
              <w:jc w:val="center"/>
            </w:pPr>
            <w:r>
              <w:t>X</w:t>
            </w:r>
          </w:p>
        </w:tc>
      </w:tr>
      <w:tr w:rsidR="00832DC1" w14:paraId="0D5D9083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B039AC8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Inclusion / exclusion criteria. </w:t>
            </w:r>
            <w:r>
              <w:rPr>
                <w:i/>
                <w:iCs/>
              </w:rPr>
              <w:t>State whether/how performed (for in vivo studies).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455E205" w14:textId="77777777" w:rsidR="00832DC1" w:rsidRDefault="00000000">
            <w:pPr>
              <w:spacing w:after="20"/>
            </w:pPr>
            <w:r>
              <w:t>Materials and Methods ('Regulation strengths') and Appendix 1 (Data analysis 7.3): pre-established quality filters — variants must appear in all three replicates, have ≥30 total reads, and a coefficient of variation ≤0.5.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DCC9ADA" w14:textId="77777777" w:rsidR="00832DC1" w:rsidRDefault="00832DC1">
            <w:pPr>
              <w:spacing w:after="20"/>
              <w:jc w:val="center"/>
            </w:pPr>
          </w:p>
        </w:tc>
      </w:tr>
      <w:tr w:rsidR="00832DC1" w14:paraId="393CA087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597DB9F8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Sample definition and in-laboratory replication. </w:t>
            </w:r>
            <w:r>
              <w:rPr>
                <w:i/>
                <w:iCs/>
              </w:rPr>
              <w:t>State number of times the experiment was replicated; define technical vs biological replicates.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7544AC4" w14:textId="77777777" w:rsidR="00832DC1" w:rsidRDefault="00000000">
            <w:pPr>
              <w:spacing w:after="20"/>
            </w:pPr>
            <w:r>
              <w:t>Three independent biological replicates per transcription factor (independent library transformations/cultures); plate-reader validation in biological and technical triplicates (three colonies per sample, three wells per colony).</w:t>
            </w:r>
          </w:p>
          <w:p w14:paraId="07C51BB8" w14:textId="77777777" w:rsidR="00832DC1" w:rsidRDefault="00000000">
            <w:pPr>
              <w:spacing w:after="20"/>
            </w:pPr>
            <w:r>
              <w:t>Materials and Methods ('Sort-Seq procedure'; 'Validating regulation strengths with plate reader measurements') and figure legends (Figure 1—figure supplements 4–9 and Figure 2—figure supplement 2).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FC52581" w14:textId="77777777" w:rsidR="00832DC1" w:rsidRDefault="00832DC1">
            <w:pPr>
              <w:spacing w:after="20"/>
              <w:jc w:val="center"/>
            </w:pPr>
          </w:p>
        </w:tc>
      </w:tr>
      <w:tr w:rsidR="00832DC1" w14:paraId="387D5DC9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5E72CA3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Ethics. </w:t>
            </w:r>
            <w:r>
              <w:rPr>
                <w:i/>
                <w:iCs/>
              </w:rPr>
              <w:t>Human / animal / field studies: state authority granting ethics approval and reference number.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0A861FF" w14:textId="77777777" w:rsidR="00832DC1" w:rsidRDefault="00000000">
            <w:pPr>
              <w:spacing w:after="20"/>
            </w:pPr>
            <w:r>
              <w:t>Microbial laboratory study; no ethics approval required.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6C46C5A" w14:textId="77777777" w:rsidR="00832DC1" w:rsidRDefault="00000000">
            <w:pPr>
              <w:spacing w:after="20"/>
              <w:jc w:val="center"/>
            </w:pPr>
            <w:r>
              <w:t>X</w:t>
            </w:r>
          </w:p>
        </w:tc>
      </w:tr>
      <w:tr w:rsidR="00832DC1" w14:paraId="781DCBC5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C83BE7D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Dual Use Research of Concern (DURC). </w:t>
            </w:r>
            <w:r>
              <w:rPr>
                <w:i/>
                <w:iCs/>
              </w:rPr>
              <w:t>If subject to DURC regulations, state approving authority and reference number.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52F8C6A" w14:textId="77777777" w:rsidR="00832DC1" w:rsidRDefault="00000000">
            <w:pPr>
              <w:spacing w:after="20"/>
            </w:pPr>
            <w:r>
              <w:t>Not applicable.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C2A9188" w14:textId="77777777" w:rsidR="00832DC1" w:rsidRDefault="00000000">
            <w:pPr>
              <w:spacing w:after="20"/>
              <w:jc w:val="center"/>
            </w:pPr>
            <w:r>
              <w:t>X</w:t>
            </w:r>
          </w:p>
        </w:tc>
      </w:tr>
    </w:tbl>
    <w:p w14:paraId="2A1F3BB4" w14:textId="77777777" w:rsidR="00832DC1" w:rsidRDefault="00000000">
      <w:pPr>
        <w:spacing w:before="240" w:after="120"/>
      </w:pPr>
      <w:r>
        <w:rPr>
          <w:b/>
          <w:bCs/>
          <w:color w:val="1F3864"/>
          <w:sz w:val="24"/>
          <w:szCs w:val="24"/>
        </w:rPr>
        <w:t>Analysis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3360"/>
        <w:gridCol w:w="1400"/>
      </w:tblGrid>
      <w:tr w:rsidR="00832DC1" w14:paraId="70398B4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B423B0A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>Item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06DFAF86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>Indicate where provided (section / figure legend / submission form)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E5D66B2" w14:textId="77777777" w:rsidR="00832DC1" w:rsidRDefault="00000000">
            <w:pPr>
              <w:spacing w:after="20"/>
              <w:jc w:val="center"/>
            </w:pPr>
            <w:r>
              <w:rPr>
                <w:b/>
                <w:bCs/>
              </w:rPr>
              <w:t>N/A</w:t>
            </w:r>
          </w:p>
        </w:tc>
      </w:tr>
      <w:tr w:rsidR="00832DC1" w14:paraId="76915723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AA15A71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Attrition. </w:t>
            </w:r>
            <w:r>
              <w:rPr>
                <w:i/>
                <w:iCs/>
              </w:rPr>
              <w:t>Describe whether exclusion criteria were pre-established; report omitted samples/data points and justification.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B1782AF" w14:textId="77777777" w:rsidR="00832DC1" w:rsidRDefault="00000000">
            <w:pPr>
              <w:spacing w:after="20"/>
            </w:pPr>
            <w:r>
              <w:t xml:space="preserve">Materials and Methods ('Regulation strengths'), Appendix 1 (Data analysis 7.3) and Results. Exclusion criteria </w:t>
            </w:r>
            <w:r>
              <w:lastRenderedPageBreak/>
              <w:t>were pre-established. Genotypes were excluded for low read coverage (&lt;30 reads), absence from any of the three replicates, or CV&gt;0.5.</w:t>
            </w:r>
          </w:p>
          <w:p w14:paraId="5FFD410C" w14:textId="77777777" w:rsidR="00832DC1" w:rsidRDefault="00000000">
            <w:pPr>
              <w:spacing w:after="20"/>
            </w:pPr>
            <w:r>
              <w:t>Sequence coverage was reduced from 95/90/93% to 49/66/63% of the library (CRP/Fis/IHF) after quality filtering.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1B56286" w14:textId="77777777" w:rsidR="00832DC1" w:rsidRDefault="00832DC1">
            <w:pPr>
              <w:spacing w:after="20"/>
              <w:jc w:val="center"/>
            </w:pPr>
          </w:p>
        </w:tc>
      </w:tr>
      <w:tr w:rsidR="00832DC1" w14:paraId="246E4827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0C8DD37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Statistics. </w:t>
            </w:r>
            <w:r>
              <w:rPr>
                <w:i/>
                <w:iCs/>
              </w:rPr>
              <w:t>Describe statistical tests used and justify the choice of tests.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DB586D" w14:textId="77777777" w:rsidR="00832DC1" w:rsidRDefault="00000000">
            <w:pPr>
              <w:spacing w:after="20"/>
            </w:pPr>
            <w:r>
              <w:t>Figure legends and Materials and Methods / Appendix 1. Tests include Welch's two-sample t-tests, Pearson and Spearman correlation tests, and one-sided Monte Carlo permutation tests. Test statistics, degrees of freedom, sample sizes and p-values are reported in the relevant figure legends and in Supplementary File 5.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DDC3873" w14:textId="77777777" w:rsidR="00832DC1" w:rsidRDefault="00832DC1">
            <w:pPr>
              <w:spacing w:after="20"/>
              <w:jc w:val="center"/>
            </w:pPr>
          </w:p>
        </w:tc>
      </w:tr>
      <w:tr w:rsidR="00832DC1" w14:paraId="2D31BA32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35D2D8BC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Data availability. </w:t>
            </w:r>
            <w:r>
              <w:rPr>
                <w:i/>
                <w:iCs/>
              </w:rPr>
              <w:t>Manuscript includes a data availability statement; provide accession/DOI and licensing for new datasets and reused data.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4D17298" w14:textId="77777777" w:rsidR="00832DC1" w:rsidRDefault="00000000">
            <w:pPr>
              <w:spacing w:after="20"/>
            </w:pPr>
            <w:r>
              <w:t>Data availability statement. Sequencing data: NCBI BioProject PRJNA1162449. Processed data, plasmid and primer sequences: Zenodo DOI 10.5281/zenodo.13838265.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22262A4E" w14:textId="77777777" w:rsidR="00832DC1" w:rsidRDefault="00832DC1">
            <w:pPr>
              <w:spacing w:after="20"/>
              <w:jc w:val="center"/>
            </w:pPr>
          </w:p>
        </w:tc>
      </w:tr>
      <w:tr w:rsidR="00832DC1" w14:paraId="2C7831E1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7C0CB0E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Code availability. </w:t>
            </w:r>
            <w:r>
              <w:rPr>
                <w:i/>
                <w:iCs/>
              </w:rPr>
              <w:t>Provide details for access to code essential for replicating the main findings (accession/DOI/URL and licensing).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A3ACF72" w14:textId="77777777" w:rsidR="00832DC1" w:rsidRDefault="00000000">
            <w:pPr>
              <w:spacing w:after="20"/>
            </w:pPr>
            <w:r>
              <w:t>Code availability statement. All code for data processing, analysis and plotting: Zenodo DOI 10.5281/zenodo.13838265 and the associated GitHub repository.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D352FD0" w14:textId="77777777" w:rsidR="00832DC1" w:rsidRDefault="00832DC1">
            <w:pPr>
              <w:spacing w:after="20"/>
              <w:jc w:val="center"/>
            </w:pPr>
          </w:p>
        </w:tc>
      </w:tr>
    </w:tbl>
    <w:p w14:paraId="1A1E4D32" w14:textId="77777777" w:rsidR="00832DC1" w:rsidRDefault="00000000">
      <w:pPr>
        <w:spacing w:before="240" w:after="120"/>
      </w:pPr>
      <w:r>
        <w:rPr>
          <w:b/>
          <w:bCs/>
          <w:color w:val="1F3864"/>
          <w:sz w:val="24"/>
          <w:szCs w:val="24"/>
        </w:rPr>
        <w:t>Reporting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3360"/>
        <w:gridCol w:w="1400"/>
      </w:tblGrid>
      <w:tr w:rsidR="00832DC1" w14:paraId="25E9E3E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7844372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>Item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81C1C71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>Indicate where provided (section / figure legend / submission form)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797C0572" w14:textId="77777777" w:rsidR="00832DC1" w:rsidRDefault="00000000">
            <w:pPr>
              <w:spacing w:after="20"/>
              <w:jc w:val="center"/>
            </w:pPr>
            <w:r>
              <w:rPr>
                <w:b/>
                <w:bCs/>
              </w:rPr>
              <w:t>N/A</w:t>
            </w:r>
          </w:p>
        </w:tc>
      </w:tr>
      <w:tr w:rsidR="00832DC1" w14:paraId="37812EAF" w14:textId="77777777">
        <w:tblPrEx>
          <w:tblCellMar>
            <w:top w:w="0" w:type="dxa"/>
            <w:bottom w:w="0" w:type="dxa"/>
          </w:tblCellMar>
        </w:tblPrEx>
        <w:tc>
          <w:tcPr>
            <w:tcW w:w="4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18D991CE" w14:textId="77777777" w:rsidR="00832DC1" w:rsidRDefault="00000000">
            <w:pPr>
              <w:spacing w:after="20"/>
            </w:pPr>
            <w:r>
              <w:rPr>
                <w:b/>
                <w:bCs/>
              </w:rPr>
              <w:t xml:space="preserve">Adherence to community standards. </w:t>
            </w:r>
            <w:r>
              <w:rPr>
                <w:i/>
                <w:iCs/>
              </w:rPr>
              <w:t>State if relevant guidelines (ICMJE, MIBBI, ARRIVE, STRANGE) were followed and whether a checklist (CONSORT, PRISMA, ARRIVE) is provided.</w:t>
            </w:r>
          </w:p>
        </w:tc>
        <w:tc>
          <w:tcPr>
            <w:tcW w:w="33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6DBB40BC" w14:textId="77777777" w:rsidR="00832DC1" w:rsidRDefault="00000000">
            <w:pPr>
              <w:spacing w:after="20"/>
            </w:pPr>
            <w:r>
              <w:t>No discipline-specific reporting checklist (e.g., ARRIVE, CONSORT, PRISMA, STRANGE) is applicable to this microbial molecular-biology study. This completed MDAR checklist is provided with the manuscript.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</w:tcPr>
          <w:p w14:paraId="43AF4F47" w14:textId="77777777" w:rsidR="00832DC1" w:rsidRDefault="00832DC1">
            <w:pPr>
              <w:spacing w:after="20"/>
              <w:jc w:val="center"/>
            </w:pPr>
          </w:p>
        </w:tc>
      </w:tr>
    </w:tbl>
    <w:p w14:paraId="71E8CBE2" w14:textId="77777777" w:rsidR="00BA1A54" w:rsidRDefault="00BA1A54"/>
    <w:sectPr w:rsidR="00BA1A54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5364C"/>
    <w:multiLevelType w:val="hybridMultilevel"/>
    <w:tmpl w:val="70CA6B76"/>
    <w:lvl w:ilvl="0" w:tplc="0F4C1F54">
      <w:start w:val="1"/>
      <w:numFmt w:val="bullet"/>
      <w:lvlText w:val="●"/>
      <w:lvlJc w:val="left"/>
      <w:pPr>
        <w:ind w:left="720" w:hanging="360"/>
      </w:pPr>
    </w:lvl>
    <w:lvl w:ilvl="1" w:tplc="24809328">
      <w:start w:val="1"/>
      <w:numFmt w:val="bullet"/>
      <w:lvlText w:val="○"/>
      <w:lvlJc w:val="left"/>
      <w:pPr>
        <w:ind w:left="1440" w:hanging="360"/>
      </w:pPr>
    </w:lvl>
    <w:lvl w:ilvl="2" w:tplc="FFBC8808">
      <w:start w:val="1"/>
      <w:numFmt w:val="bullet"/>
      <w:lvlText w:val="■"/>
      <w:lvlJc w:val="left"/>
      <w:pPr>
        <w:ind w:left="2160" w:hanging="360"/>
      </w:pPr>
    </w:lvl>
    <w:lvl w:ilvl="3" w:tplc="27044BEC">
      <w:start w:val="1"/>
      <w:numFmt w:val="bullet"/>
      <w:lvlText w:val="●"/>
      <w:lvlJc w:val="left"/>
      <w:pPr>
        <w:ind w:left="2880" w:hanging="360"/>
      </w:pPr>
    </w:lvl>
    <w:lvl w:ilvl="4" w:tplc="FD0668D2">
      <w:start w:val="1"/>
      <w:numFmt w:val="bullet"/>
      <w:lvlText w:val="○"/>
      <w:lvlJc w:val="left"/>
      <w:pPr>
        <w:ind w:left="3600" w:hanging="360"/>
      </w:pPr>
    </w:lvl>
    <w:lvl w:ilvl="5" w:tplc="C30421F0">
      <w:start w:val="1"/>
      <w:numFmt w:val="bullet"/>
      <w:lvlText w:val="■"/>
      <w:lvlJc w:val="left"/>
      <w:pPr>
        <w:ind w:left="4320" w:hanging="360"/>
      </w:pPr>
    </w:lvl>
    <w:lvl w:ilvl="6" w:tplc="65C23394">
      <w:start w:val="1"/>
      <w:numFmt w:val="bullet"/>
      <w:lvlText w:val="●"/>
      <w:lvlJc w:val="left"/>
      <w:pPr>
        <w:ind w:left="5040" w:hanging="360"/>
      </w:pPr>
    </w:lvl>
    <w:lvl w:ilvl="7" w:tplc="007CDB6E">
      <w:start w:val="1"/>
      <w:numFmt w:val="bullet"/>
      <w:lvlText w:val="●"/>
      <w:lvlJc w:val="left"/>
      <w:pPr>
        <w:ind w:left="5760" w:hanging="360"/>
      </w:pPr>
    </w:lvl>
    <w:lvl w:ilvl="8" w:tplc="ADCE2CA4">
      <w:start w:val="1"/>
      <w:numFmt w:val="bullet"/>
      <w:lvlText w:val="●"/>
      <w:lvlJc w:val="left"/>
      <w:pPr>
        <w:ind w:left="6480" w:hanging="360"/>
      </w:pPr>
    </w:lvl>
  </w:abstractNum>
  <w:num w:numId="1" w16cid:durableId="2958440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DC1"/>
    <w:rsid w:val="00091958"/>
    <w:rsid w:val="00832DC1"/>
    <w:rsid w:val="00B54B81"/>
    <w:rsid w:val="00BA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AC914D"/>
  <w15:docId w15:val="{A254B4E1-7C9F-A243-9861-90F43065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-C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6026</Characters>
  <Application>Microsoft Office Word</Application>
  <DocSecurity>0</DocSecurity>
  <Lines>50</Lines>
  <Paragraphs>14</Paragraphs>
  <ScaleCrop>false</ScaleCrop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Caua Antunes Westmann</cp:lastModifiedBy>
  <cp:revision>2</cp:revision>
  <dcterms:created xsi:type="dcterms:W3CDTF">2026-06-04T15:40:00Z</dcterms:created>
  <dcterms:modified xsi:type="dcterms:W3CDTF">2026-06-04T15:40:00Z</dcterms:modified>
</cp:coreProperties>
</file>