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757836B" w:rsidR="00F102CC" w:rsidRPr="003D5AF6" w:rsidRDefault="00E622C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46B663C"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06F213CE"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82CBE68"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8259546"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84CF0BB"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B59A7BC"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0D9B0A7"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995F706" w:rsidR="00F102CC" w:rsidRPr="003D5AF6" w:rsidRDefault="00DB2CE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06659676" w:rsidR="00F102CC" w:rsidRPr="003D5AF6" w:rsidRDefault="00E622CD">
            <w:pPr>
              <w:rPr>
                <w:rFonts w:ascii="Noto Sans" w:eastAsia="Noto Sans" w:hAnsi="Noto Sans" w:cs="Noto Sans"/>
                <w:bCs/>
                <w:color w:val="434343"/>
                <w:sz w:val="18"/>
                <w:szCs w:val="18"/>
              </w:rPr>
            </w:pPr>
            <w:r>
              <w:rPr>
                <w:rFonts w:ascii="Noto Sans" w:eastAsia="Noto Sans" w:hAnsi="Noto Sans" w:cs="Noto Sans"/>
                <w:bCs/>
                <w:color w:val="434343"/>
                <w:sz w:val="18"/>
                <w:szCs w:val="18"/>
              </w:rPr>
              <w:t>While we did not do the actual human research participant collection, we did report on demographic</w:t>
            </w:r>
            <w:r w:rsidR="00A00506">
              <w:rPr>
                <w:rFonts w:ascii="Noto Sans" w:eastAsia="Noto Sans" w:hAnsi="Noto Sans" w:cs="Noto Sans"/>
                <w:bCs/>
                <w:color w:val="434343"/>
                <w:sz w:val="18"/>
                <w:szCs w:val="18"/>
              </w:rPr>
              <w:t>s</w:t>
            </w:r>
            <w:r>
              <w:rPr>
                <w:rFonts w:ascii="Noto Sans" w:eastAsia="Noto Sans" w:hAnsi="Noto Sans" w:cs="Noto Sans"/>
                <w:bCs/>
                <w:color w:val="434343"/>
                <w:sz w:val="18"/>
                <w:szCs w:val="18"/>
              </w:rPr>
              <w:t>. This information can be found in Tables 2-4.</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2946594" w:rsidR="00F102CC" w:rsidRPr="003D5AF6" w:rsidRDefault="00E622C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793BCC4"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206A0DBF"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DB2CE9"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7DCA5568" w:rsidR="00F102CC" w:rsidRPr="00DB2CE9" w:rsidRDefault="00DB2CE9">
            <w:pPr>
              <w:spacing w:line="225" w:lineRule="auto"/>
              <w:rPr>
                <w:rFonts w:ascii="Noto Sans" w:eastAsia="Noto Sans" w:hAnsi="Noto Sans" w:cs="Noto Sans"/>
                <w:bCs/>
                <w:color w:val="434343"/>
                <w:sz w:val="18"/>
                <w:szCs w:val="18"/>
              </w:rPr>
            </w:pPr>
            <w:r w:rsidRPr="00DB2CE9">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3C659B50" w:rsidR="00F102CC" w:rsidRPr="003D5AF6" w:rsidRDefault="00DB2CE9">
            <w:pPr>
              <w:spacing w:line="225" w:lineRule="auto"/>
              <w:rPr>
                <w:rFonts w:ascii="Noto Sans" w:eastAsia="Noto Sans" w:hAnsi="Noto Sans" w:cs="Noto Sans"/>
                <w:bCs/>
                <w:color w:val="434343"/>
                <w:sz w:val="18"/>
                <w:szCs w:val="18"/>
              </w:rPr>
            </w:pPr>
            <w:r w:rsidRPr="00DB2CE9">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2104296D" w:rsidR="00F102CC" w:rsidRPr="003D5AF6" w:rsidRDefault="00DB2CE9">
            <w:pPr>
              <w:spacing w:line="225" w:lineRule="auto"/>
              <w:rPr>
                <w:rFonts w:ascii="Noto Sans" w:eastAsia="Noto Sans" w:hAnsi="Noto Sans" w:cs="Noto Sans"/>
                <w:bCs/>
                <w:color w:val="434343"/>
                <w:sz w:val="18"/>
                <w:szCs w:val="18"/>
              </w:rPr>
            </w:pPr>
            <w:r w:rsidRPr="00DB2CE9">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37B5FA83" w:rsidR="00F102CC" w:rsidRPr="003D5AF6" w:rsidRDefault="00DB2CE9">
            <w:pPr>
              <w:spacing w:line="225" w:lineRule="auto"/>
              <w:rPr>
                <w:rFonts w:ascii="Noto Sans" w:eastAsia="Noto Sans" w:hAnsi="Noto Sans" w:cs="Noto Sans"/>
                <w:bCs/>
                <w:color w:val="434343"/>
                <w:sz w:val="18"/>
                <w:szCs w:val="18"/>
              </w:rPr>
            </w:pPr>
            <w:r w:rsidRPr="00DB2CE9">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5B584B1B" w:rsidR="00F102CC" w:rsidRPr="003D5AF6" w:rsidRDefault="00DB2CE9">
            <w:pPr>
              <w:spacing w:line="225" w:lineRule="auto"/>
              <w:rPr>
                <w:rFonts w:ascii="Noto Sans" w:eastAsia="Noto Sans" w:hAnsi="Noto Sans" w:cs="Noto Sans"/>
                <w:bCs/>
                <w:color w:val="434343"/>
                <w:sz w:val="18"/>
                <w:szCs w:val="18"/>
              </w:rPr>
            </w:pPr>
            <w:r w:rsidRPr="00DB2CE9">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404FCB0F" w:rsidR="00F102CC" w:rsidRPr="00E622CD" w:rsidRDefault="00E622CD">
            <w:pPr>
              <w:spacing w:line="225" w:lineRule="auto"/>
              <w:rPr>
                <w:rFonts w:ascii="Noto Sans" w:eastAsia="Noto Sans" w:hAnsi="Noto Sans" w:cs="Noto Sans"/>
                <w:b/>
                <w:color w:val="434343"/>
                <w:sz w:val="18"/>
                <w:szCs w:val="18"/>
              </w:rPr>
            </w:pPr>
            <w:r w:rsidRPr="00E622CD">
              <w:rPr>
                <w:rFonts w:ascii="Noto Sans" w:hAnsi="Noto Sans" w:cs="Noto Sans"/>
                <w:color w:val="333333"/>
                <w:sz w:val="18"/>
                <w:szCs w:val="18"/>
                <w:shd w:val="clear" w:color="auto" w:fill="FEFEFE"/>
              </w:rPr>
              <w:t>The data available on the TriNetX LIVE™ is de-identified and stripped of data elements that are considered PHI (i.e., age information for patients over 90) or that could otherwise be considered too identifiable and put patient anonymity at risk (i.e., the </w:t>
            </w:r>
            <w:r w:rsidRPr="00E622CD">
              <w:rPr>
                <w:rFonts w:ascii="Noto Sans" w:hAnsi="Noto Sans" w:cs="Noto Sans"/>
                <w:sz w:val="18"/>
                <w:szCs w:val="18"/>
                <w:shd w:val="clear" w:color="auto" w:fill="FEFEFE"/>
              </w:rPr>
              <w:t>sensitive terms</w:t>
            </w:r>
            <w:r w:rsidRPr="00E622CD">
              <w:rPr>
                <w:rFonts w:ascii="Noto Sans" w:hAnsi="Noto Sans" w:cs="Noto Sans"/>
                <w:color w:val="333333"/>
                <w:sz w:val="18"/>
                <w:szCs w:val="18"/>
                <w:shd w:val="clear" w:color="auto" w:fill="FEFEFE"/>
              </w:rPr>
              <w:t xml:space="preserve">). The process by which the data is de-identified is attested to through a formal determination by a qualified expert as defined in Section §164.514(b)(1) of the HIPAA Privacy Rule. This formal determination by a qualified expert, refreshed in December 2020, supersedes the need for TriNetX’s previous waiver from the Western Institutional Review Board (IRB). This means that analysis on the TriNetX LIVE™ or offline analysis of downloaded </w:t>
            </w:r>
            <w:r w:rsidRPr="00E622CD">
              <w:rPr>
                <w:rFonts w:ascii="Noto Sans" w:hAnsi="Noto Sans" w:cs="Noto Sans"/>
                <w:color w:val="333333"/>
                <w:sz w:val="18"/>
                <w:szCs w:val="18"/>
                <w:shd w:val="clear" w:color="auto" w:fill="FEFEFE"/>
              </w:rPr>
              <w:lastRenderedPageBreak/>
              <w:t>datasets is typically not considered “human subjects research” and would typically be exempt from IRB review. Furthermore, TriNetX LIVE™ analytics only display data in the form of aggregated and statistical summaries of de-identified information. Therefore, for studies conducted entirely on TriNetX LIVE™, no PHI or Personal Data is made available to users on the platform.</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390CC34B"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FFB37E3"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378947D" w14:textId="77777777" w:rsidR="00F102CC" w:rsidRDefault="00F102CC">
            <w:pPr>
              <w:spacing w:line="225" w:lineRule="auto"/>
              <w:rPr>
                <w:rFonts w:ascii="Noto Sans" w:eastAsia="Noto Sans" w:hAnsi="Noto Sans" w:cs="Noto Sans"/>
                <w:bCs/>
                <w:color w:val="434343"/>
                <w:sz w:val="18"/>
                <w:szCs w:val="18"/>
              </w:rPr>
            </w:pPr>
          </w:p>
          <w:p w14:paraId="6B1D3D4A" w14:textId="77777777" w:rsidR="00E622CD" w:rsidRDefault="00E622CD" w:rsidP="00E622CD">
            <w:pPr>
              <w:rPr>
                <w:rFonts w:ascii="Noto Sans" w:eastAsia="Noto Sans" w:hAnsi="Noto Sans" w:cs="Noto Sans"/>
                <w:bCs/>
                <w:color w:val="434343"/>
                <w:sz w:val="18"/>
                <w:szCs w:val="18"/>
              </w:rPr>
            </w:pPr>
          </w:p>
          <w:p w14:paraId="19DDCC7B" w14:textId="0DA19104" w:rsidR="00E622CD" w:rsidRPr="00E622CD" w:rsidRDefault="00E622CD" w:rsidP="00E622CD">
            <w:pPr>
              <w:rPr>
                <w:rFonts w:ascii="Noto Sans" w:eastAsia="Noto Sans" w:hAnsi="Noto Sans" w:cs="Noto Sans"/>
                <w:sz w:val="18"/>
                <w:szCs w:val="18"/>
              </w:rPr>
            </w:pPr>
            <w:r>
              <w:rPr>
                <w:rFonts w:ascii="Noto Sans" w:eastAsia="Noto Sans" w:hAnsi="Noto Sans" w:cs="Noto Sans"/>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06CEEC71" w:rsidR="00E622CD" w:rsidRPr="003D5AF6" w:rsidRDefault="00E622C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Exclusion criteria was established for the purpose of this study and described in detail in the Method section of this manuscript. Samples were omitted from the comparison analysis if cohort 2 met the index event criteria more than 20 years ago.</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6E9B4E16" w:rsidR="00F102CC" w:rsidRPr="003D5AF6" w:rsidRDefault="00E622C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Relative risk and relative risk ratios were used to evaluate the risk for future health outcomes. Besides being an appropriate test for our analysis, it is </w:t>
            </w:r>
            <w:r w:rsidR="00A00506">
              <w:rPr>
                <w:rFonts w:ascii="Noto Sans" w:eastAsia="Noto Sans" w:hAnsi="Noto Sans" w:cs="Noto Sans"/>
                <w:bCs/>
                <w:color w:val="434343"/>
                <w:sz w:val="18"/>
                <w:szCs w:val="18"/>
              </w:rPr>
              <w:t>one of the analysis</w:t>
            </w:r>
            <w:r>
              <w:rPr>
                <w:rFonts w:ascii="Noto Sans" w:eastAsia="Noto Sans" w:hAnsi="Noto Sans" w:cs="Noto Sans"/>
                <w:bCs/>
                <w:color w:val="434343"/>
                <w:sz w:val="18"/>
                <w:szCs w:val="18"/>
              </w:rPr>
              <w:t xml:space="preserve"> </w:t>
            </w:r>
            <w:r>
              <w:rPr>
                <w:rFonts w:ascii="Noto Sans" w:eastAsia="Noto Sans" w:hAnsi="Noto Sans" w:cs="Noto Sans"/>
                <w:bCs/>
                <w:color w:val="434343"/>
                <w:sz w:val="18"/>
                <w:szCs w:val="18"/>
              </w:rPr>
              <w:lastRenderedPageBreak/>
              <w:t>method</w:t>
            </w:r>
            <w:r w:rsidR="00A00506">
              <w:rPr>
                <w:rFonts w:ascii="Noto Sans" w:eastAsia="Noto Sans" w:hAnsi="Noto Sans" w:cs="Noto Sans"/>
                <w:bCs/>
                <w:color w:val="434343"/>
                <w:sz w:val="18"/>
                <w:szCs w:val="18"/>
              </w:rPr>
              <w:t>s</w:t>
            </w:r>
            <w:r>
              <w:rPr>
                <w:rFonts w:ascii="Noto Sans" w:eastAsia="Noto Sans" w:hAnsi="Noto Sans" w:cs="Noto Sans"/>
                <w:bCs/>
                <w:color w:val="434343"/>
                <w:sz w:val="18"/>
                <w:szCs w:val="18"/>
              </w:rPr>
              <w:t xml:space="preserve"> included in the TriNetX workspace for comparing cohorts.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1EBDED1D" w:rsidR="00F102CC" w:rsidRPr="003D5AF6" w:rsidRDefault="00E622C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3AA54FC0"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197FE2B9"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5DF63BE2"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40952DB"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54CC2FF6"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969633B" w:rsidR="00F102CC" w:rsidRPr="003D5AF6" w:rsidRDefault="00DB2CE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ICMJE was followed and STROBE checklist for Observational study is included with the manuscript.</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1F539B">
      <w:pPr>
        <w:spacing w:before="80"/>
      </w:pPr>
      <w:bookmarkStart w:id="3" w:name="_cm0qssfkw66b" w:colFirst="0" w:colLast="0"/>
      <w:bookmarkEnd w:id="3"/>
      <w:r>
        <w:rPr>
          <w:noProof/>
        </w:rPr>
        <w:pict w14:anchorId="39D5657F">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BB57A2" w14:textId="77777777" w:rsidR="001F539B" w:rsidRDefault="001F539B">
      <w:r>
        <w:separator/>
      </w:r>
    </w:p>
  </w:endnote>
  <w:endnote w:type="continuationSeparator" w:id="0">
    <w:p w14:paraId="15C5545E" w14:textId="77777777" w:rsidR="001F539B" w:rsidRDefault="001F5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05416C" w14:textId="77777777" w:rsidR="001F539B" w:rsidRDefault="001F539B">
      <w:r>
        <w:separator/>
      </w:r>
    </w:p>
  </w:footnote>
  <w:footnote w:type="continuationSeparator" w:id="0">
    <w:p w14:paraId="577C5F2B" w14:textId="77777777" w:rsidR="001F539B" w:rsidRDefault="001F5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F539B"/>
    <w:rsid w:val="002209A8"/>
    <w:rsid w:val="003D5AF6"/>
    <w:rsid w:val="00400C53"/>
    <w:rsid w:val="00427975"/>
    <w:rsid w:val="004E2C31"/>
    <w:rsid w:val="005B0259"/>
    <w:rsid w:val="007054B6"/>
    <w:rsid w:val="0078687E"/>
    <w:rsid w:val="009C7B26"/>
    <w:rsid w:val="00A00506"/>
    <w:rsid w:val="00A11E52"/>
    <w:rsid w:val="00B2483D"/>
    <w:rsid w:val="00BD41E9"/>
    <w:rsid w:val="00C84413"/>
    <w:rsid w:val="00CD71C6"/>
    <w:rsid w:val="00D84BA2"/>
    <w:rsid w:val="00DB2CE9"/>
    <w:rsid w:val="00E622CD"/>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semiHidden/>
    <w:unhideWhenUsed/>
    <w:rsid w:val="00E622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Cherlin, Tess</cp:lastModifiedBy>
  <cp:revision>4</cp:revision>
  <dcterms:created xsi:type="dcterms:W3CDTF">2026-06-26T14:16:00Z</dcterms:created>
  <dcterms:modified xsi:type="dcterms:W3CDTF">2026-07-07T19:05:00Z</dcterms:modified>
</cp:coreProperties>
</file>