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B26" w:rsidRPr="003E2BE2" w:rsidRDefault="00453B26" w:rsidP="00453B26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1550"/>
        <w:gridCol w:w="1590"/>
        <w:gridCol w:w="1679"/>
        <w:gridCol w:w="1763"/>
      </w:tblGrid>
      <w:tr w:rsidR="00453B26" w:rsidRPr="008E489B" w:rsidTr="0070443D">
        <w:trPr>
          <w:trHeight w:val="381"/>
        </w:trPr>
        <w:tc>
          <w:tcPr>
            <w:tcW w:w="5000" w:type="pct"/>
            <w:gridSpan w:val="5"/>
          </w:tcPr>
          <w:p w:rsidR="00453B26" w:rsidRPr="003E2BE2" w:rsidRDefault="00453B26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Experiment 1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&gt;</m:t>
              </m:r>
            </m:oMath>
            <w:r w:rsidRPr="003E2B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2BE2">
              <w:rPr>
                <w:b/>
                <w:color w:val="000000" w:themeColor="text1"/>
                <w:sz w:val="22"/>
                <w:szCs w:val="22"/>
              </w:rPr>
              <w:t>Experiment 2 on negative probability estimates contrast</w:t>
            </w:r>
          </w:p>
        </w:tc>
      </w:tr>
      <w:tr w:rsidR="00453B26" w:rsidRPr="008E489B" w:rsidTr="0070443D">
        <w:trPr>
          <w:trHeight w:val="362"/>
        </w:trPr>
        <w:tc>
          <w:tcPr>
            <w:tcW w:w="1480" w:type="pct"/>
          </w:tcPr>
          <w:p w:rsidR="00453B26" w:rsidRPr="003E2BE2" w:rsidRDefault="00453B26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</w:t>
            </w:r>
          </w:p>
        </w:tc>
        <w:tc>
          <w:tcPr>
            <w:tcW w:w="829" w:type="pct"/>
            <w:vAlign w:val="center"/>
          </w:tcPr>
          <w:p w:rsidR="00453B26" w:rsidRPr="003E2BE2" w:rsidRDefault="00453B26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Hemisphere</w:t>
            </w:r>
          </w:p>
        </w:tc>
        <w:tc>
          <w:tcPr>
            <w:tcW w:w="850" w:type="pct"/>
            <w:vAlign w:val="center"/>
          </w:tcPr>
          <w:p w:rsidR="00453B26" w:rsidRPr="003E2BE2" w:rsidRDefault="00453B26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 size</w:t>
            </w:r>
          </w:p>
        </w:tc>
        <w:tc>
          <w:tcPr>
            <w:tcW w:w="898" w:type="pct"/>
            <w:vAlign w:val="center"/>
          </w:tcPr>
          <w:p w:rsidR="00453B26" w:rsidRPr="003E2BE2" w:rsidRDefault="00453B26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</w:t>
            </w:r>
          </w:p>
        </w:tc>
        <w:tc>
          <w:tcPr>
            <w:tcW w:w="942" w:type="pct"/>
            <w:vAlign w:val="center"/>
          </w:tcPr>
          <w:p w:rsidR="00453B26" w:rsidRPr="003E2BE2" w:rsidRDefault="00453B26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z-max(</w:t>
            </w:r>
            <w:proofErr w:type="spellStart"/>
            <w:proofErr w:type="gramStart"/>
            <w:r w:rsidRPr="003E2BE2">
              <w:rPr>
                <w:b/>
                <w:color w:val="000000" w:themeColor="text1"/>
                <w:sz w:val="22"/>
                <w:szCs w:val="22"/>
              </w:rPr>
              <w:t>x,y</w:t>
            </w:r>
            <w:proofErr w:type="gramEnd"/>
            <w:r w:rsidRPr="003E2BE2">
              <w:rPr>
                <w:b/>
                <w:color w:val="000000" w:themeColor="text1"/>
                <w:sz w:val="22"/>
                <w:szCs w:val="22"/>
              </w:rPr>
              <w:t>,z</w:t>
            </w:r>
            <w:proofErr w:type="spellEnd"/>
            <w:r w:rsidRPr="003E2BE2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453B26" w:rsidRPr="008E489B" w:rsidTr="0070443D">
        <w:trPr>
          <w:trHeight w:val="772"/>
        </w:trPr>
        <w:tc>
          <w:tcPr>
            <w:tcW w:w="1480" w:type="pct"/>
            <w:vAlign w:val="bottom"/>
          </w:tcPr>
          <w:p w:rsidR="00453B26" w:rsidRPr="003E2BE2" w:rsidRDefault="00453B26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Superior Temporal Gyrus, anterior division</w:t>
            </w:r>
          </w:p>
        </w:tc>
        <w:tc>
          <w:tcPr>
            <w:tcW w:w="829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4099</w:t>
            </w:r>
          </w:p>
        </w:tc>
        <w:tc>
          <w:tcPr>
            <w:tcW w:w="898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5.04</w:t>
            </w:r>
          </w:p>
        </w:tc>
        <w:tc>
          <w:tcPr>
            <w:tcW w:w="942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(-60,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2,-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2)</w:t>
            </w:r>
          </w:p>
        </w:tc>
      </w:tr>
      <w:tr w:rsidR="00453B26" w:rsidRPr="008E489B" w:rsidTr="0070443D">
        <w:trPr>
          <w:trHeight w:val="362"/>
        </w:trPr>
        <w:tc>
          <w:tcPr>
            <w:tcW w:w="1480" w:type="pct"/>
            <w:vAlign w:val="bottom"/>
          </w:tcPr>
          <w:p w:rsidR="00453B26" w:rsidRPr="003E2BE2" w:rsidRDefault="00453B26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Occipital Pole</w:t>
            </w:r>
          </w:p>
        </w:tc>
        <w:tc>
          <w:tcPr>
            <w:tcW w:w="829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2656</w:t>
            </w:r>
          </w:p>
        </w:tc>
        <w:tc>
          <w:tcPr>
            <w:tcW w:w="898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5.21</w:t>
            </w:r>
          </w:p>
        </w:tc>
        <w:tc>
          <w:tcPr>
            <w:tcW w:w="942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16,-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98,28)</w:t>
            </w:r>
          </w:p>
        </w:tc>
      </w:tr>
      <w:tr w:rsidR="00453B26" w:rsidRPr="008E489B" w:rsidTr="0070443D">
        <w:trPr>
          <w:trHeight w:val="381"/>
        </w:trPr>
        <w:tc>
          <w:tcPr>
            <w:tcW w:w="1480" w:type="pct"/>
            <w:vAlign w:val="bottom"/>
          </w:tcPr>
          <w:p w:rsidR="00453B26" w:rsidRPr="003E2BE2" w:rsidRDefault="00453B26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Central Opercular Cortex</w:t>
            </w:r>
          </w:p>
        </w:tc>
        <w:tc>
          <w:tcPr>
            <w:tcW w:w="829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1575</w:t>
            </w:r>
          </w:p>
        </w:tc>
        <w:tc>
          <w:tcPr>
            <w:tcW w:w="898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5.41</w:t>
            </w:r>
          </w:p>
        </w:tc>
        <w:tc>
          <w:tcPr>
            <w:tcW w:w="942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62,-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6,8)</w:t>
            </w:r>
          </w:p>
        </w:tc>
      </w:tr>
      <w:tr w:rsidR="00453B26" w:rsidRPr="008E489B" w:rsidTr="0070443D">
        <w:trPr>
          <w:trHeight w:val="426"/>
        </w:trPr>
        <w:tc>
          <w:tcPr>
            <w:tcW w:w="5000" w:type="pct"/>
            <w:gridSpan w:val="5"/>
            <w:vAlign w:val="center"/>
          </w:tcPr>
          <w:p w:rsidR="00453B26" w:rsidRPr="003E2BE2" w:rsidRDefault="00453B26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Experiment 1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&gt;</m:t>
              </m:r>
            </m:oMath>
            <w:r w:rsidRPr="003E2B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2BE2">
              <w:rPr>
                <w:b/>
                <w:color w:val="000000" w:themeColor="text1"/>
                <w:sz w:val="22"/>
                <w:szCs w:val="22"/>
              </w:rPr>
              <w:t>Experiment 2 on positive probability estimates contrast</w:t>
            </w:r>
          </w:p>
        </w:tc>
      </w:tr>
      <w:tr w:rsidR="00453B26" w:rsidRPr="003E2BE2" w:rsidTr="0070443D">
        <w:trPr>
          <w:trHeight w:val="688"/>
        </w:trPr>
        <w:tc>
          <w:tcPr>
            <w:tcW w:w="1480" w:type="pct"/>
            <w:vAlign w:val="bottom"/>
          </w:tcPr>
          <w:p w:rsidR="00453B26" w:rsidRPr="003E2BE2" w:rsidRDefault="00453B26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Supramarginal Gyrus, anterior division</w:t>
            </w:r>
          </w:p>
        </w:tc>
        <w:tc>
          <w:tcPr>
            <w:tcW w:w="829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328</w:t>
            </w:r>
          </w:p>
        </w:tc>
        <w:tc>
          <w:tcPr>
            <w:tcW w:w="898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2" w:type="pct"/>
            <w:vAlign w:val="bottom"/>
          </w:tcPr>
          <w:p w:rsidR="00453B26" w:rsidRPr="003E2BE2" w:rsidRDefault="00453B26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52,-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38,44)</w:t>
            </w:r>
          </w:p>
        </w:tc>
      </w:tr>
    </w:tbl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26"/>
    <w:rsid w:val="00063BBE"/>
    <w:rsid w:val="00172A1F"/>
    <w:rsid w:val="001B1B8A"/>
    <w:rsid w:val="002B57C1"/>
    <w:rsid w:val="003C0433"/>
    <w:rsid w:val="00453B26"/>
    <w:rsid w:val="004B0E6F"/>
    <w:rsid w:val="005426C8"/>
    <w:rsid w:val="00582D02"/>
    <w:rsid w:val="007F46AF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9E09D"/>
  <w15:chartTrackingRefBased/>
  <w15:docId w15:val="{6D35A925-7586-2349-90A5-212CF5BC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2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B2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3</cp:revision>
  <dcterms:created xsi:type="dcterms:W3CDTF">2026-04-15T19:49:00Z</dcterms:created>
  <dcterms:modified xsi:type="dcterms:W3CDTF">2026-04-16T16:48:00Z</dcterms:modified>
</cp:coreProperties>
</file>