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656B9E" w:rsidRDefault="00000000">
      <w:r>
        <w:rPr>
          <w:b/>
        </w:rPr>
        <w:t>Supplementary Table 1:</w:t>
      </w:r>
      <w:r>
        <w:t xml:space="preserve"> Summary of negative results from genetic manipulations that impair synaptic transmission and/or signaling at synapses. The listed UAS lines, UAS-RNAi lines and genetic mutations were tested for their ability to alter the expression of </w:t>
      </w:r>
      <w:proofErr w:type="spellStart"/>
      <w:r>
        <w:rPr>
          <w:i/>
        </w:rPr>
        <w:t>puc</w:t>
      </w:r>
      <w:proofErr w:type="spellEnd"/>
      <w:r>
        <w:t>-lacZ in motoneurons. Outcomes and experimental details are noted.</w:t>
      </w:r>
    </w:p>
    <w:p w14:paraId="00000002" w14:textId="77777777" w:rsidR="00656B9E" w:rsidRDefault="00000000">
      <w:pPr>
        <w:rPr>
          <w:b/>
        </w:rPr>
        <w:sectPr w:rsidR="00656B9E">
          <w:footerReference w:type="default" r:id="rId7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  <w:r>
        <w:rPr>
          <w:b/>
        </w:rPr>
        <w:t xml:space="preserve"> </w:t>
      </w:r>
    </w:p>
    <w:p w14:paraId="00000003" w14:textId="77777777" w:rsidR="00656B9E" w:rsidRDefault="00656B9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tbl>
      <w:tblPr>
        <w:tblStyle w:val="a0"/>
        <w:tblW w:w="934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305"/>
        <w:gridCol w:w="1200"/>
        <w:gridCol w:w="2025"/>
        <w:gridCol w:w="1110"/>
        <w:gridCol w:w="900"/>
        <w:gridCol w:w="2805"/>
      </w:tblGrid>
      <w:tr w:rsidR="00656B9E" w14:paraId="303455E0" w14:textId="77777777">
        <w:trPr>
          <w:trHeight w:val="510"/>
        </w:trPr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43434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04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Name</w:t>
            </w:r>
            <w:r>
              <w:rPr>
                <w:sz w:val="18"/>
                <w:szCs w:val="18"/>
              </w:rPr>
              <w:t>[</w:t>
            </w:r>
            <w:sdt>
              <w:sdtPr>
                <w:tag w:val="goog_rdk_0"/>
                <w:id w:val="147296856"/>
              </w:sdtPr>
              <w:sdtContent/>
            </w:sdt>
            <w:sdt>
              <w:sdtPr>
                <w:tag w:val="goog_rdk_1"/>
                <w:id w:val="1094218244"/>
              </w:sdtPr>
              <w:sdtContent/>
            </w:sdt>
            <w:r>
              <w:rPr>
                <w:sz w:val="18"/>
                <w:szCs w:val="18"/>
              </w:rPr>
              <w:t xml:space="preserve">LS1] </w:t>
            </w:r>
          </w:p>
        </w:tc>
        <w:tc>
          <w:tcPr>
            <w:tcW w:w="1200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43434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05" w14:textId="77777777" w:rsidR="00656B9E" w:rsidRDefault="00000000">
            <w:pPr>
              <w:jc w:val="center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Stock ID</w:t>
            </w:r>
          </w:p>
        </w:tc>
        <w:tc>
          <w:tcPr>
            <w:tcW w:w="202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43434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06" w14:textId="77777777" w:rsidR="00656B9E" w:rsidRDefault="00000000">
            <w:pPr>
              <w:jc w:val="center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Target/Function</w:t>
            </w:r>
          </w:p>
        </w:tc>
        <w:tc>
          <w:tcPr>
            <w:tcW w:w="1110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43434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07" w14:textId="77777777" w:rsidR="00656B9E" w:rsidRDefault="00000000">
            <w:pPr>
              <w:jc w:val="center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Ref(s)</w:t>
            </w:r>
          </w:p>
        </w:tc>
        <w:tc>
          <w:tcPr>
            <w:tcW w:w="900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43434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08" w14:textId="77777777" w:rsidR="00656B9E" w:rsidRDefault="00000000">
            <w:pPr>
              <w:jc w:val="center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Driver (Gal4)</w:t>
            </w:r>
          </w:p>
        </w:tc>
        <w:tc>
          <w:tcPr>
            <w:tcW w:w="280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43434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09" w14:textId="77777777" w:rsidR="00656B9E" w:rsidRDefault="00000000">
            <w:pPr>
              <w:jc w:val="center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Observation(s)</w:t>
            </w:r>
          </w:p>
        </w:tc>
      </w:tr>
      <w:tr w:rsidR="00656B9E" w14:paraId="62CF3C2D" w14:textId="77777777">
        <w:trPr>
          <w:trHeight w:val="315"/>
        </w:trPr>
        <w:tc>
          <w:tcPr>
            <w:tcW w:w="1305" w:type="dxa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0A" w14:textId="77777777" w:rsidR="00656B9E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UAS lines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0B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0C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0D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0E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0F" w14:textId="77777777" w:rsidR="00656B9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656B9E" w14:paraId="43448754" w14:textId="77777777">
        <w:trPr>
          <w:trHeight w:val="2580"/>
        </w:trPr>
        <w:tc>
          <w:tcPr>
            <w:tcW w:w="1305" w:type="dxa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10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UAS-</w:t>
            </w:r>
            <w:proofErr w:type="spellStart"/>
            <w:r>
              <w:rPr>
                <w:i/>
                <w:sz w:val="18"/>
                <w:szCs w:val="18"/>
              </w:rPr>
              <w:t>shibire</w:t>
            </w:r>
            <w:proofErr w:type="spellEnd"/>
            <w:r>
              <w:rPr>
                <w:sz w:val="18"/>
                <w:szCs w:val="18"/>
              </w:rPr>
              <w:t>-</w:t>
            </w:r>
            <w:proofErr w:type="spellStart"/>
            <w:r>
              <w:rPr>
                <w:sz w:val="18"/>
                <w:szCs w:val="18"/>
              </w:rPr>
              <w:t>ts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11" w14:textId="77777777" w:rsidR="00656B9E" w:rsidRDefault="00000000">
            <w:pPr>
              <w:jc w:val="center"/>
              <w:rPr>
                <w:color w:val="424242"/>
                <w:sz w:val="18"/>
                <w:szCs w:val="18"/>
              </w:rPr>
            </w:pPr>
            <w:proofErr w:type="gramStart"/>
            <w:r>
              <w:rPr>
                <w:color w:val="424242"/>
                <w:sz w:val="18"/>
                <w:szCs w:val="18"/>
              </w:rPr>
              <w:t>RRID:BDSC</w:t>
            </w:r>
            <w:proofErr w:type="gramEnd"/>
            <w:r>
              <w:rPr>
                <w:color w:val="424242"/>
                <w:sz w:val="18"/>
                <w:szCs w:val="18"/>
              </w:rPr>
              <w:t>_44222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12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dominant temperature sensitive mutation in dynamin - confers rapid inhibition of synaptic vesicle endocytosis and exocytosis.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13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hyperlink r:id="rId8">
              <w:r>
                <w:rPr>
                  <w:color w:val="000000"/>
                  <w:sz w:val="18"/>
                  <w:szCs w:val="18"/>
                </w:rPr>
                <w:t>(</w:t>
              </w:r>
              <w:proofErr w:type="spellStart"/>
              <w:r>
                <w:rPr>
                  <w:color w:val="000000"/>
                  <w:sz w:val="18"/>
                  <w:szCs w:val="18"/>
                </w:rPr>
                <w:t>Kitamoto</w:t>
              </w:r>
              <w:proofErr w:type="spellEnd"/>
              <w:r>
                <w:rPr>
                  <w:color w:val="000000"/>
                  <w:sz w:val="18"/>
                  <w:szCs w:val="18"/>
                </w:rPr>
                <w:t>, 2001)</w:t>
              </w:r>
            </w:hyperlink>
          </w:p>
        </w:tc>
        <w:tc>
          <w:tcPr>
            <w:tcW w:w="90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14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m12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15" w14:textId="77777777" w:rsidR="00656B9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temperature shift to 32C for 24h. (nSyb-Gal4, UAS-Shi-</w:t>
            </w:r>
            <w:proofErr w:type="spellStart"/>
            <w:r>
              <w:rPr>
                <w:sz w:val="18"/>
                <w:szCs w:val="18"/>
              </w:rPr>
              <w:t>ts</w:t>
            </w:r>
            <w:proofErr w:type="spellEnd"/>
            <w:r>
              <w:rPr>
                <w:sz w:val="18"/>
                <w:szCs w:val="18"/>
              </w:rPr>
              <w:t xml:space="preserve"> flies are paralyzed when shifted to 32C for 20 minutes). No difference between shifted (32C) and unshifted (25C) for uninjured, single branch injured, and complete axotomy. (</w:t>
            </w:r>
            <w:proofErr w:type="gramStart"/>
            <w:r>
              <w:rPr>
                <w:sz w:val="18"/>
                <w:szCs w:val="18"/>
              </w:rPr>
              <w:t>shift</w:t>
            </w:r>
            <w:proofErr w:type="gramEnd"/>
            <w:r>
              <w:rPr>
                <w:sz w:val="18"/>
                <w:szCs w:val="18"/>
              </w:rPr>
              <w:t xml:space="preserve"> was done immediately after laser surgery).</w:t>
            </w:r>
          </w:p>
        </w:tc>
      </w:tr>
      <w:tr w:rsidR="00656B9E" w14:paraId="37087A75" w14:textId="77777777">
        <w:trPr>
          <w:trHeight w:val="930"/>
        </w:trPr>
        <w:tc>
          <w:tcPr>
            <w:tcW w:w="1305" w:type="dxa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16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UAS-</w:t>
            </w:r>
            <w:proofErr w:type="spellStart"/>
            <w:r>
              <w:rPr>
                <w:sz w:val="18"/>
                <w:szCs w:val="18"/>
              </w:rPr>
              <w:t>dORK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14:paraId="00000017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delta-C</w:t>
            </w:r>
            <w:proofErr w:type="gramEnd"/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18" w14:textId="77777777" w:rsidR="00656B9E" w:rsidRDefault="00000000">
            <w:pPr>
              <w:jc w:val="center"/>
              <w:rPr>
                <w:color w:val="424242"/>
                <w:sz w:val="18"/>
                <w:szCs w:val="18"/>
              </w:rPr>
            </w:pPr>
            <w:proofErr w:type="gramStart"/>
            <w:r>
              <w:rPr>
                <w:color w:val="424242"/>
                <w:sz w:val="18"/>
                <w:szCs w:val="18"/>
              </w:rPr>
              <w:t>RRID:BDSC</w:t>
            </w:r>
            <w:proofErr w:type="gramEnd"/>
            <w:r>
              <w:rPr>
                <w:color w:val="424242"/>
                <w:sz w:val="18"/>
                <w:szCs w:val="18"/>
              </w:rPr>
              <w:t>_8928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19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constitutively open K+ rectifying channel. Confers electrical silencing.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1A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hyperlink r:id="rId9">
              <w:r>
                <w:rPr>
                  <w:color w:val="000000"/>
                  <w:sz w:val="18"/>
                  <w:szCs w:val="18"/>
                </w:rPr>
                <w:t>(</w:t>
              </w:r>
              <w:proofErr w:type="spellStart"/>
              <w:r>
                <w:rPr>
                  <w:color w:val="000000"/>
                  <w:sz w:val="18"/>
                  <w:szCs w:val="18"/>
                </w:rPr>
                <w:t>Nitabach</w:t>
              </w:r>
              <w:proofErr w:type="spellEnd"/>
              <w:r>
                <w:rPr>
                  <w:color w:val="000000"/>
                  <w:sz w:val="18"/>
                  <w:szCs w:val="18"/>
                </w:rPr>
                <w:t xml:space="preserve"> et al., 2002)</w:t>
              </w:r>
            </w:hyperlink>
          </w:p>
        </w:tc>
        <w:tc>
          <w:tcPr>
            <w:tcW w:w="90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1B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m12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1C" w14:textId="77777777" w:rsidR="00656B9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difference from control (CS) flies, both uninjured and full axotomy.</w:t>
            </w:r>
          </w:p>
        </w:tc>
      </w:tr>
      <w:tr w:rsidR="00656B9E" w14:paraId="5B4EA548" w14:textId="77777777">
        <w:trPr>
          <w:trHeight w:val="930"/>
        </w:trPr>
        <w:tc>
          <w:tcPr>
            <w:tcW w:w="1305" w:type="dxa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1D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UAS-</w:t>
            </w:r>
            <w:proofErr w:type="spellStart"/>
            <w:r>
              <w:rPr>
                <w:sz w:val="18"/>
                <w:szCs w:val="18"/>
              </w:rPr>
              <w:t>dORK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14:paraId="0000001E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delta-NC (non-</w:t>
            </w:r>
          </w:p>
          <w:p w14:paraId="0000001F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conducting)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20" w14:textId="77777777" w:rsidR="00656B9E" w:rsidRDefault="00000000">
            <w:pPr>
              <w:jc w:val="center"/>
              <w:rPr>
                <w:color w:val="424242"/>
                <w:sz w:val="18"/>
                <w:szCs w:val="18"/>
              </w:rPr>
            </w:pPr>
            <w:proofErr w:type="gramStart"/>
            <w:r>
              <w:rPr>
                <w:color w:val="424242"/>
                <w:sz w:val="18"/>
                <w:szCs w:val="18"/>
              </w:rPr>
              <w:t>RRID:BDSC</w:t>
            </w:r>
            <w:proofErr w:type="gramEnd"/>
            <w:r>
              <w:rPr>
                <w:color w:val="424242"/>
                <w:sz w:val="18"/>
                <w:szCs w:val="18"/>
              </w:rPr>
              <w:t>_6587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21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Non-conducting version of UAS-ORK1 (control)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22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hyperlink r:id="rId10">
              <w:r>
                <w:rPr>
                  <w:color w:val="000000"/>
                  <w:sz w:val="18"/>
                  <w:szCs w:val="18"/>
                </w:rPr>
                <w:t>(</w:t>
              </w:r>
              <w:proofErr w:type="spellStart"/>
              <w:r>
                <w:rPr>
                  <w:color w:val="000000"/>
                  <w:sz w:val="18"/>
                  <w:szCs w:val="18"/>
                </w:rPr>
                <w:t>Nitabach</w:t>
              </w:r>
              <w:proofErr w:type="spellEnd"/>
              <w:r>
                <w:rPr>
                  <w:color w:val="000000"/>
                  <w:sz w:val="18"/>
                  <w:szCs w:val="18"/>
                </w:rPr>
                <w:t xml:space="preserve"> et al., 2002)</w:t>
              </w:r>
            </w:hyperlink>
          </w:p>
        </w:tc>
        <w:tc>
          <w:tcPr>
            <w:tcW w:w="90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23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m12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24" w14:textId="77777777" w:rsidR="00656B9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difference from control (CS) flies, both uninjured and full axotomy.</w:t>
            </w:r>
          </w:p>
        </w:tc>
      </w:tr>
      <w:tr w:rsidR="00656B9E" w14:paraId="73279FA2" w14:textId="77777777">
        <w:trPr>
          <w:trHeight w:val="2505"/>
        </w:trPr>
        <w:tc>
          <w:tcPr>
            <w:tcW w:w="1305" w:type="dxa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25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UAS-gtACR1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26" w14:textId="77777777" w:rsidR="00656B9E" w:rsidRDefault="00000000">
            <w:pPr>
              <w:jc w:val="center"/>
              <w:rPr>
                <w:color w:val="424242"/>
                <w:sz w:val="18"/>
                <w:szCs w:val="18"/>
              </w:rPr>
            </w:pPr>
            <w:proofErr w:type="gramStart"/>
            <w:r>
              <w:rPr>
                <w:color w:val="424242"/>
                <w:sz w:val="18"/>
                <w:szCs w:val="18"/>
              </w:rPr>
              <w:t>RRID:BDSC</w:t>
            </w:r>
            <w:proofErr w:type="gramEnd"/>
            <w:r>
              <w:rPr>
                <w:color w:val="424242"/>
                <w:sz w:val="18"/>
                <w:szCs w:val="18"/>
              </w:rPr>
              <w:t>_92983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27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light-inducible Cl- channel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28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hyperlink r:id="rId11">
              <w:r>
                <w:rPr>
                  <w:color w:val="000000"/>
                  <w:sz w:val="18"/>
                  <w:szCs w:val="18"/>
                </w:rPr>
                <w:t>(Mohammad et al., 2017)</w:t>
              </w:r>
            </w:hyperlink>
          </w:p>
        </w:tc>
        <w:tc>
          <w:tcPr>
            <w:tcW w:w="90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29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m12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2A" w14:textId="77777777" w:rsidR="00656B9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Kept in dark until 24h before dissection, when larvae were shifted to 530 nm light (for 24h). No difference between vehicle (ethanol) and ATR (1mM) control. As a control for the method, BG380Gal4; UAS-gtACR1 (ATR) flies showed rapid paralysis with shifted 530 nm light, but animals raised with vehicle food did not.</w:t>
            </w:r>
          </w:p>
        </w:tc>
      </w:tr>
      <w:tr w:rsidR="00656B9E" w14:paraId="5223F9F2" w14:textId="77777777">
        <w:trPr>
          <w:trHeight w:val="930"/>
        </w:trPr>
        <w:tc>
          <w:tcPr>
            <w:tcW w:w="1305" w:type="dxa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2B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UAS-</w:t>
            </w:r>
            <w:proofErr w:type="spellStart"/>
            <w:r>
              <w:rPr>
                <w:i/>
                <w:sz w:val="18"/>
                <w:szCs w:val="18"/>
              </w:rPr>
              <w:t>Sh</w:t>
            </w:r>
            <w:proofErr w:type="spellEnd"/>
            <w:r>
              <w:rPr>
                <w:sz w:val="18"/>
                <w:szCs w:val="18"/>
              </w:rPr>
              <w:t>-DN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2C" w14:textId="77777777" w:rsidR="00656B9E" w:rsidRDefault="00000000">
            <w:pPr>
              <w:jc w:val="center"/>
              <w:rPr>
                <w:color w:val="424242"/>
                <w:sz w:val="18"/>
                <w:szCs w:val="18"/>
              </w:rPr>
            </w:pPr>
            <w:proofErr w:type="gramStart"/>
            <w:r>
              <w:rPr>
                <w:color w:val="424242"/>
                <w:sz w:val="18"/>
                <w:szCs w:val="18"/>
              </w:rPr>
              <w:t>RRID:BDSC</w:t>
            </w:r>
            <w:proofErr w:type="gramEnd"/>
            <w:r>
              <w:rPr>
                <w:color w:val="424242"/>
                <w:sz w:val="18"/>
                <w:szCs w:val="18"/>
              </w:rPr>
              <w:t>_40974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2D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mutated Shaker K+ channel which attenuates membrane excitability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2E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hyperlink r:id="rId12">
              <w:r>
                <w:rPr>
                  <w:color w:val="000000"/>
                  <w:sz w:val="18"/>
                  <w:szCs w:val="18"/>
                </w:rPr>
                <w:t>(</w:t>
              </w:r>
              <w:proofErr w:type="spellStart"/>
              <w:r>
                <w:rPr>
                  <w:color w:val="000000"/>
                  <w:sz w:val="18"/>
                  <w:szCs w:val="18"/>
                </w:rPr>
                <w:t>Mosca</w:t>
              </w:r>
              <w:proofErr w:type="spellEnd"/>
              <w:r>
                <w:rPr>
                  <w:color w:val="000000"/>
                  <w:sz w:val="18"/>
                  <w:szCs w:val="18"/>
                </w:rPr>
                <w:t xml:space="preserve"> et al., 2005)</w:t>
              </w:r>
            </w:hyperlink>
          </w:p>
        </w:tc>
        <w:tc>
          <w:tcPr>
            <w:tcW w:w="90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2F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m12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30" w14:textId="77777777" w:rsidR="00656B9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difference from control (CS) flies, uninjured</w:t>
            </w:r>
          </w:p>
        </w:tc>
      </w:tr>
      <w:tr w:rsidR="00656B9E" w14:paraId="49388890" w14:textId="77777777">
        <w:trPr>
          <w:trHeight w:val="1755"/>
        </w:trPr>
        <w:tc>
          <w:tcPr>
            <w:tcW w:w="1305" w:type="dxa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31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UAS-</w:t>
            </w:r>
            <w:proofErr w:type="spellStart"/>
            <w:r>
              <w:rPr>
                <w:sz w:val="18"/>
                <w:szCs w:val="18"/>
              </w:rPr>
              <w:t>tkv</w:t>
            </w:r>
            <w:proofErr w:type="spellEnd"/>
            <w:r>
              <w:rPr>
                <w:sz w:val="18"/>
                <w:szCs w:val="18"/>
              </w:rPr>
              <w:t>-CA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32" w14:textId="77777777" w:rsidR="00656B9E" w:rsidRDefault="00000000">
            <w:pPr>
              <w:jc w:val="center"/>
              <w:rPr>
                <w:color w:val="424242"/>
                <w:sz w:val="18"/>
                <w:szCs w:val="18"/>
                <w:highlight w:val="white"/>
              </w:rPr>
            </w:pPr>
            <w:proofErr w:type="gramStart"/>
            <w:r>
              <w:rPr>
                <w:color w:val="424242"/>
                <w:sz w:val="18"/>
                <w:szCs w:val="18"/>
                <w:highlight w:val="white"/>
              </w:rPr>
              <w:t>RRID:BDSC</w:t>
            </w:r>
            <w:proofErr w:type="gramEnd"/>
            <w:r>
              <w:rPr>
                <w:color w:val="424242"/>
                <w:sz w:val="18"/>
                <w:szCs w:val="18"/>
                <w:highlight w:val="white"/>
              </w:rPr>
              <w:t>_36537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33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constitutively activated type I BMP receptor (</w:t>
            </w:r>
            <w:proofErr w:type="spellStart"/>
            <w:r>
              <w:rPr>
                <w:sz w:val="18"/>
                <w:szCs w:val="18"/>
              </w:rPr>
              <w:t>thickveins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34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35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BG380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36" w14:textId="77777777" w:rsidR="00656B9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causes elevation of </w:t>
            </w:r>
            <w:proofErr w:type="spellStart"/>
            <w:r>
              <w:rPr>
                <w:sz w:val="18"/>
                <w:szCs w:val="18"/>
              </w:rPr>
              <w:t>Gbb</w:t>
            </w:r>
            <w:proofErr w:type="spellEnd"/>
            <w:r>
              <w:rPr>
                <w:sz w:val="18"/>
                <w:szCs w:val="18"/>
              </w:rPr>
              <w:t xml:space="preserve">/BMP signaling (measured by </w:t>
            </w:r>
            <w:proofErr w:type="spellStart"/>
            <w:r>
              <w:rPr>
                <w:sz w:val="18"/>
                <w:szCs w:val="18"/>
              </w:rPr>
              <w:t>pSMAD</w:t>
            </w:r>
            <w:proofErr w:type="spellEnd"/>
            <w:proofErr w:type="gramStart"/>
            <w:r>
              <w:rPr>
                <w:sz w:val="18"/>
                <w:szCs w:val="18"/>
              </w:rPr>
              <w:t>), but</w:t>
            </w:r>
            <w:proofErr w:type="gramEnd"/>
            <w:r>
              <w:rPr>
                <w:sz w:val="18"/>
                <w:szCs w:val="18"/>
              </w:rPr>
              <w:t xml:space="preserve"> does not alter the induction of </w:t>
            </w:r>
            <w:proofErr w:type="spellStart"/>
            <w:r>
              <w:rPr>
                <w:sz w:val="18"/>
                <w:szCs w:val="18"/>
              </w:rPr>
              <w:t>puc</w:t>
            </w:r>
            <w:proofErr w:type="spellEnd"/>
            <w:r>
              <w:rPr>
                <w:sz w:val="18"/>
                <w:szCs w:val="18"/>
              </w:rPr>
              <w:t>-lacZ in either injured (24h nerve crush) or uninjured animals.</w:t>
            </w:r>
          </w:p>
        </w:tc>
      </w:tr>
      <w:tr w:rsidR="00656B9E" w14:paraId="18DBD960" w14:textId="77777777">
        <w:trPr>
          <w:trHeight w:val="510"/>
        </w:trPr>
        <w:tc>
          <w:tcPr>
            <w:tcW w:w="1305" w:type="dxa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37" w14:textId="77777777" w:rsidR="00656B9E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endogenous mutations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38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39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3A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3B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3C" w14:textId="77777777" w:rsidR="00656B9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</w:tbl>
    <w:p w14:paraId="0000003D" w14:textId="77777777" w:rsidR="00656B9E" w:rsidRDefault="00656B9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18"/>
          <w:szCs w:val="18"/>
        </w:rPr>
      </w:pPr>
    </w:p>
    <w:tbl>
      <w:tblPr>
        <w:tblStyle w:val="a1"/>
        <w:tblW w:w="934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00"/>
        <w:gridCol w:w="1050"/>
        <w:gridCol w:w="2640"/>
        <w:gridCol w:w="1095"/>
        <w:gridCol w:w="855"/>
        <w:gridCol w:w="2205"/>
      </w:tblGrid>
      <w:tr w:rsidR="00656B9E" w14:paraId="452F0247" w14:textId="77777777">
        <w:trPr>
          <w:trHeight w:val="2475"/>
        </w:trPr>
        <w:tc>
          <w:tcPr>
            <w:tcW w:w="1500" w:type="dxa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3E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i/>
                <w:color w:val="1F1F1F"/>
                <w:sz w:val="18"/>
                <w:szCs w:val="18"/>
              </w:rPr>
              <w:t>paralytic (para)-</w:t>
            </w:r>
            <w:proofErr w:type="spellStart"/>
            <w:r>
              <w:rPr>
                <w:i/>
                <w:color w:val="1F1F1F"/>
                <w:sz w:val="18"/>
                <w:szCs w:val="18"/>
              </w:rPr>
              <w:t>ts</w:t>
            </w:r>
            <w:proofErr w:type="spellEnd"/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3F" w14:textId="77777777" w:rsidR="00656B9E" w:rsidRDefault="00656B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40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Temperature-sensitive allele of voltage-gated sodium channel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41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Pittendrigh</w:t>
            </w:r>
            <w:proofErr w:type="spellEnd"/>
            <w:r>
              <w:rPr>
                <w:sz w:val="18"/>
                <w:szCs w:val="18"/>
              </w:rPr>
              <w:t xml:space="preserve"> et al, 1997)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CCCCCC"/>
              <w:right w:val="single" w:sz="6" w:space="0" w:color="D9D9D9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00000042" w14:textId="77777777" w:rsidR="00656B9E" w:rsidRDefault="00656B9E">
            <w:pPr>
              <w:jc w:val="center"/>
              <w:rPr>
                <w:color w:val="1155CC"/>
                <w:sz w:val="18"/>
                <w:szCs w:val="18"/>
                <w:u w:val="single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43" w14:textId="77777777" w:rsidR="00656B9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tested 6h at 37C, and 24h at 29. No difference between shifted and unshifted for uninjured animals. </w:t>
            </w:r>
            <w:proofErr w:type="gramStart"/>
            <w:r>
              <w:rPr>
                <w:sz w:val="18"/>
                <w:szCs w:val="18"/>
              </w:rPr>
              <w:t>Also</w:t>
            </w:r>
            <w:proofErr w:type="gramEnd"/>
            <w:r>
              <w:rPr>
                <w:sz w:val="18"/>
                <w:szCs w:val="18"/>
              </w:rPr>
              <w:t xml:space="preserve"> no difference between shifted and unshifted for full axotomy. (</w:t>
            </w:r>
            <w:proofErr w:type="gramStart"/>
            <w:r>
              <w:rPr>
                <w:sz w:val="18"/>
                <w:szCs w:val="18"/>
              </w:rPr>
              <w:t>shift</w:t>
            </w:r>
            <w:proofErr w:type="gramEnd"/>
            <w:r>
              <w:rPr>
                <w:sz w:val="18"/>
                <w:szCs w:val="18"/>
              </w:rPr>
              <w:t xml:space="preserve"> was done immediately after nerve crush).</w:t>
            </w:r>
          </w:p>
        </w:tc>
      </w:tr>
      <w:tr w:rsidR="00656B9E" w14:paraId="377745CB" w14:textId="77777777">
        <w:trPr>
          <w:trHeight w:val="720"/>
        </w:trPr>
        <w:tc>
          <w:tcPr>
            <w:tcW w:w="1500" w:type="dxa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44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Dm-</w:t>
            </w:r>
            <w:r>
              <w:rPr>
                <w:i/>
                <w:sz w:val="18"/>
                <w:szCs w:val="18"/>
              </w:rPr>
              <w:t>piezo</w:t>
            </w:r>
            <w:r>
              <w:rPr>
                <w:sz w:val="18"/>
                <w:szCs w:val="18"/>
              </w:rPr>
              <w:t xml:space="preserve"> KO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45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46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piezo</w:t>
            </w:r>
            <w:r>
              <w:rPr>
                <w:sz w:val="18"/>
                <w:szCs w:val="18"/>
              </w:rPr>
              <w:t xml:space="preserve"> mechanosensitive Ca2+ channel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47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hyperlink r:id="rId13">
              <w:r>
                <w:rPr>
                  <w:color w:val="000000"/>
                  <w:sz w:val="18"/>
                  <w:szCs w:val="18"/>
                </w:rPr>
                <w:t>(Kim et al., 2012)</w:t>
              </w:r>
            </w:hyperlink>
          </w:p>
        </w:tc>
        <w:tc>
          <w:tcPr>
            <w:tcW w:w="855" w:type="dxa"/>
            <w:tcBorders>
              <w:top w:val="nil"/>
              <w:left w:val="nil"/>
              <w:bottom w:val="single" w:sz="6" w:space="0" w:color="CCCCCC"/>
              <w:right w:val="single" w:sz="6" w:space="0" w:color="D9D9D9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00000048" w14:textId="77777777" w:rsidR="00656B9E" w:rsidRDefault="00000000">
            <w:pPr>
              <w:jc w:val="center"/>
              <w:rPr>
                <w:color w:val="1155CC"/>
                <w:sz w:val="18"/>
                <w:szCs w:val="18"/>
                <w:u w:val="single"/>
              </w:rPr>
            </w:pPr>
            <w:r>
              <w:rPr>
                <w:color w:val="1155CC"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49" w14:textId="77777777" w:rsidR="00656B9E" w:rsidRDefault="00000000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Similar to</w:t>
            </w:r>
            <w:proofErr w:type="gramEnd"/>
            <w:r>
              <w:rPr>
                <w:sz w:val="18"/>
                <w:szCs w:val="18"/>
              </w:rPr>
              <w:t xml:space="preserve"> control for </w:t>
            </w:r>
            <w:proofErr w:type="spellStart"/>
            <w:r>
              <w:rPr>
                <w:i/>
                <w:sz w:val="18"/>
                <w:szCs w:val="18"/>
              </w:rPr>
              <w:t>puc</w:t>
            </w:r>
            <w:proofErr w:type="spellEnd"/>
            <w:r>
              <w:rPr>
                <w:sz w:val="18"/>
                <w:szCs w:val="18"/>
              </w:rPr>
              <w:t xml:space="preserve">-lacZ induction </w:t>
            </w:r>
          </w:p>
        </w:tc>
      </w:tr>
      <w:tr w:rsidR="00656B9E" w14:paraId="75BD5B14" w14:textId="77777777">
        <w:trPr>
          <w:trHeight w:val="315"/>
        </w:trPr>
        <w:tc>
          <w:tcPr>
            <w:tcW w:w="1500" w:type="dxa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4A" w14:textId="77777777" w:rsidR="00656B9E" w:rsidRDefault="00656B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4B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4C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4D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4E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4F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656B9E" w14:paraId="7C5C0267" w14:textId="77777777">
        <w:trPr>
          <w:trHeight w:val="315"/>
        </w:trPr>
        <w:tc>
          <w:tcPr>
            <w:tcW w:w="1500" w:type="dxa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50" w14:textId="77777777" w:rsidR="00656B9E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RNAi lines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51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52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53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54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55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656B9E" w14:paraId="70D5183C" w14:textId="77777777">
        <w:trPr>
          <w:trHeight w:val="510"/>
        </w:trPr>
        <w:tc>
          <w:tcPr>
            <w:tcW w:w="1500" w:type="dxa"/>
            <w:vMerge w:val="restart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56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cacophony (</w:t>
            </w:r>
            <w:proofErr w:type="spellStart"/>
            <w:r>
              <w:rPr>
                <w:i/>
                <w:sz w:val="18"/>
                <w:szCs w:val="18"/>
              </w:rPr>
              <w:t>cac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050" w:type="dxa"/>
            <w:vMerge w:val="restart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57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vdrc</w:t>
            </w:r>
            <w:proofErr w:type="spellEnd"/>
            <w:r>
              <w:rPr>
                <w:sz w:val="18"/>
                <w:szCs w:val="18"/>
              </w:rPr>
              <w:t xml:space="preserve"> 101478</w:t>
            </w:r>
          </w:p>
        </w:tc>
        <w:tc>
          <w:tcPr>
            <w:tcW w:w="2640" w:type="dxa"/>
            <w:vMerge w:val="restart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58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alpha1 subunit of voltage-gated calcium channel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59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5A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m12 with dicer2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5B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difference from UAS-control (luciferase) RNAi</w:t>
            </w:r>
          </w:p>
        </w:tc>
      </w:tr>
      <w:tr w:rsidR="00656B9E" w14:paraId="3A0FA883" w14:textId="77777777">
        <w:trPr>
          <w:trHeight w:val="510"/>
        </w:trPr>
        <w:tc>
          <w:tcPr>
            <w:tcW w:w="1500" w:type="dxa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5C" w14:textId="77777777" w:rsidR="00656B9E" w:rsidRDefault="00656B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050" w:type="dxa"/>
            <w:vMerge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5D" w14:textId="77777777" w:rsidR="00656B9E" w:rsidRDefault="00656B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640" w:type="dxa"/>
            <w:vMerge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5E" w14:textId="77777777" w:rsidR="00656B9E" w:rsidRDefault="00656B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5F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60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BG380, Dicer2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61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difference from UAS-control (luciferase) RNAi</w:t>
            </w:r>
          </w:p>
        </w:tc>
      </w:tr>
      <w:tr w:rsidR="00656B9E" w14:paraId="05C08708" w14:textId="77777777">
        <w:trPr>
          <w:trHeight w:val="510"/>
        </w:trPr>
        <w:tc>
          <w:tcPr>
            <w:tcW w:w="1500" w:type="dxa"/>
            <w:vMerge w:val="restart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62" w14:textId="77777777" w:rsidR="00656B9E" w:rsidRDefault="00000000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>
              <w:rPr>
                <w:i/>
                <w:sz w:val="18"/>
                <w:szCs w:val="18"/>
              </w:rPr>
              <w:t>straightjacket</w:t>
            </w:r>
            <w:proofErr w:type="gramEnd"/>
            <w:r>
              <w:rPr>
                <w:i/>
                <w:sz w:val="18"/>
                <w:szCs w:val="18"/>
              </w:rPr>
              <w:t xml:space="preserve"> (</w:t>
            </w:r>
            <w:proofErr w:type="spellStart"/>
            <w:r>
              <w:rPr>
                <w:i/>
                <w:sz w:val="18"/>
                <w:szCs w:val="18"/>
              </w:rPr>
              <w:t>stj</w:t>
            </w:r>
            <w:proofErr w:type="spellEnd"/>
            <w:r>
              <w:rPr>
                <w:i/>
                <w:sz w:val="18"/>
                <w:szCs w:val="18"/>
              </w:rPr>
              <w:t>)</w:t>
            </w:r>
          </w:p>
        </w:tc>
        <w:tc>
          <w:tcPr>
            <w:tcW w:w="1050" w:type="dxa"/>
            <w:vMerge w:val="restart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63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RRID:BDSC</w:t>
            </w:r>
            <w:proofErr w:type="gramEnd"/>
            <w:r>
              <w:rPr>
                <w:sz w:val="18"/>
                <w:szCs w:val="18"/>
              </w:rPr>
              <w:t>_25807</w:t>
            </w:r>
          </w:p>
        </w:tc>
        <w:tc>
          <w:tcPr>
            <w:tcW w:w="2640" w:type="dxa"/>
            <w:vMerge w:val="restart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64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alpha 2 delta subunit of voltage-gated calcium channel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65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66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BG380, Dicer2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67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difference from UAS-control (luciferase) RNAi</w:t>
            </w:r>
          </w:p>
        </w:tc>
      </w:tr>
      <w:tr w:rsidR="00656B9E" w14:paraId="4608DE6D" w14:textId="77777777">
        <w:trPr>
          <w:trHeight w:val="510"/>
        </w:trPr>
        <w:tc>
          <w:tcPr>
            <w:tcW w:w="1500" w:type="dxa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68" w14:textId="77777777" w:rsidR="00656B9E" w:rsidRDefault="00656B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050" w:type="dxa"/>
            <w:vMerge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69" w14:textId="77777777" w:rsidR="00656B9E" w:rsidRDefault="00656B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640" w:type="dxa"/>
            <w:vMerge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6A" w14:textId="77777777" w:rsidR="00656B9E" w:rsidRDefault="00656B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6B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6C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D42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6D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difference from UAS-control (luciferase) RNAi</w:t>
            </w:r>
          </w:p>
        </w:tc>
      </w:tr>
      <w:tr w:rsidR="00656B9E" w14:paraId="5D49CEFE" w14:textId="77777777">
        <w:trPr>
          <w:trHeight w:val="315"/>
        </w:trPr>
        <w:tc>
          <w:tcPr>
            <w:tcW w:w="1500" w:type="dxa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6E" w14:textId="77777777" w:rsidR="00656B9E" w:rsidRDefault="00000000">
            <w:pPr>
              <w:jc w:val="center"/>
              <w:rPr>
                <w:i/>
                <w:color w:val="1F1F1F"/>
                <w:sz w:val="18"/>
                <w:szCs w:val="18"/>
              </w:rPr>
            </w:pPr>
            <w:r>
              <w:rPr>
                <w:i/>
                <w:color w:val="1F1F1F"/>
                <w:sz w:val="18"/>
                <w:szCs w:val="18"/>
              </w:rPr>
              <w:t>paralytic (para)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6F" w14:textId="77777777" w:rsidR="00656B9E" w:rsidRDefault="00000000">
            <w:pPr>
              <w:jc w:val="center"/>
              <w:rPr>
                <w:color w:val="424242"/>
                <w:sz w:val="18"/>
                <w:szCs w:val="18"/>
              </w:rPr>
            </w:pPr>
            <w:proofErr w:type="gramStart"/>
            <w:r>
              <w:rPr>
                <w:color w:val="424242"/>
                <w:sz w:val="18"/>
                <w:szCs w:val="18"/>
              </w:rPr>
              <w:t>RRID:BDSC</w:t>
            </w:r>
            <w:proofErr w:type="gramEnd"/>
            <w:r>
              <w:rPr>
                <w:color w:val="424242"/>
                <w:sz w:val="18"/>
                <w:szCs w:val="18"/>
              </w:rPr>
              <w:t>_31471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CCCCCC"/>
              <w:right w:val="single" w:sz="6" w:space="0" w:color="B7B7B7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00000070" w14:textId="77777777" w:rsidR="00656B9E" w:rsidRDefault="00000000">
            <w:pPr>
              <w:ind w:left="-9360" w:right="-93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voltage-gated </w:t>
            </w:r>
          </w:p>
          <w:p w14:paraId="00000071" w14:textId="77777777" w:rsidR="00656B9E" w:rsidRDefault="00000000">
            <w:pPr>
              <w:ind w:left="-9360" w:right="-93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sodium channel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72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73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BG380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74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lethal</w:t>
            </w:r>
          </w:p>
        </w:tc>
      </w:tr>
      <w:tr w:rsidR="00656B9E" w14:paraId="7396C67B" w14:textId="77777777">
        <w:trPr>
          <w:trHeight w:val="510"/>
        </w:trPr>
        <w:tc>
          <w:tcPr>
            <w:tcW w:w="1500" w:type="dxa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75" w14:textId="77777777" w:rsidR="00656B9E" w:rsidRDefault="00000000">
            <w:pPr>
              <w:jc w:val="center"/>
              <w:rPr>
                <w:color w:val="1F1F1F"/>
                <w:sz w:val="18"/>
                <w:szCs w:val="18"/>
              </w:rPr>
            </w:pPr>
            <w:r>
              <w:rPr>
                <w:i/>
                <w:color w:val="1F1F1F"/>
                <w:sz w:val="18"/>
                <w:szCs w:val="18"/>
              </w:rPr>
              <w:t>paralytic (para</w:t>
            </w:r>
            <w:r>
              <w:rPr>
                <w:color w:val="1F1F1F"/>
                <w:sz w:val="18"/>
                <w:szCs w:val="18"/>
              </w:rPr>
              <w:t>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76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RRID:BDSC</w:t>
            </w:r>
            <w:proofErr w:type="gramEnd"/>
            <w:r>
              <w:rPr>
                <w:sz w:val="18"/>
                <w:szCs w:val="18"/>
              </w:rPr>
              <w:t>_31676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00000077" w14:textId="77777777" w:rsidR="00656B9E" w:rsidRDefault="00000000">
            <w:pPr>
              <w:ind w:left="-9360" w:right="-93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voltage-gated</w:t>
            </w:r>
          </w:p>
          <w:p w14:paraId="00000078" w14:textId="77777777" w:rsidR="00656B9E" w:rsidRDefault="00000000">
            <w:pPr>
              <w:ind w:left="-9360" w:right="-93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sodium channel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79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7A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BG380, D42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7B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difference from UAS-control (luciferase) RNAi</w:t>
            </w:r>
          </w:p>
        </w:tc>
      </w:tr>
      <w:tr w:rsidR="00656B9E" w14:paraId="7A493F36" w14:textId="77777777">
        <w:trPr>
          <w:trHeight w:val="510"/>
        </w:trPr>
        <w:tc>
          <w:tcPr>
            <w:tcW w:w="1500" w:type="dxa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7C" w14:textId="77777777" w:rsidR="00656B9E" w:rsidRDefault="00000000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shaker (</w:t>
            </w:r>
            <w:proofErr w:type="spellStart"/>
            <w:r>
              <w:rPr>
                <w:i/>
                <w:sz w:val="18"/>
                <w:szCs w:val="18"/>
              </w:rPr>
              <w:t>sh</w:t>
            </w:r>
            <w:proofErr w:type="spellEnd"/>
            <w:r>
              <w:rPr>
                <w:i/>
                <w:sz w:val="18"/>
                <w:szCs w:val="18"/>
              </w:rPr>
              <w:t>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7D" w14:textId="77777777" w:rsidR="00656B9E" w:rsidRDefault="00000000">
            <w:pPr>
              <w:jc w:val="center"/>
              <w:rPr>
                <w:color w:val="424242"/>
                <w:sz w:val="18"/>
                <w:szCs w:val="18"/>
              </w:rPr>
            </w:pPr>
            <w:proofErr w:type="gramStart"/>
            <w:r>
              <w:rPr>
                <w:color w:val="424242"/>
                <w:sz w:val="18"/>
                <w:szCs w:val="18"/>
              </w:rPr>
              <w:t>RRID:BDSC</w:t>
            </w:r>
            <w:proofErr w:type="gramEnd"/>
            <w:r>
              <w:rPr>
                <w:color w:val="424242"/>
                <w:sz w:val="18"/>
                <w:szCs w:val="18"/>
              </w:rPr>
              <w:t>_31680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7E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shaker (</w:t>
            </w:r>
            <w:proofErr w:type="spellStart"/>
            <w:r>
              <w:rPr>
                <w:sz w:val="18"/>
                <w:szCs w:val="18"/>
              </w:rPr>
              <w:t>sh</w:t>
            </w:r>
            <w:proofErr w:type="spellEnd"/>
            <w:r>
              <w:rPr>
                <w:sz w:val="18"/>
                <w:szCs w:val="18"/>
              </w:rPr>
              <w:t>) voltage gated K+ channel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7F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80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BG380, Dicer 2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81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difference from UAS-control (luciferase) RNAi</w:t>
            </w:r>
          </w:p>
        </w:tc>
      </w:tr>
      <w:tr w:rsidR="00656B9E" w14:paraId="670AF56C" w14:textId="77777777">
        <w:trPr>
          <w:trHeight w:val="555"/>
        </w:trPr>
        <w:tc>
          <w:tcPr>
            <w:tcW w:w="1500" w:type="dxa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82" w14:textId="77777777" w:rsidR="00656B9E" w:rsidRDefault="00000000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shaker </w:t>
            </w:r>
            <w:proofErr w:type="gramStart"/>
            <w:r>
              <w:rPr>
                <w:i/>
                <w:sz w:val="18"/>
                <w:szCs w:val="18"/>
              </w:rPr>
              <w:t>cognate  (</w:t>
            </w:r>
            <w:proofErr w:type="spellStart"/>
            <w:proofErr w:type="gramEnd"/>
            <w:r>
              <w:rPr>
                <w:i/>
                <w:sz w:val="18"/>
                <w:szCs w:val="18"/>
              </w:rPr>
              <w:t>shaw</w:t>
            </w:r>
            <w:proofErr w:type="spellEnd"/>
            <w:r>
              <w:rPr>
                <w:i/>
                <w:sz w:val="18"/>
                <w:szCs w:val="18"/>
              </w:rPr>
              <w:t>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83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RRID:BDSC</w:t>
            </w:r>
            <w:proofErr w:type="gramEnd"/>
            <w:r>
              <w:rPr>
                <w:sz w:val="18"/>
                <w:szCs w:val="18"/>
              </w:rPr>
              <w:t>_28346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84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voltage gated K channel Kv3.1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85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86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BG380, Dicer 2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87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difference from UAS-control (luciferase) RNAi</w:t>
            </w:r>
          </w:p>
        </w:tc>
      </w:tr>
      <w:tr w:rsidR="00656B9E" w14:paraId="2A762559" w14:textId="77777777">
        <w:trPr>
          <w:trHeight w:val="555"/>
        </w:trPr>
        <w:tc>
          <w:tcPr>
            <w:tcW w:w="1500" w:type="dxa"/>
            <w:vMerge w:val="restart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88" w14:textId="77777777" w:rsidR="00656B9E" w:rsidRDefault="00000000">
            <w:pPr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synaptosomal</w:t>
            </w:r>
            <w:proofErr w:type="spellEnd"/>
            <w:r>
              <w:rPr>
                <w:i/>
                <w:sz w:val="18"/>
                <w:szCs w:val="18"/>
              </w:rPr>
              <w:t>-associated protein (SNAP25)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89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RRID:BDSC</w:t>
            </w:r>
            <w:proofErr w:type="gramEnd"/>
            <w:r>
              <w:rPr>
                <w:sz w:val="18"/>
                <w:szCs w:val="18"/>
              </w:rPr>
              <w:t>_27306</w:t>
            </w:r>
          </w:p>
        </w:tc>
        <w:tc>
          <w:tcPr>
            <w:tcW w:w="2640" w:type="dxa"/>
            <w:vMerge w:val="restart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8A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t-SNARE, regulation of neurotransmitter release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8B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8C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BG380, Dicer2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8D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difference from UAS-control (luciferase) RNAi</w:t>
            </w:r>
          </w:p>
        </w:tc>
      </w:tr>
      <w:tr w:rsidR="00656B9E" w14:paraId="11839D81" w14:textId="77777777">
        <w:trPr>
          <w:trHeight w:val="510"/>
        </w:trPr>
        <w:tc>
          <w:tcPr>
            <w:tcW w:w="1500" w:type="dxa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8E" w14:textId="77777777" w:rsidR="00656B9E" w:rsidRDefault="00656B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050" w:type="dxa"/>
            <w:vMerge w:val="restart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8F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RRID:BDSC</w:t>
            </w:r>
            <w:proofErr w:type="gramEnd"/>
            <w:r>
              <w:rPr>
                <w:sz w:val="18"/>
                <w:szCs w:val="18"/>
              </w:rPr>
              <w:t>_34377</w:t>
            </w:r>
          </w:p>
        </w:tc>
        <w:tc>
          <w:tcPr>
            <w:tcW w:w="2640" w:type="dxa"/>
            <w:vMerge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90" w14:textId="77777777" w:rsidR="00656B9E" w:rsidRDefault="00656B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91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92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BG380, Dicer2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93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difference from UAS-control (luciferase) RNAi</w:t>
            </w:r>
          </w:p>
        </w:tc>
      </w:tr>
      <w:tr w:rsidR="00656B9E" w14:paraId="013E0CFF" w14:textId="77777777">
        <w:trPr>
          <w:trHeight w:val="510"/>
        </w:trPr>
        <w:tc>
          <w:tcPr>
            <w:tcW w:w="1500" w:type="dxa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94" w14:textId="77777777" w:rsidR="00656B9E" w:rsidRDefault="00656B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050" w:type="dxa"/>
            <w:vMerge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95" w14:textId="77777777" w:rsidR="00656B9E" w:rsidRDefault="00656B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640" w:type="dxa"/>
            <w:vMerge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96" w14:textId="77777777" w:rsidR="00656B9E" w:rsidRDefault="00656B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97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98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D42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99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difference from UAS-control (luciferase) RNAi</w:t>
            </w:r>
          </w:p>
        </w:tc>
      </w:tr>
      <w:tr w:rsidR="00656B9E" w14:paraId="44854FC7" w14:textId="77777777">
        <w:trPr>
          <w:trHeight w:val="510"/>
        </w:trPr>
        <w:tc>
          <w:tcPr>
            <w:tcW w:w="1500" w:type="dxa"/>
            <w:vMerge w:val="restart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9A" w14:textId="77777777" w:rsidR="00656B9E" w:rsidRDefault="00000000">
            <w:pPr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synaptobrevin</w:t>
            </w:r>
            <w:proofErr w:type="spellEnd"/>
            <w:r>
              <w:rPr>
                <w:i/>
                <w:sz w:val="18"/>
                <w:szCs w:val="18"/>
              </w:rPr>
              <w:t xml:space="preserve"> (</w:t>
            </w:r>
            <w:proofErr w:type="spellStart"/>
            <w:r>
              <w:rPr>
                <w:i/>
                <w:sz w:val="18"/>
                <w:szCs w:val="18"/>
              </w:rPr>
              <w:t>nSyb</w:t>
            </w:r>
            <w:proofErr w:type="spellEnd"/>
            <w:r>
              <w:rPr>
                <w:i/>
                <w:sz w:val="18"/>
                <w:szCs w:val="18"/>
              </w:rPr>
              <w:t>)</w:t>
            </w:r>
          </w:p>
        </w:tc>
        <w:tc>
          <w:tcPr>
            <w:tcW w:w="1050" w:type="dxa"/>
            <w:vMerge w:val="restart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9B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RRID:BDSC</w:t>
            </w:r>
            <w:proofErr w:type="gramEnd"/>
            <w:r>
              <w:rPr>
                <w:sz w:val="18"/>
                <w:szCs w:val="18"/>
              </w:rPr>
              <w:t>_31983</w:t>
            </w:r>
          </w:p>
        </w:tc>
        <w:tc>
          <w:tcPr>
            <w:tcW w:w="2640" w:type="dxa"/>
            <w:vMerge w:val="restart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9C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v-SNARE, role in synaptic vesicle exocytosis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9D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9E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BG380, Dicer2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9F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difference from UAS-control (luciferase) RNAi</w:t>
            </w:r>
          </w:p>
        </w:tc>
      </w:tr>
      <w:tr w:rsidR="00656B9E" w14:paraId="49526786" w14:textId="77777777">
        <w:trPr>
          <w:trHeight w:val="510"/>
        </w:trPr>
        <w:tc>
          <w:tcPr>
            <w:tcW w:w="1500" w:type="dxa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A0" w14:textId="77777777" w:rsidR="00656B9E" w:rsidRDefault="00656B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050" w:type="dxa"/>
            <w:vMerge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A1" w14:textId="77777777" w:rsidR="00656B9E" w:rsidRDefault="00656B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640" w:type="dxa"/>
            <w:vMerge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A2" w14:textId="77777777" w:rsidR="00656B9E" w:rsidRDefault="00656B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A3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A4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m12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A5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difference from UAS-control (luciferase) RNAi</w:t>
            </w:r>
          </w:p>
        </w:tc>
      </w:tr>
      <w:tr w:rsidR="00656B9E" w14:paraId="795A6A00" w14:textId="77777777">
        <w:trPr>
          <w:trHeight w:val="720"/>
        </w:trPr>
        <w:tc>
          <w:tcPr>
            <w:tcW w:w="1500" w:type="dxa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A6" w14:textId="77777777" w:rsidR="00656B9E" w:rsidRDefault="00000000">
            <w:pPr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lastRenderedPageBreak/>
              <w:t>syntaxin</w:t>
            </w:r>
            <w:proofErr w:type="spellEnd"/>
            <w:r>
              <w:rPr>
                <w:i/>
                <w:sz w:val="18"/>
                <w:szCs w:val="18"/>
              </w:rPr>
              <w:t xml:space="preserve"> 4 (syx4)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A7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RRID:BDSC</w:t>
            </w:r>
            <w:proofErr w:type="gramEnd"/>
            <w:r>
              <w:rPr>
                <w:sz w:val="18"/>
                <w:szCs w:val="18"/>
              </w:rPr>
              <w:t>_44054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A8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tSNARE</w:t>
            </w:r>
            <w:proofErr w:type="spellEnd"/>
            <w:r>
              <w:rPr>
                <w:sz w:val="18"/>
                <w:szCs w:val="18"/>
              </w:rPr>
              <w:t>, role in synaptic vesicle exocytosis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A9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AA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BG380, Dicer2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AB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difference from UAS-control (luciferase) RNAi</w:t>
            </w:r>
          </w:p>
        </w:tc>
      </w:tr>
      <w:tr w:rsidR="00656B9E" w14:paraId="1CA1788A" w14:textId="77777777">
        <w:trPr>
          <w:trHeight w:val="720"/>
        </w:trPr>
        <w:tc>
          <w:tcPr>
            <w:tcW w:w="1500" w:type="dxa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AC" w14:textId="77777777" w:rsidR="00656B9E" w:rsidRDefault="00000000">
            <w:pPr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syntaxin</w:t>
            </w:r>
            <w:proofErr w:type="spellEnd"/>
            <w:r>
              <w:rPr>
                <w:i/>
                <w:sz w:val="18"/>
                <w:szCs w:val="18"/>
              </w:rPr>
              <w:t xml:space="preserve"> 1A (syx1A)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AD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RRID:BDSC</w:t>
            </w:r>
            <w:proofErr w:type="gramEnd"/>
            <w:r>
              <w:rPr>
                <w:sz w:val="18"/>
                <w:szCs w:val="18"/>
              </w:rPr>
              <w:t>_25811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AE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tSNARE</w:t>
            </w:r>
            <w:proofErr w:type="spellEnd"/>
            <w:r>
              <w:rPr>
                <w:sz w:val="18"/>
                <w:szCs w:val="18"/>
              </w:rPr>
              <w:t>, role in synaptic vesicle exocytosis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AF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B0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BG380, Dicer2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B1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difference from UAS-control (luciferase) RNAi</w:t>
            </w:r>
          </w:p>
        </w:tc>
      </w:tr>
      <w:tr w:rsidR="00656B9E" w14:paraId="799A0764" w14:textId="77777777">
        <w:trPr>
          <w:trHeight w:val="720"/>
        </w:trPr>
        <w:tc>
          <w:tcPr>
            <w:tcW w:w="1500" w:type="dxa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B2" w14:textId="77777777" w:rsidR="00656B9E" w:rsidRDefault="00000000">
            <w:pPr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synaptotagmin</w:t>
            </w:r>
            <w:proofErr w:type="spellEnd"/>
            <w:r>
              <w:rPr>
                <w:i/>
                <w:sz w:val="18"/>
                <w:szCs w:val="18"/>
              </w:rPr>
              <w:t xml:space="preserve"> 4 (syt4)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B3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RRID:BDSC</w:t>
            </w:r>
            <w:proofErr w:type="gramEnd"/>
            <w:r>
              <w:rPr>
                <w:sz w:val="18"/>
                <w:szCs w:val="18"/>
              </w:rPr>
              <w:t>_39016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B4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calcium dependent exocytosis of secretory vesicles.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B5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B6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BG380, Dicer2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B7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difference from UAS-control (luciferase) RNAi</w:t>
            </w:r>
          </w:p>
        </w:tc>
      </w:tr>
      <w:tr w:rsidR="00656B9E" w14:paraId="251A8F8D" w14:textId="77777777">
        <w:trPr>
          <w:trHeight w:val="510"/>
        </w:trPr>
        <w:tc>
          <w:tcPr>
            <w:tcW w:w="1500" w:type="dxa"/>
            <w:vMerge w:val="restart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B8" w14:textId="77777777" w:rsidR="00656B9E" w:rsidRDefault="00000000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vesicular glutamate transporter (</w:t>
            </w:r>
            <w:proofErr w:type="spellStart"/>
            <w:r>
              <w:rPr>
                <w:i/>
                <w:sz w:val="18"/>
                <w:szCs w:val="18"/>
              </w:rPr>
              <w:t>vGlut</w:t>
            </w:r>
            <w:proofErr w:type="spellEnd"/>
            <w:r>
              <w:rPr>
                <w:i/>
                <w:sz w:val="18"/>
                <w:szCs w:val="18"/>
              </w:rPr>
              <w:t>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B9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v104324</w:t>
            </w:r>
          </w:p>
        </w:tc>
        <w:tc>
          <w:tcPr>
            <w:tcW w:w="2640" w:type="dxa"/>
            <w:vMerge w:val="restart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BA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vesicular glutamate transporter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BB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BC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BG380, Dicer2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BD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difference from UAS-control (luciferase) RNAi</w:t>
            </w:r>
          </w:p>
        </w:tc>
      </w:tr>
      <w:tr w:rsidR="00656B9E" w14:paraId="0701D065" w14:textId="77777777">
        <w:trPr>
          <w:trHeight w:val="510"/>
        </w:trPr>
        <w:tc>
          <w:tcPr>
            <w:tcW w:w="1500" w:type="dxa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BE" w14:textId="77777777" w:rsidR="00656B9E" w:rsidRDefault="00656B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050" w:type="dxa"/>
            <w:vMerge w:val="restart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BF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RRID:BDSC</w:t>
            </w:r>
            <w:proofErr w:type="gramEnd"/>
            <w:r>
              <w:rPr>
                <w:sz w:val="18"/>
                <w:szCs w:val="18"/>
              </w:rPr>
              <w:t>_40927</w:t>
            </w:r>
          </w:p>
        </w:tc>
        <w:tc>
          <w:tcPr>
            <w:tcW w:w="2640" w:type="dxa"/>
            <w:vMerge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C0" w14:textId="77777777" w:rsidR="00656B9E" w:rsidRDefault="00656B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C1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C2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D42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C3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difference from UAS-control (luciferase) RNAi</w:t>
            </w:r>
          </w:p>
        </w:tc>
      </w:tr>
      <w:tr w:rsidR="00656B9E" w14:paraId="6BA460B2" w14:textId="77777777">
        <w:trPr>
          <w:trHeight w:val="510"/>
        </w:trPr>
        <w:tc>
          <w:tcPr>
            <w:tcW w:w="1500" w:type="dxa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C4" w14:textId="77777777" w:rsidR="00656B9E" w:rsidRDefault="00656B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050" w:type="dxa"/>
            <w:vMerge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C5" w14:textId="77777777" w:rsidR="00656B9E" w:rsidRDefault="00656B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640" w:type="dxa"/>
            <w:vMerge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C6" w14:textId="77777777" w:rsidR="00656B9E" w:rsidRDefault="00656B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C7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C8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BG380, Dicer2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C9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difference from UAS-control (luciferase) RNAi</w:t>
            </w:r>
          </w:p>
        </w:tc>
      </w:tr>
      <w:tr w:rsidR="00656B9E" w14:paraId="1C1E7ABC" w14:textId="77777777">
        <w:trPr>
          <w:trHeight w:val="720"/>
        </w:trPr>
        <w:tc>
          <w:tcPr>
            <w:tcW w:w="1500" w:type="dxa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CA" w14:textId="77777777" w:rsidR="00656B9E" w:rsidRDefault="00000000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piezo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CB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vdrc</w:t>
            </w:r>
            <w:proofErr w:type="spellEnd"/>
            <w:r>
              <w:rPr>
                <w:sz w:val="18"/>
                <w:szCs w:val="18"/>
              </w:rPr>
              <w:t xml:space="preserve"> 2796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CC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mechanosensitive Ca2+ channel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CD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CE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CF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difference from UAS-control (luciferase) RNAi</w:t>
            </w:r>
          </w:p>
        </w:tc>
      </w:tr>
      <w:tr w:rsidR="00656B9E" w14:paraId="585751B1" w14:textId="77777777">
        <w:trPr>
          <w:trHeight w:val="930"/>
        </w:trPr>
        <w:tc>
          <w:tcPr>
            <w:tcW w:w="1500" w:type="dxa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D0" w14:textId="77777777" w:rsidR="00656B9E" w:rsidRDefault="00000000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no mechanoreceptor potential C (</w:t>
            </w:r>
            <w:proofErr w:type="spellStart"/>
            <w:r>
              <w:rPr>
                <w:i/>
                <w:sz w:val="18"/>
                <w:szCs w:val="18"/>
              </w:rPr>
              <w:t>nompC</w:t>
            </w:r>
            <w:proofErr w:type="spellEnd"/>
            <w:r>
              <w:rPr>
                <w:i/>
                <w:sz w:val="18"/>
                <w:szCs w:val="18"/>
              </w:rPr>
              <w:t>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D1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vdrc</w:t>
            </w:r>
            <w:proofErr w:type="spellEnd"/>
            <w:r>
              <w:rPr>
                <w:sz w:val="18"/>
                <w:szCs w:val="18"/>
              </w:rPr>
              <w:t xml:space="preserve"> 105579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D2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pore-forming subunit of </w:t>
            </w:r>
            <w:proofErr w:type="spellStart"/>
            <w:r>
              <w:rPr>
                <w:sz w:val="18"/>
                <w:szCs w:val="18"/>
              </w:rPr>
              <w:t>mechanotransduction</w:t>
            </w:r>
            <w:proofErr w:type="spellEnd"/>
            <w:r>
              <w:rPr>
                <w:sz w:val="18"/>
                <w:szCs w:val="18"/>
              </w:rPr>
              <w:t xml:space="preserve"> channel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D3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D4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BG380, Dicer2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D5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difference from UAS-control (luciferase) RNAi</w:t>
            </w:r>
          </w:p>
        </w:tc>
      </w:tr>
      <w:tr w:rsidR="00656B9E" w14:paraId="28E5D383" w14:textId="77777777">
        <w:trPr>
          <w:trHeight w:val="315"/>
        </w:trPr>
        <w:tc>
          <w:tcPr>
            <w:tcW w:w="1500" w:type="dxa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D6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D7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D8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D9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DA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DB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656B9E" w14:paraId="13F004C3" w14:textId="77777777">
        <w:trPr>
          <w:trHeight w:val="510"/>
        </w:trPr>
        <w:tc>
          <w:tcPr>
            <w:tcW w:w="1500" w:type="dxa"/>
            <w:vMerge w:val="restart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DC" w14:textId="77777777" w:rsidR="00656B9E" w:rsidRDefault="00000000">
            <w:pPr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shortwing</w:t>
            </w:r>
            <w:proofErr w:type="spellEnd"/>
            <w:r>
              <w:rPr>
                <w:i/>
                <w:sz w:val="18"/>
                <w:szCs w:val="18"/>
              </w:rPr>
              <w:t xml:space="preserve"> (</w:t>
            </w:r>
            <w:proofErr w:type="spellStart"/>
            <w:r>
              <w:rPr>
                <w:i/>
                <w:sz w:val="18"/>
                <w:szCs w:val="18"/>
              </w:rPr>
              <w:t>sw</w:t>
            </w:r>
            <w:proofErr w:type="spellEnd"/>
            <w:r>
              <w:rPr>
                <w:i/>
                <w:sz w:val="18"/>
                <w:szCs w:val="18"/>
              </w:rPr>
              <w:t>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DD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vdrc</w:t>
            </w:r>
            <w:proofErr w:type="spellEnd"/>
            <w:r>
              <w:rPr>
                <w:sz w:val="18"/>
                <w:szCs w:val="18"/>
              </w:rPr>
              <w:t xml:space="preserve"> 101559</w:t>
            </w:r>
          </w:p>
        </w:tc>
        <w:tc>
          <w:tcPr>
            <w:tcW w:w="2640" w:type="dxa"/>
            <w:vMerge w:val="restart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DE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intermediate chain subunit of dynein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DF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E0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BG380, Dicer2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E1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difference from UAS-control (luciferase) RNAi</w:t>
            </w:r>
          </w:p>
        </w:tc>
      </w:tr>
      <w:tr w:rsidR="00656B9E" w14:paraId="79F35AD8" w14:textId="77777777">
        <w:trPr>
          <w:trHeight w:val="510"/>
        </w:trPr>
        <w:tc>
          <w:tcPr>
            <w:tcW w:w="1500" w:type="dxa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E2" w14:textId="77777777" w:rsidR="00656B9E" w:rsidRDefault="00656B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E3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vdrc</w:t>
            </w:r>
            <w:proofErr w:type="spellEnd"/>
            <w:r>
              <w:rPr>
                <w:sz w:val="18"/>
                <w:szCs w:val="18"/>
              </w:rPr>
              <w:t xml:space="preserve"> 48334</w:t>
            </w:r>
          </w:p>
        </w:tc>
        <w:tc>
          <w:tcPr>
            <w:tcW w:w="2640" w:type="dxa"/>
            <w:vMerge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E4" w14:textId="77777777" w:rsidR="00656B9E" w:rsidRDefault="00656B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E5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E6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BG380, Dicer2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E7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difference from UAS-control (luciferase) RNAi</w:t>
            </w:r>
          </w:p>
        </w:tc>
      </w:tr>
      <w:tr w:rsidR="00656B9E" w14:paraId="07F0FE8B" w14:textId="77777777">
        <w:trPr>
          <w:trHeight w:val="510"/>
        </w:trPr>
        <w:tc>
          <w:tcPr>
            <w:tcW w:w="1500" w:type="dxa"/>
            <w:vMerge w:val="restart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E8" w14:textId="77777777" w:rsidR="00656B9E" w:rsidRDefault="00000000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neurexin 1</w:t>
            </w:r>
          </w:p>
          <w:p w14:paraId="000000E9" w14:textId="77777777" w:rsidR="00656B9E" w:rsidRDefault="00000000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</w:t>
            </w:r>
            <w:proofErr w:type="gramStart"/>
            <w:r>
              <w:rPr>
                <w:i/>
                <w:sz w:val="18"/>
                <w:szCs w:val="18"/>
              </w:rPr>
              <w:t>nrx</w:t>
            </w:r>
            <w:proofErr w:type="gramEnd"/>
            <w:r>
              <w:rPr>
                <w:i/>
                <w:sz w:val="18"/>
                <w:szCs w:val="18"/>
              </w:rPr>
              <w:t>-1)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EA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vdrc</w:t>
            </w:r>
            <w:proofErr w:type="spellEnd"/>
            <w:r>
              <w:rPr>
                <w:sz w:val="18"/>
                <w:szCs w:val="18"/>
              </w:rPr>
              <w:t xml:space="preserve"> 36326</w:t>
            </w:r>
          </w:p>
        </w:tc>
        <w:tc>
          <w:tcPr>
            <w:tcW w:w="2640" w:type="dxa"/>
            <w:vMerge w:val="restart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EB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presynaptic protein, cell-cell interactions, exocytosis, synaptic signaling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EC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ED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BG380, Dicer2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EE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difference from UAS-control (luciferase) RNAi</w:t>
            </w:r>
          </w:p>
        </w:tc>
      </w:tr>
      <w:tr w:rsidR="00656B9E" w14:paraId="4361C787" w14:textId="77777777">
        <w:trPr>
          <w:trHeight w:val="510"/>
        </w:trPr>
        <w:tc>
          <w:tcPr>
            <w:tcW w:w="1500" w:type="dxa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EF" w14:textId="77777777" w:rsidR="00656B9E" w:rsidRDefault="00656B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050" w:type="dxa"/>
            <w:vMerge w:val="restart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F0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RRID:BDSC</w:t>
            </w:r>
            <w:proofErr w:type="gramEnd"/>
            <w:r>
              <w:rPr>
                <w:sz w:val="18"/>
                <w:szCs w:val="18"/>
              </w:rPr>
              <w:t>_27502</w:t>
            </w:r>
          </w:p>
        </w:tc>
        <w:tc>
          <w:tcPr>
            <w:tcW w:w="2640" w:type="dxa"/>
            <w:vMerge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F1" w14:textId="77777777" w:rsidR="00656B9E" w:rsidRDefault="00656B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F2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F3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BG380, Dicer2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F4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difference from UAS-control (luciferase) RNAi</w:t>
            </w:r>
          </w:p>
        </w:tc>
      </w:tr>
      <w:tr w:rsidR="00656B9E" w14:paraId="19306641" w14:textId="77777777">
        <w:trPr>
          <w:trHeight w:val="510"/>
        </w:trPr>
        <w:tc>
          <w:tcPr>
            <w:tcW w:w="1500" w:type="dxa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F5" w14:textId="77777777" w:rsidR="00656B9E" w:rsidRDefault="00656B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050" w:type="dxa"/>
            <w:vMerge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F6" w14:textId="77777777" w:rsidR="00656B9E" w:rsidRDefault="00656B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640" w:type="dxa"/>
            <w:vMerge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F7" w14:textId="77777777" w:rsidR="00656B9E" w:rsidRDefault="00656B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F8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F9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D42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FA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difference from UAS-control (luciferase) RNAi</w:t>
            </w:r>
          </w:p>
        </w:tc>
      </w:tr>
      <w:tr w:rsidR="00656B9E" w14:paraId="70CF87C7" w14:textId="77777777">
        <w:trPr>
          <w:trHeight w:val="510"/>
        </w:trPr>
        <w:tc>
          <w:tcPr>
            <w:tcW w:w="1500" w:type="dxa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FB" w14:textId="77777777" w:rsidR="00656B9E" w:rsidRDefault="00656B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050" w:type="dxa"/>
            <w:vMerge w:val="restart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FC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RRID:BDSC</w:t>
            </w:r>
            <w:proofErr w:type="gramEnd"/>
            <w:r>
              <w:rPr>
                <w:sz w:val="18"/>
                <w:szCs w:val="18"/>
              </w:rPr>
              <w:t>_32408</w:t>
            </w:r>
          </w:p>
        </w:tc>
        <w:tc>
          <w:tcPr>
            <w:tcW w:w="2640" w:type="dxa"/>
            <w:vMerge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FD" w14:textId="77777777" w:rsidR="00656B9E" w:rsidRDefault="00656B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FE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FF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BG380, Dicer2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100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difference from UAS-control (luciferase) RNAi</w:t>
            </w:r>
          </w:p>
        </w:tc>
      </w:tr>
      <w:tr w:rsidR="00656B9E" w14:paraId="6498D806" w14:textId="77777777">
        <w:trPr>
          <w:trHeight w:val="510"/>
        </w:trPr>
        <w:tc>
          <w:tcPr>
            <w:tcW w:w="1500" w:type="dxa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101" w14:textId="77777777" w:rsidR="00656B9E" w:rsidRDefault="00656B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050" w:type="dxa"/>
            <w:vMerge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102" w14:textId="77777777" w:rsidR="00656B9E" w:rsidRDefault="00656B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640" w:type="dxa"/>
            <w:vMerge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103" w14:textId="77777777" w:rsidR="00656B9E" w:rsidRDefault="00656B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104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105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D42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106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difference from UAS-control (luciferase) RNAi</w:t>
            </w:r>
          </w:p>
        </w:tc>
      </w:tr>
      <w:tr w:rsidR="00656B9E" w14:paraId="56A44C66" w14:textId="77777777">
        <w:trPr>
          <w:trHeight w:val="930"/>
        </w:trPr>
        <w:tc>
          <w:tcPr>
            <w:tcW w:w="1500" w:type="dxa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107" w14:textId="77777777" w:rsidR="00656B9E" w:rsidRDefault="00000000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neuroligin 1 (nlg1)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108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vdrc</w:t>
            </w:r>
            <w:proofErr w:type="spellEnd"/>
            <w:r>
              <w:rPr>
                <w:sz w:val="18"/>
                <w:szCs w:val="18"/>
              </w:rPr>
              <w:t xml:space="preserve"> 42616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109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postsynaptic cell surface protein, cell adhesion, excitatory synapses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10A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10B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BG380, Dicer2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10C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difference from UAS-control (luciferase) RNAi</w:t>
            </w:r>
          </w:p>
        </w:tc>
      </w:tr>
      <w:tr w:rsidR="00656B9E" w14:paraId="7813C64F" w14:textId="77777777">
        <w:trPr>
          <w:trHeight w:val="510"/>
        </w:trPr>
        <w:tc>
          <w:tcPr>
            <w:tcW w:w="1500" w:type="dxa"/>
            <w:vMerge w:val="restart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10D" w14:textId="77777777" w:rsidR="00656B9E" w:rsidRDefault="00000000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defective proboscis extension </w:t>
            </w:r>
            <w:r>
              <w:rPr>
                <w:i/>
                <w:sz w:val="18"/>
                <w:szCs w:val="18"/>
              </w:rPr>
              <w:lastRenderedPageBreak/>
              <w:t>response 4 (dpr4)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10E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lastRenderedPageBreak/>
              <w:t>vdrc</w:t>
            </w:r>
            <w:proofErr w:type="spellEnd"/>
            <w:r>
              <w:rPr>
                <w:sz w:val="18"/>
                <w:szCs w:val="18"/>
              </w:rPr>
              <w:t xml:space="preserve"> 28519</w:t>
            </w:r>
          </w:p>
        </w:tc>
        <w:tc>
          <w:tcPr>
            <w:tcW w:w="2640" w:type="dxa"/>
            <w:vMerge w:val="restart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10F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cell surface receptor for DIPs, adhesion protein, synapse organization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110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111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BG380, Dicer2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112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difference from UAS-control (luciferase) RNAi</w:t>
            </w:r>
          </w:p>
        </w:tc>
      </w:tr>
      <w:tr w:rsidR="00656B9E" w14:paraId="29ABBC10" w14:textId="77777777">
        <w:trPr>
          <w:trHeight w:val="510"/>
        </w:trPr>
        <w:tc>
          <w:tcPr>
            <w:tcW w:w="1500" w:type="dxa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113" w14:textId="77777777" w:rsidR="00656B9E" w:rsidRDefault="00656B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114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vdrc</w:t>
            </w:r>
            <w:proofErr w:type="spellEnd"/>
            <w:r>
              <w:rPr>
                <w:sz w:val="18"/>
                <w:szCs w:val="18"/>
              </w:rPr>
              <w:t xml:space="preserve"> 102905</w:t>
            </w:r>
          </w:p>
        </w:tc>
        <w:tc>
          <w:tcPr>
            <w:tcW w:w="2640" w:type="dxa"/>
            <w:vMerge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115" w14:textId="77777777" w:rsidR="00656B9E" w:rsidRDefault="00656B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116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117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BG380, Dicer2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118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difference from UAS-control (luciferase) RNAi</w:t>
            </w:r>
          </w:p>
        </w:tc>
      </w:tr>
      <w:tr w:rsidR="00656B9E" w14:paraId="3C5A72ED" w14:textId="77777777">
        <w:trPr>
          <w:trHeight w:val="510"/>
        </w:trPr>
        <w:tc>
          <w:tcPr>
            <w:tcW w:w="1500" w:type="dxa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119" w14:textId="77777777" w:rsidR="00656B9E" w:rsidRDefault="00656B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11A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vdrc</w:t>
            </w:r>
            <w:proofErr w:type="spellEnd"/>
            <w:r>
              <w:rPr>
                <w:sz w:val="18"/>
                <w:szCs w:val="18"/>
              </w:rPr>
              <w:t xml:space="preserve"> 28518</w:t>
            </w:r>
          </w:p>
        </w:tc>
        <w:tc>
          <w:tcPr>
            <w:tcW w:w="2640" w:type="dxa"/>
            <w:vMerge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11B" w14:textId="77777777" w:rsidR="00656B9E" w:rsidRDefault="00656B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11C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11D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BG380, Dicer2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11E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difference from UAS-control (luciferase) RNAi</w:t>
            </w:r>
          </w:p>
        </w:tc>
      </w:tr>
      <w:tr w:rsidR="00656B9E" w14:paraId="74F7C204" w14:textId="77777777">
        <w:trPr>
          <w:trHeight w:val="555"/>
        </w:trPr>
        <w:tc>
          <w:tcPr>
            <w:tcW w:w="1500" w:type="dxa"/>
            <w:vMerge w:val="restart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11F" w14:textId="77777777" w:rsidR="00656B9E" w:rsidRDefault="00000000">
            <w:pPr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fasciculin</w:t>
            </w:r>
            <w:proofErr w:type="spellEnd"/>
            <w:r>
              <w:rPr>
                <w:i/>
                <w:sz w:val="18"/>
                <w:szCs w:val="18"/>
              </w:rPr>
              <w:t xml:space="preserve"> II (</w:t>
            </w:r>
            <w:proofErr w:type="spellStart"/>
            <w:r>
              <w:rPr>
                <w:i/>
                <w:sz w:val="18"/>
                <w:szCs w:val="18"/>
              </w:rPr>
              <w:t>fasII</w:t>
            </w:r>
            <w:proofErr w:type="spellEnd"/>
            <w:r>
              <w:rPr>
                <w:i/>
                <w:sz w:val="18"/>
                <w:szCs w:val="18"/>
              </w:rPr>
              <w:t>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120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RRID:BDSC</w:t>
            </w:r>
            <w:proofErr w:type="gramEnd"/>
            <w:r>
              <w:rPr>
                <w:sz w:val="18"/>
                <w:szCs w:val="18"/>
              </w:rPr>
              <w:t>_34084</w:t>
            </w:r>
          </w:p>
        </w:tc>
        <w:tc>
          <w:tcPr>
            <w:tcW w:w="2640" w:type="dxa"/>
            <w:vMerge w:val="restart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121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cell adhesion molecule, axonal pathfinding/guidance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122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123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BG380, Dicer2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124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difference from UAS-control (luciferase) RNAi</w:t>
            </w:r>
          </w:p>
        </w:tc>
      </w:tr>
      <w:tr w:rsidR="00656B9E" w14:paraId="5FDAFE13" w14:textId="77777777">
        <w:trPr>
          <w:trHeight w:val="510"/>
        </w:trPr>
        <w:tc>
          <w:tcPr>
            <w:tcW w:w="1500" w:type="dxa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125" w14:textId="77777777" w:rsidR="00656B9E" w:rsidRDefault="00656B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126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vdrc</w:t>
            </w:r>
            <w:proofErr w:type="spellEnd"/>
            <w:r>
              <w:rPr>
                <w:sz w:val="18"/>
                <w:szCs w:val="18"/>
              </w:rPr>
              <w:t xml:space="preserve"> 8393</w:t>
            </w:r>
          </w:p>
        </w:tc>
        <w:tc>
          <w:tcPr>
            <w:tcW w:w="2640" w:type="dxa"/>
            <w:vMerge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127" w14:textId="77777777" w:rsidR="00656B9E" w:rsidRDefault="00656B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128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129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BG380, Dicer2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12A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difference from UAS-control (luciferase) RNAi</w:t>
            </w:r>
          </w:p>
        </w:tc>
      </w:tr>
      <w:tr w:rsidR="00656B9E" w14:paraId="6F520B05" w14:textId="77777777">
        <w:trPr>
          <w:trHeight w:val="510"/>
        </w:trPr>
        <w:tc>
          <w:tcPr>
            <w:tcW w:w="1500" w:type="dxa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12B" w14:textId="77777777" w:rsidR="00656B9E" w:rsidRDefault="00656B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12C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vdrc</w:t>
            </w:r>
            <w:proofErr w:type="spellEnd"/>
            <w:r>
              <w:rPr>
                <w:sz w:val="18"/>
                <w:szCs w:val="18"/>
              </w:rPr>
              <w:t xml:space="preserve"> 36350</w:t>
            </w:r>
          </w:p>
        </w:tc>
        <w:tc>
          <w:tcPr>
            <w:tcW w:w="2640" w:type="dxa"/>
            <w:vMerge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12D" w14:textId="77777777" w:rsidR="00656B9E" w:rsidRDefault="00656B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12E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12F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BG380, Dicer2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130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difference from UAS-control (luciferase) RNAi</w:t>
            </w:r>
          </w:p>
        </w:tc>
      </w:tr>
      <w:tr w:rsidR="00656B9E" w14:paraId="397DC324" w14:textId="77777777">
        <w:trPr>
          <w:trHeight w:val="930"/>
        </w:trPr>
        <w:tc>
          <w:tcPr>
            <w:tcW w:w="1500" w:type="dxa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131" w14:textId="77777777" w:rsidR="00656B9E" w:rsidRDefault="00000000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comatose/NSF1 (</w:t>
            </w:r>
            <w:proofErr w:type="spellStart"/>
            <w:r>
              <w:rPr>
                <w:i/>
                <w:sz w:val="18"/>
                <w:szCs w:val="18"/>
              </w:rPr>
              <w:t>comt</w:t>
            </w:r>
            <w:proofErr w:type="spellEnd"/>
            <w:r>
              <w:rPr>
                <w:i/>
                <w:sz w:val="18"/>
                <w:szCs w:val="18"/>
              </w:rPr>
              <w:t>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132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RRID:BDSC</w:t>
            </w:r>
            <w:proofErr w:type="gramEnd"/>
            <w:r>
              <w:rPr>
                <w:sz w:val="18"/>
                <w:szCs w:val="18"/>
              </w:rPr>
              <w:t>_27890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133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N-ethylmaleimide-sensitive factor 1, role disassembly of SNARE complexes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134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135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D42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136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difference from UAS-control (luciferase) RNAi</w:t>
            </w:r>
          </w:p>
        </w:tc>
      </w:tr>
      <w:tr w:rsidR="00656B9E" w14:paraId="28B40D87" w14:textId="77777777">
        <w:trPr>
          <w:trHeight w:val="720"/>
        </w:trPr>
        <w:tc>
          <w:tcPr>
            <w:tcW w:w="1500" w:type="dxa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137" w14:textId="77777777" w:rsidR="00656B9E" w:rsidRDefault="00000000">
            <w:pPr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semaphorin</w:t>
            </w:r>
            <w:proofErr w:type="spellEnd"/>
            <w:r>
              <w:rPr>
                <w:i/>
                <w:sz w:val="18"/>
                <w:szCs w:val="18"/>
              </w:rPr>
              <w:t xml:space="preserve"> 2b (sema2b)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138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RRID:BDSC</w:t>
            </w:r>
            <w:proofErr w:type="gramEnd"/>
            <w:r>
              <w:rPr>
                <w:sz w:val="18"/>
                <w:szCs w:val="18"/>
              </w:rPr>
              <w:t>_28932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139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secreted </w:t>
            </w:r>
            <w:proofErr w:type="spellStart"/>
            <w:r>
              <w:rPr>
                <w:sz w:val="18"/>
                <w:szCs w:val="18"/>
              </w:rPr>
              <w:t>semaphorin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involed</w:t>
            </w:r>
            <w:proofErr w:type="spellEnd"/>
            <w:r>
              <w:rPr>
                <w:sz w:val="18"/>
                <w:szCs w:val="18"/>
              </w:rPr>
              <w:t xml:space="preserve"> in embryonic axonal guidance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13A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13B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BG380, Dicer2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13C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difference from UAS-control (luciferase) RNAi</w:t>
            </w:r>
          </w:p>
        </w:tc>
      </w:tr>
      <w:tr w:rsidR="00656B9E" w14:paraId="1E77B888" w14:textId="77777777">
        <w:trPr>
          <w:trHeight w:val="930"/>
        </w:trPr>
        <w:tc>
          <w:tcPr>
            <w:tcW w:w="1500" w:type="dxa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13D" w14:textId="77777777" w:rsidR="00656B9E" w:rsidRDefault="00000000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plexin B (</w:t>
            </w:r>
            <w:proofErr w:type="spellStart"/>
            <w:r>
              <w:rPr>
                <w:i/>
                <w:sz w:val="18"/>
                <w:szCs w:val="18"/>
              </w:rPr>
              <w:t>plexB</w:t>
            </w:r>
            <w:proofErr w:type="spellEnd"/>
            <w:r>
              <w:rPr>
                <w:i/>
                <w:sz w:val="18"/>
                <w:szCs w:val="18"/>
              </w:rPr>
              <w:t>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13E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RRID:BDSC</w:t>
            </w:r>
            <w:proofErr w:type="gramEnd"/>
            <w:r>
              <w:rPr>
                <w:sz w:val="18"/>
                <w:szCs w:val="18"/>
              </w:rPr>
              <w:t>_57813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13F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Acts as a receptor for Sema-2a and seems to suppress axon branching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140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141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BG380, Dicer2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142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difference from UAS-control (luciferase) RNAi</w:t>
            </w:r>
          </w:p>
        </w:tc>
      </w:tr>
      <w:tr w:rsidR="00656B9E" w14:paraId="71EEEDA1" w14:textId="77777777">
        <w:trPr>
          <w:trHeight w:val="510"/>
        </w:trPr>
        <w:tc>
          <w:tcPr>
            <w:tcW w:w="1500" w:type="dxa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143" w14:textId="77777777" w:rsidR="00656B9E" w:rsidRDefault="00000000">
            <w:pPr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neuroglian</w:t>
            </w:r>
            <w:proofErr w:type="spellEnd"/>
            <w:r>
              <w:rPr>
                <w:i/>
                <w:sz w:val="18"/>
                <w:szCs w:val="18"/>
              </w:rPr>
              <w:t xml:space="preserve"> (</w:t>
            </w:r>
            <w:proofErr w:type="spellStart"/>
            <w:r>
              <w:rPr>
                <w:i/>
                <w:sz w:val="18"/>
                <w:szCs w:val="18"/>
              </w:rPr>
              <w:t>Nrg</w:t>
            </w:r>
            <w:proofErr w:type="spellEnd"/>
            <w:r>
              <w:rPr>
                <w:i/>
                <w:sz w:val="18"/>
                <w:szCs w:val="18"/>
              </w:rPr>
              <w:t>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144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RRID:BDSC</w:t>
            </w:r>
            <w:proofErr w:type="gramEnd"/>
            <w:r>
              <w:rPr>
                <w:sz w:val="18"/>
                <w:szCs w:val="18"/>
              </w:rPr>
              <w:t>_37496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145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L1-type cell adhesion molecule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146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147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BG380, Dicer2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148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difference from UAS-control (luciferase) RNAi</w:t>
            </w:r>
          </w:p>
        </w:tc>
      </w:tr>
      <w:tr w:rsidR="00656B9E" w14:paraId="761F2A7A" w14:textId="77777777">
        <w:trPr>
          <w:trHeight w:val="1545"/>
        </w:trPr>
        <w:tc>
          <w:tcPr>
            <w:tcW w:w="1500" w:type="dxa"/>
            <w:vMerge w:val="restart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149" w14:textId="77777777" w:rsidR="00656B9E" w:rsidRDefault="00000000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wishful thinking (wit)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14A" w14:textId="77777777" w:rsidR="00656B9E" w:rsidRDefault="00000000">
            <w:pPr>
              <w:jc w:val="center"/>
              <w:rPr>
                <w:color w:val="424242"/>
                <w:sz w:val="18"/>
                <w:szCs w:val="18"/>
                <w:highlight w:val="white"/>
              </w:rPr>
            </w:pPr>
            <w:proofErr w:type="gramStart"/>
            <w:r>
              <w:rPr>
                <w:color w:val="424242"/>
                <w:sz w:val="18"/>
                <w:szCs w:val="18"/>
                <w:highlight w:val="white"/>
              </w:rPr>
              <w:t>RRID:BDSC</w:t>
            </w:r>
            <w:proofErr w:type="gramEnd"/>
            <w:r>
              <w:rPr>
                <w:color w:val="424242"/>
                <w:sz w:val="18"/>
                <w:szCs w:val="18"/>
                <w:highlight w:val="white"/>
              </w:rPr>
              <w:t>_25949</w:t>
            </w:r>
          </w:p>
        </w:tc>
        <w:tc>
          <w:tcPr>
            <w:tcW w:w="2640" w:type="dxa"/>
            <w:vMerge w:val="restart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0000014B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BMP type II receptor with known functions synaptic development and maintenance at the Drosophila NMJ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14C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14D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BG380, Dicer2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14E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 effect on </w:t>
            </w:r>
            <w:proofErr w:type="spellStart"/>
            <w:r>
              <w:rPr>
                <w:i/>
                <w:sz w:val="18"/>
                <w:szCs w:val="18"/>
              </w:rPr>
              <w:t>puc</w:t>
            </w:r>
            <w:proofErr w:type="spellEnd"/>
            <w:r>
              <w:rPr>
                <w:sz w:val="18"/>
                <w:szCs w:val="18"/>
              </w:rPr>
              <w:t xml:space="preserve">-lacZ induction in uninjured animals. </w:t>
            </w:r>
            <w:proofErr w:type="spellStart"/>
            <w:r>
              <w:rPr>
                <w:i/>
                <w:sz w:val="18"/>
                <w:szCs w:val="18"/>
              </w:rPr>
              <w:t>puc</w:t>
            </w:r>
            <w:proofErr w:type="spellEnd"/>
            <w:r>
              <w:rPr>
                <w:sz w:val="18"/>
                <w:szCs w:val="18"/>
              </w:rPr>
              <w:t xml:space="preserve">-lacZ induction 24 post peripheral nerve crush is </w:t>
            </w:r>
            <w:proofErr w:type="gramStart"/>
            <w:r>
              <w:rPr>
                <w:sz w:val="18"/>
                <w:szCs w:val="18"/>
              </w:rPr>
              <w:t>similar to</w:t>
            </w:r>
            <w:proofErr w:type="gramEnd"/>
            <w:r>
              <w:rPr>
                <w:sz w:val="18"/>
                <w:szCs w:val="18"/>
              </w:rPr>
              <w:t xml:space="preserve"> wild type animals.</w:t>
            </w:r>
          </w:p>
        </w:tc>
      </w:tr>
      <w:tr w:rsidR="00656B9E" w14:paraId="24AD873A" w14:textId="77777777">
        <w:trPr>
          <w:trHeight w:val="510"/>
        </w:trPr>
        <w:tc>
          <w:tcPr>
            <w:tcW w:w="1500" w:type="dxa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14F" w14:textId="77777777" w:rsidR="00656B9E" w:rsidRDefault="00656B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150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vdrc</w:t>
            </w:r>
            <w:proofErr w:type="spellEnd"/>
            <w:r>
              <w:rPr>
                <w:sz w:val="18"/>
                <w:szCs w:val="18"/>
              </w:rPr>
              <w:t xml:space="preserve"> 103808</w:t>
            </w:r>
          </w:p>
        </w:tc>
        <w:tc>
          <w:tcPr>
            <w:tcW w:w="2640" w:type="dxa"/>
            <w:vMerge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00000151" w14:textId="77777777" w:rsidR="00656B9E" w:rsidRDefault="00656B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152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153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BG380, Dicer2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154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"</w:t>
            </w:r>
          </w:p>
        </w:tc>
      </w:tr>
      <w:tr w:rsidR="00656B9E" w14:paraId="30298E1E" w14:textId="77777777">
        <w:trPr>
          <w:trHeight w:val="1545"/>
        </w:trPr>
        <w:tc>
          <w:tcPr>
            <w:tcW w:w="1500" w:type="dxa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155" w14:textId="77777777" w:rsidR="00656B9E" w:rsidRDefault="00000000">
            <w:pPr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thickveins</w:t>
            </w:r>
            <w:proofErr w:type="spellEnd"/>
            <w:r>
              <w:rPr>
                <w:i/>
                <w:sz w:val="18"/>
                <w:szCs w:val="18"/>
              </w:rPr>
              <w:t xml:space="preserve"> (</w:t>
            </w:r>
            <w:proofErr w:type="spellStart"/>
            <w:r>
              <w:rPr>
                <w:i/>
                <w:sz w:val="18"/>
                <w:szCs w:val="18"/>
              </w:rPr>
              <w:t>tkv</w:t>
            </w:r>
            <w:proofErr w:type="spellEnd"/>
            <w:r>
              <w:rPr>
                <w:i/>
                <w:sz w:val="18"/>
                <w:szCs w:val="18"/>
              </w:rPr>
              <w:t>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156" w14:textId="77777777" w:rsidR="00656B9E" w:rsidRDefault="00000000">
            <w:pPr>
              <w:jc w:val="center"/>
              <w:rPr>
                <w:color w:val="424242"/>
                <w:sz w:val="18"/>
                <w:szCs w:val="18"/>
                <w:highlight w:val="white"/>
              </w:rPr>
            </w:pPr>
            <w:proofErr w:type="gramStart"/>
            <w:r>
              <w:rPr>
                <w:color w:val="424242"/>
                <w:sz w:val="18"/>
                <w:szCs w:val="18"/>
                <w:highlight w:val="white"/>
              </w:rPr>
              <w:t>RRID:BDSC</w:t>
            </w:r>
            <w:proofErr w:type="gramEnd"/>
            <w:r>
              <w:rPr>
                <w:color w:val="424242"/>
                <w:sz w:val="18"/>
                <w:szCs w:val="18"/>
                <w:highlight w:val="white"/>
              </w:rPr>
              <w:t>_41904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00000157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BMP type I receptor with known functions synaptic development and maintenance at the Drosophila NMJ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158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159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BG380, Dicer2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15A" w14:textId="77777777" w:rsidR="00656B9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 effect on </w:t>
            </w:r>
            <w:proofErr w:type="spellStart"/>
            <w:r>
              <w:rPr>
                <w:i/>
                <w:sz w:val="18"/>
                <w:szCs w:val="18"/>
              </w:rPr>
              <w:t>puc</w:t>
            </w:r>
            <w:proofErr w:type="spellEnd"/>
            <w:r>
              <w:rPr>
                <w:sz w:val="18"/>
                <w:szCs w:val="18"/>
              </w:rPr>
              <w:t xml:space="preserve">-lacZ induction in uninjured animals. </w:t>
            </w:r>
            <w:proofErr w:type="spellStart"/>
            <w:r>
              <w:rPr>
                <w:i/>
                <w:sz w:val="18"/>
                <w:szCs w:val="18"/>
              </w:rPr>
              <w:t>puc</w:t>
            </w:r>
            <w:proofErr w:type="spellEnd"/>
            <w:r>
              <w:rPr>
                <w:sz w:val="18"/>
                <w:szCs w:val="18"/>
              </w:rPr>
              <w:t xml:space="preserve">-lacZ induction 24 post peripheral nerve crush is </w:t>
            </w:r>
            <w:proofErr w:type="gramStart"/>
            <w:r>
              <w:rPr>
                <w:sz w:val="18"/>
                <w:szCs w:val="18"/>
              </w:rPr>
              <w:t>similar to</w:t>
            </w:r>
            <w:proofErr w:type="gramEnd"/>
            <w:r>
              <w:rPr>
                <w:sz w:val="18"/>
                <w:szCs w:val="18"/>
              </w:rPr>
              <w:t xml:space="preserve"> wild type animals.</w:t>
            </w:r>
          </w:p>
        </w:tc>
      </w:tr>
    </w:tbl>
    <w:p w14:paraId="0000015B" w14:textId="77777777" w:rsidR="00656B9E" w:rsidRDefault="00656B9E">
      <w:pPr>
        <w:rPr>
          <w:b/>
          <w:sz w:val="28"/>
          <w:szCs w:val="28"/>
        </w:rPr>
        <w:sectPr w:rsidR="00656B9E">
          <w:type w:val="continuous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0000015C" w14:textId="77777777" w:rsidR="00656B9E" w:rsidRDefault="0000000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0000015D" w14:textId="77777777" w:rsidR="00656B9E" w:rsidRDefault="0000000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0000015E" w14:textId="77777777" w:rsidR="00656B9E" w:rsidRDefault="00656B9E">
      <w:pPr>
        <w:rPr>
          <w:b/>
          <w:sz w:val="28"/>
          <w:szCs w:val="28"/>
        </w:rPr>
      </w:pPr>
    </w:p>
    <w:p w14:paraId="0000015F" w14:textId="77777777" w:rsidR="00656B9E" w:rsidRDefault="00656B9E">
      <w:pPr>
        <w:rPr>
          <w:b/>
          <w:sz w:val="28"/>
          <w:szCs w:val="28"/>
        </w:rPr>
      </w:pPr>
    </w:p>
    <w:sectPr w:rsidR="00656B9E">
      <w:type w:val="continuous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4A2C4" w14:textId="77777777" w:rsidR="00644E4D" w:rsidRDefault="00644E4D">
      <w:pPr>
        <w:spacing w:line="240" w:lineRule="auto"/>
      </w:pPr>
      <w:r>
        <w:separator/>
      </w:r>
    </w:p>
  </w:endnote>
  <w:endnote w:type="continuationSeparator" w:id="0">
    <w:p w14:paraId="6E08EFD9" w14:textId="77777777" w:rsidR="00644E4D" w:rsidRDefault="00644E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60" w14:textId="77777777" w:rsidR="00656B9E" w:rsidRDefault="00656B9E">
    <w:pPr>
      <w:jc w:val="right"/>
    </w:pPr>
  </w:p>
  <w:p w14:paraId="00000161" w14:textId="77777777" w:rsidR="00656B9E" w:rsidRDefault="00656B9E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DF609" w14:textId="77777777" w:rsidR="00644E4D" w:rsidRDefault="00644E4D">
      <w:pPr>
        <w:spacing w:line="240" w:lineRule="auto"/>
      </w:pPr>
      <w:r>
        <w:separator/>
      </w:r>
    </w:p>
  </w:footnote>
  <w:footnote w:type="continuationSeparator" w:id="0">
    <w:p w14:paraId="03FD388D" w14:textId="77777777" w:rsidR="00644E4D" w:rsidRDefault="00644E4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B9E"/>
    <w:rsid w:val="00142500"/>
    <w:rsid w:val="003D7363"/>
    <w:rsid w:val="00644E4D"/>
    <w:rsid w:val="0065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2AFD9DD7-70B2-4F42-BE6E-AA5269635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6250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250D"/>
  </w:style>
  <w:style w:type="paragraph" w:styleId="Footer">
    <w:name w:val="footer"/>
    <w:basedOn w:val="Normal"/>
    <w:link w:val="FooterChar"/>
    <w:uiPriority w:val="99"/>
    <w:unhideWhenUsed/>
    <w:rsid w:val="0056250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250D"/>
  </w:style>
  <w:style w:type="character" w:styleId="Hyperlink">
    <w:name w:val="Hyperlink"/>
    <w:basedOn w:val="DefaultParagraphFont"/>
    <w:uiPriority w:val="99"/>
    <w:unhideWhenUsed/>
    <w:rsid w:val="002634C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34C9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perpile.com/c/4wrvWm/sBT9" TargetMode="External"/><Relationship Id="rId13" Type="http://schemas.openxmlformats.org/officeDocument/2006/relationships/hyperlink" Target="https://paperpile.com/c/4wrvWm/YmUi0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paperpile.com/c/4wrvWm/C7D8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paperpile.com/c/4wrvWm/FPl1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paperpile.com/c/4wrvWm/xxF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aperpile.com/c/4wrvWm/xxFE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3OAkAUEoEPvxyu8LF6U+z2sBaA==">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1214</Words>
  <Characters>6926</Characters>
  <Application>Microsoft Office Word</Application>
  <DocSecurity>0</DocSecurity>
  <Lines>57</Lines>
  <Paragraphs>16</Paragraphs>
  <ScaleCrop>false</ScaleCrop>
  <Company/>
  <LinksUpToDate>false</LinksUpToDate>
  <CharactersWithSpaces>8124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Catherine Collins</cp:lastModifiedBy>
  <cp:revision>3</cp:revision>
  <dcterms:created xsi:type="dcterms:W3CDTF">2025-09-04T02:22:00Z</dcterms:created>
  <dcterms:modified xsi:type="dcterms:W3CDTF">2025-09-04T02:23:00Z</dcterms:modified>
</cp:coreProperties>
</file>