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513A" w14:textId="77777777" w:rsidR="007968F8" w:rsidRDefault="007968F8" w:rsidP="007968F8">
      <w:pPr>
        <w:pStyle w:val="Heading1"/>
      </w:pPr>
      <w:r>
        <w:t>Appendix</w:t>
      </w:r>
    </w:p>
    <w:p w14:paraId="0A10EA0D" w14:textId="77777777" w:rsidR="007968F8" w:rsidRPr="00BA3ED5" w:rsidRDefault="007968F8" w:rsidP="007968F8"/>
    <w:p w14:paraId="45EFAF3E" w14:textId="77777777" w:rsidR="007968F8" w:rsidRDefault="007968F8" w:rsidP="007968F8">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Pr>
          <w:rFonts w:eastAsia="Times New Roman"/>
          <w:b/>
          <w:sz w:val="20"/>
          <w:szCs w:val="20"/>
          <w:lang w:eastAsia="en-GB"/>
        </w:rPr>
        <w:fldChar w:fldCharType="begin" w:fldLock="1"/>
      </w:r>
      <w:r>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sidRPr="009854A9">
        <w:rPr>
          <w:rFonts w:eastAsia="Times New Roman"/>
          <w:noProof/>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sidRPr="009854A9">
        <w:rPr>
          <w:rFonts w:eastAsia="Times New Roman"/>
          <w:noProof/>
          <w:sz w:val="20"/>
          <w:szCs w:val="20"/>
          <w:vertAlign w:val="superscript"/>
          <w:lang w:eastAsia="en-GB"/>
        </w:rPr>
        <w:t>2</w:t>
      </w:r>
      <w:r>
        <w:rPr>
          <w:rFonts w:eastAsia="Times New Roman"/>
          <w:b/>
          <w:sz w:val="20"/>
          <w:szCs w:val="20"/>
          <w:lang w:eastAsia="en-GB"/>
        </w:rPr>
        <w:fldChar w:fldCharType="end"/>
      </w:r>
      <w:r w:rsidRPr="00F3611A">
        <w:rPr>
          <w:rFonts w:eastAsia="Times New Roman"/>
          <w:b/>
          <w:sz w:val="20"/>
          <w:szCs w:val="20"/>
          <w:lang w:eastAsia="en-GB"/>
        </w:rPr>
        <w:t> </w:t>
      </w:r>
    </w:p>
    <w:p w14:paraId="1722B20C" w14:textId="77777777" w:rsidR="007968F8" w:rsidRPr="005520ED" w:rsidRDefault="007968F8" w:rsidP="007968F8">
      <w:pPr>
        <w:rPr>
          <w:rFonts w:eastAsia="Times New Roman"/>
          <w:b/>
          <w:sz w:val="20"/>
          <w:szCs w:val="20"/>
          <w:lang w:eastAsia="en-GB"/>
        </w:rPr>
      </w:pPr>
    </w:p>
    <w:tbl>
      <w:tblPr>
        <w:tblW w:w="14490" w:type="dxa"/>
        <w:tblLook w:val="04A0" w:firstRow="1" w:lastRow="0" w:firstColumn="1" w:lastColumn="0" w:noHBand="0" w:noVBand="1"/>
      </w:tblPr>
      <w:tblGrid>
        <w:gridCol w:w="585"/>
        <w:gridCol w:w="1800"/>
        <w:gridCol w:w="6656"/>
        <w:gridCol w:w="1329"/>
        <w:gridCol w:w="4120"/>
      </w:tblGrid>
      <w:tr w:rsidR="007968F8" w:rsidRPr="00B853C6" w14:paraId="5FC2356F" w14:textId="77777777" w:rsidTr="001479FF">
        <w:tc>
          <w:tcPr>
            <w:tcW w:w="587" w:type="dxa"/>
            <w:tcBorders>
              <w:top w:val="single" w:sz="4" w:space="0" w:color="auto"/>
              <w:bottom w:val="single" w:sz="6" w:space="0" w:color="7F7F7F"/>
            </w:tcBorders>
            <w:shd w:val="clear" w:color="auto" w:fill="auto"/>
          </w:tcPr>
          <w:p w14:paraId="291525A4" w14:textId="77777777" w:rsidR="007968F8" w:rsidRPr="00F0337F" w:rsidRDefault="007968F8" w:rsidP="001479FF">
            <w:pPr>
              <w:spacing w:beforeLines="40" w:before="96" w:afterLines="40" w:after="96" w:line="24" w:lineRule="atLeast"/>
              <w:rPr>
                <w:rFonts w:eastAsia="Cambria"/>
                <w:b/>
                <w:bCs/>
                <w:sz w:val="18"/>
                <w:szCs w:val="18"/>
                <w:lang w:eastAsia="en-US"/>
              </w:rPr>
            </w:pPr>
            <w:r w:rsidRPr="00F0337F">
              <w:rPr>
                <w:rFonts w:eastAsia="Cambria"/>
                <w:b/>
                <w:bCs/>
                <w:sz w:val="18"/>
                <w:szCs w:val="18"/>
                <w:lang w:eastAsia="en-US"/>
              </w:rPr>
              <w:t>Item No.</w:t>
            </w:r>
          </w:p>
        </w:tc>
        <w:tc>
          <w:tcPr>
            <w:tcW w:w="1822" w:type="dxa"/>
            <w:tcBorders>
              <w:top w:val="single" w:sz="4" w:space="0" w:color="auto"/>
              <w:bottom w:val="single" w:sz="6" w:space="0" w:color="7F7F7F"/>
            </w:tcBorders>
            <w:shd w:val="clear" w:color="auto" w:fill="auto"/>
          </w:tcPr>
          <w:p w14:paraId="2B51CFA8" w14:textId="77777777" w:rsidR="007968F8" w:rsidRPr="00F0337F" w:rsidRDefault="007968F8" w:rsidP="001479FF">
            <w:pPr>
              <w:spacing w:beforeLines="40" w:before="96" w:afterLines="40" w:after="96" w:line="24" w:lineRule="atLeast"/>
              <w:rPr>
                <w:rFonts w:eastAsia="Cambria"/>
                <w:b/>
                <w:bCs/>
                <w:sz w:val="18"/>
                <w:szCs w:val="18"/>
                <w:lang w:eastAsia="en-US"/>
              </w:rPr>
            </w:pPr>
            <w:r w:rsidRPr="00F0337F">
              <w:rPr>
                <w:rFonts w:eastAsia="Cambria"/>
                <w:b/>
                <w:bCs/>
                <w:sz w:val="18"/>
                <w:szCs w:val="18"/>
                <w:lang w:eastAsia="en-US"/>
              </w:rPr>
              <w:t>Section</w:t>
            </w:r>
          </w:p>
        </w:tc>
        <w:tc>
          <w:tcPr>
            <w:tcW w:w="7041" w:type="dxa"/>
            <w:tcBorders>
              <w:top w:val="single" w:sz="4" w:space="0" w:color="auto"/>
              <w:bottom w:val="single" w:sz="6" w:space="0" w:color="7F7F7F"/>
            </w:tcBorders>
            <w:shd w:val="clear" w:color="auto" w:fill="auto"/>
          </w:tcPr>
          <w:p w14:paraId="7C983A04" w14:textId="77777777" w:rsidR="007968F8" w:rsidRPr="002E205C" w:rsidRDefault="007968F8" w:rsidP="001479FF">
            <w:pPr>
              <w:spacing w:beforeLines="40" w:before="96" w:afterLines="40" w:after="96" w:line="24" w:lineRule="atLeast"/>
              <w:rPr>
                <w:rFonts w:eastAsia="Cambria"/>
                <w:b/>
                <w:bCs/>
                <w:sz w:val="18"/>
                <w:szCs w:val="18"/>
                <w:lang w:eastAsia="en-US"/>
              </w:rPr>
            </w:pPr>
            <w:r w:rsidRPr="002E205C">
              <w:rPr>
                <w:rFonts w:eastAsia="Cambria"/>
                <w:b/>
                <w:bCs/>
                <w:sz w:val="18"/>
                <w:szCs w:val="18"/>
                <w:lang w:eastAsia="en-US"/>
              </w:rPr>
              <w:t xml:space="preserve">Checklist item </w:t>
            </w:r>
          </w:p>
        </w:tc>
        <w:tc>
          <w:tcPr>
            <w:tcW w:w="720" w:type="dxa"/>
            <w:tcBorders>
              <w:top w:val="single" w:sz="4" w:space="0" w:color="auto"/>
              <w:bottom w:val="single" w:sz="6" w:space="0" w:color="7F7F7F"/>
            </w:tcBorders>
          </w:tcPr>
          <w:p w14:paraId="76F6B16C" w14:textId="77777777" w:rsidR="007968F8" w:rsidRPr="00F0337F" w:rsidRDefault="007968F8" w:rsidP="001479FF">
            <w:pPr>
              <w:spacing w:beforeLines="40" w:before="96" w:afterLines="40" w:after="96" w:line="24" w:lineRule="atLeast"/>
              <w:rPr>
                <w:rFonts w:eastAsia="Cambria"/>
                <w:b/>
                <w:bCs/>
                <w:sz w:val="18"/>
                <w:szCs w:val="18"/>
                <w:lang w:eastAsia="en-US"/>
              </w:rPr>
            </w:pPr>
            <w:r>
              <w:rPr>
                <w:rFonts w:eastAsia="Cambria"/>
                <w:b/>
                <w:bCs/>
                <w:sz w:val="18"/>
                <w:szCs w:val="18"/>
                <w:lang w:eastAsia="en-US"/>
              </w:rPr>
              <w:t>Page No.</w:t>
            </w:r>
          </w:p>
        </w:tc>
        <w:tc>
          <w:tcPr>
            <w:tcW w:w="4320" w:type="dxa"/>
            <w:tcBorders>
              <w:top w:val="single" w:sz="4" w:space="0" w:color="auto"/>
              <w:bottom w:val="single" w:sz="6" w:space="0" w:color="7F7F7F"/>
            </w:tcBorders>
          </w:tcPr>
          <w:p w14:paraId="710173BE" w14:textId="77777777" w:rsidR="007968F8" w:rsidRDefault="007968F8" w:rsidP="001479FF">
            <w:pPr>
              <w:spacing w:beforeLines="40" w:before="96" w:afterLines="40" w:after="96" w:line="24" w:lineRule="atLeast"/>
              <w:rPr>
                <w:rFonts w:eastAsia="Cambria"/>
                <w:b/>
                <w:bCs/>
                <w:sz w:val="18"/>
                <w:szCs w:val="18"/>
                <w:lang w:eastAsia="en-US"/>
              </w:rPr>
            </w:pPr>
            <w:r>
              <w:rPr>
                <w:rFonts w:eastAsia="Cambria"/>
                <w:b/>
                <w:bCs/>
                <w:sz w:val="18"/>
                <w:szCs w:val="18"/>
                <w:lang w:eastAsia="en-US"/>
              </w:rPr>
              <w:t>Relevant text from manuscript</w:t>
            </w:r>
          </w:p>
        </w:tc>
      </w:tr>
      <w:tr w:rsidR="007968F8" w:rsidRPr="00B853C6" w14:paraId="53412398" w14:textId="77777777" w:rsidTr="001479FF">
        <w:tc>
          <w:tcPr>
            <w:tcW w:w="587" w:type="dxa"/>
            <w:tcBorders>
              <w:top w:val="single" w:sz="6" w:space="0" w:color="7F7F7F"/>
              <w:bottom w:val="single" w:sz="6" w:space="0" w:color="7F7F7F"/>
            </w:tcBorders>
            <w:shd w:val="clear" w:color="auto" w:fill="EEEEEE"/>
          </w:tcPr>
          <w:p w14:paraId="3888D571"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w:t>
            </w:r>
          </w:p>
        </w:tc>
        <w:tc>
          <w:tcPr>
            <w:tcW w:w="1822" w:type="dxa"/>
            <w:tcBorders>
              <w:top w:val="single" w:sz="6" w:space="0" w:color="7F7F7F"/>
              <w:bottom w:val="single" w:sz="6" w:space="0" w:color="7F7F7F"/>
            </w:tcBorders>
            <w:shd w:val="clear" w:color="auto" w:fill="EEEEEE"/>
          </w:tcPr>
          <w:p w14:paraId="74711C06"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TITLE and ABSTRACT</w:t>
            </w:r>
          </w:p>
        </w:tc>
        <w:tc>
          <w:tcPr>
            <w:tcW w:w="7041" w:type="dxa"/>
            <w:tcBorders>
              <w:top w:val="single" w:sz="6" w:space="0" w:color="7F7F7F"/>
              <w:bottom w:val="single" w:sz="6" w:space="0" w:color="7F7F7F"/>
            </w:tcBorders>
            <w:shd w:val="clear" w:color="auto" w:fill="EEEEEE"/>
          </w:tcPr>
          <w:p w14:paraId="324D196D"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Indicate Mendelian randomization (MR) as the study’s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52D53F31" w14:textId="79B67776" w:rsidR="007968F8" w:rsidRPr="00F0337F"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C60B95">
              <w:rPr>
                <w:rFonts w:eastAsia="Times New Roman"/>
                <w:sz w:val="18"/>
                <w:szCs w:val="18"/>
                <w:lang w:eastAsia="en-GB"/>
              </w:rPr>
              <w:t>-2</w:t>
            </w:r>
          </w:p>
        </w:tc>
        <w:tc>
          <w:tcPr>
            <w:tcW w:w="4320" w:type="dxa"/>
            <w:tcBorders>
              <w:top w:val="single" w:sz="6" w:space="0" w:color="7F7F7F"/>
              <w:bottom w:val="single" w:sz="6" w:space="0" w:color="7F7F7F"/>
            </w:tcBorders>
            <w:shd w:val="clear" w:color="auto" w:fill="EEEEEE"/>
          </w:tcPr>
          <w:p w14:paraId="59E61769"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 xml:space="preserve">Title: </w:t>
            </w:r>
            <w:r w:rsidRPr="00A01110">
              <w:rPr>
                <w:rFonts w:eastAsia="Times New Roman"/>
                <w:sz w:val="18"/>
                <w:szCs w:val="18"/>
                <w:lang w:eastAsia="en-GB"/>
              </w:rPr>
              <w:t>Reassessing the link between adiposity and head and neck cancer: a Mendelian randomization study</w:t>
            </w:r>
          </w:p>
          <w:p w14:paraId="6B1D0476"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Abstract: “</w:t>
            </w:r>
            <w:r w:rsidRPr="00A01110">
              <w:rPr>
                <w:rFonts w:eastAsia="Times New Roman"/>
                <w:sz w:val="18"/>
                <w:szCs w:val="18"/>
                <w:lang w:eastAsia="en-GB"/>
              </w:rPr>
              <w:t>We assessed the genetically predicted effects</w:t>
            </w:r>
            <w:r>
              <w:rPr>
                <w:rFonts w:eastAsia="Times New Roman"/>
                <w:sz w:val="18"/>
                <w:szCs w:val="18"/>
                <w:lang w:eastAsia="en-GB"/>
              </w:rPr>
              <w:t>…</w:t>
            </w:r>
            <w:r w:rsidRPr="00A01110">
              <w:rPr>
                <w:rFonts w:eastAsia="Times New Roman"/>
                <w:sz w:val="18"/>
                <w:szCs w:val="18"/>
                <w:lang w:eastAsia="en-GB"/>
              </w:rPr>
              <w:t xml:space="preserve"> using a two-sample MR framework</w:t>
            </w:r>
            <w:r>
              <w:rPr>
                <w:rFonts w:eastAsia="Times New Roman"/>
                <w:sz w:val="18"/>
                <w:szCs w:val="18"/>
                <w:lang w:eastAsia="en-GB"/>
              </w:rPr>
              <w:t>.”</w:t>
            </w:r>
          </w:p>
        </w:tc>
      </w:tr>
      <w:tr w:rsidR="007968F8" w:rsidRPr="00B853C6" w14:paraId="3865DBE6" w14:textId="77777777" w:rsidTr="001479FF">
        <w:tc>
          <w:tcPr>
            <w:tcW w:w="587" w:type="dxa"/>
            <w:tcBorders>
              <w:top w:val="single" w:sz="6" w:space="0" w:color="7F7F7F"/>
            </w:tcBorders>
            <w:shd w:val="clear" w:color="auto" w:fill="auto"/>
          </w:tcPr>
          <w:p w14:paraId="04FF5A76" w14:textId="77777777" w:rsidR="007968F8" w:rsidRPr="00F0337F" w:rsidRDefault="007968F8" w:rsidP="001479FF">
            <w:pPr>
              <w:spacing w:beforeLines="40" w:before="96" w:afterLines="40" w:after="96" w:line="24" w:lineRule="atLeast"/>
              <w:rPr>
                <w:rFonts w:eastAsia="Times New Roman"/>
                <w:b/>
                <w:bCs/>
                <w:sz w:val="18"/>
                <w:szCs w:val="18"/>
                <w:lang w:eastAsia="en-GB"/>
              </w:rPr>
            </w:pPr>
          </w:p>
        </w:tc>
        <w:tc>
          <w:tcPr>
            <w:tcW w:w="1822" w:type="dxa"/>
            <w:tcBorders>
              <w:top w:val="single" w:sz="6" w:space="0" w:color="7F7F7F"/>
            </w:tcBorders>
            <w:shd w:val="clear" w:color="auto" w:fill="auto"/>
          </w:tcPr>
          <w:p w14:paraId="533E04FB"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INTRODUCTION</w:t>
            </w:r>
          </w:p>
        </w:tc>
        <w:tc>
          <w:tcPr>
            <w:tcW w:w="7041" w:type="dxa"/>
            <w:tcBorders>
              <w:top w:val="single" w:sz="6" w:space="0" w:color="7F7F7F"/>
            </w:tcBorders>
            <w:shd w:val="clear" w:color="auto" w:fill="auto"/>
          </w:tcPr>
          <w:p w14:paraId="0D520028"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Borders>
              <w:top w:val="single" w:sz="6" w:space="0" w:color="7F7F7F"/>
            </w:tcBorders>
          </w:tcPr>
          <w:p w14:paraId="1DDCB262" w14:textId="77777777" w:rsidR="007968F8" w:rsidRPr="00F0337F" w:rsidRDefault="007968F8" w:rsidP="001479FF">
            <w:pPr>
              <w:spacing w:beforeLines="40" w:before="96" w:afterLines="40" w:after="96" w:line="24" w:lineRule="atLeast"/>
              <w:rPr>
                <w:rFonts w:eastAsia="Cambria"/>
                <w:sz w:val="18"/>
                <w:szCs w:val="18"/>
                <w:lang w:eastAsia="en-US"/>
              </w:rPr>
            </w:pPr>
          </w:p>
        </w:tc>
        <w:tc>
          <w:tcPr>
            <w:tcW w:w="4320" w:type="dxa"/>
            <w:tcBorders>
              <w:top w:val="single" w:sz="6" w:space="0" w:color="7F7F7F"/>
            </w:tcBorders>
          </w:tcPr>
          <w:p w14:paraId="36B427C1"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0690A46B" w14:textId="77777777" w:rsidTr="001479FF">
        <w:tc>
          <w:tcPr>
            <w:tcW w:w="587" w:type="dxa"/>
            <w:shd w:val="clear" w:color="auto" w:fill="EEEEEE"/>
          </w:tcPr>
          <w:p w14:paraId="36B1D6A7"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2</w:t>
            </w:r>
          </w:p>
        </w:tc>
        <w:tc>
          <w:tcPr>
            <w:tcW w:w="1822" w:type="dxa"/>
            <w:shd w:val="clear" w:color="auto" w:fill="EEEEEE"/>
          </w:tcPr>
          <w:p w14:paraId="5F84A52D"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Background</w:t>
            </w:r>
          </w:p>
        </w:tc>
        <w:tc>
          <w:tcPr>
            <w:tcW w:w="7041" w:type="dxa"/>
            <w:shd w:val="clear" w:color="auto" w:fill="EEEEEE"/>
          </w:tcPr>
          <w:p w14:paraId="7EC18763"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720" w:type="dxa"/>
            <w:shd w:val="clear" w:color="auto" w:fill="EEEEEE"/>
          </w:tcPr>
          <w:p w14:paraId="6173CB36" w14:textId="21A01F93" w:rsidR="007968F8" w:rsidRPr="00F0337F" w:rsidRDefault="00C60B95"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3</w:t>
            </w:r>
            <w:r w:rsidR="00B96FBF">
              <w:rPr>
                <w:rFonts w:eastAsia="Times New Roman"/>
                <w:sz w:val="18"/>
                <w:szCs w:val="18"/>
                <w:lang w:eastAsia="en-GB"/>
              </w:rPr>
              <w:t>-4</w:t>
            </w:r>
          </w:p>
        </w:tc>
        <w:tc>
          <w:tcPr>
            <w:tcW w:w="4320" w:type="dxa"/>
            <w:shd w:val="clear" w:color="auto" w:fill="EEEEEE"/>
          </w:tcPr>
          <w:p w14:paraId="3247C656"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0E4F16">
              <w:rPr>
                <w:rFonts w:eastAsia="Times New Roman"/>
                <w:sz w:val="18"/>
                <w:szCs w:val="18"/>
                <w:lang w:eastAsia="en-GB"/>
              </w:rPr>
              <w:t>Head and neck cancer (HNC) is among the</w:t>
            </w:r>
            <w:r>
              <w:rPr>
                <w:rFonts w:eastAsia="Times New Roman"/>
                <w:sz w:val="18"/>
                <w:szCs w:val="18"/>
                <w:lang w:eastAsia="en-GB"/>
              </w:rPr>
              <w:t>… due to limited statistical power”.</w:t>
            </w:r>
          </w:p>
        </w:tc>
      </w:tr>
      <w:tr w:rsidR="007968F8" w:rsidRPr="00B853C6" w14:paraId="321977D9" w14:textId="77777777" w:rsidTr="001479FF">
        <w:tc>
          <w:tcPr>
            <w:tcW w:w="587" w:type="dxa"/>
            <w:tcBorders>
              <w:bottom w:val="single" w:sz="6" w:space="0" w:color="7F7F7F"/>
            </w:tcBorders>
            <w:shd w:val="clear" w:color="auto" w:fill="auto"/>
          </w:tcPr>
          <w:p w14:paraId="760041CF"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3</w:t>
            </w:r>
          </w:p>
        </w:tc>
        <w:tc>
          <w:tcPr>
            <w:tcW w:w="1822" w:type="dxa"/>
            <w:tcBorders>
              <w:bottom w:val="single" w:sz="6" w:space="0" w:color="7F7F7F"/>
            </w:tcBorders>
            <w:shd w:val="clear" w:color="auto" w:fill="auto"/>
          </w:tcPr>
          <w:p w14:paraId="02E99119"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Objectives</w:t>
            </w:r>
          </w:p>
        </w:tc>
        <w:tc>
          <w:tcPr>
            <w:tcW w:w="7041" w:type="dxa"/>
            <w:tcBorders>
              <w:bottom w:val="single" w:sz="6" w:space="0" w:color="7F7F7F"/>
            </w:tcBorders>
            <w:shd w:val="clear" w:color="auto" w:fill="auto"/>
          </w:tcPr>
          <w:p w14:paraId="557018F7"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487A8E01" w14:textId="5EE37CD0" w:rsidR="007968F8" w:rsidRPr="00A1236D" w:rsidRDefault="00B96FB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4</w:t>
            </w:r>
          </w:p>
        </w:tc>
        <w:tc>
          <w:tcPr>
            <w:tcW w:w="4320" w:type="dxa"/>
            <w:tcBorders>
              <w:bottom w:val="single" w:sz="6" w:space="0" w:color="7F7F7F"/>
            </w:tcBorders>
          </w:tcPr>
          <w:p w14:paraId="20A697C7"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5401A3">
              <w:rPr>
                <w:rFonts w:eastAsia="Times New Roman"/>
                <w:sz w:val="18"/>
                <w:szCs w:val="18"/>
                <w:lang w:eastAsia="en-GB"/>
              </w:rPr>
              <w:t>Therefore, the aim of this MR study was</w:t>
            </w:r>
            <w:r>
              <w:rPr>
                <w:rFonts w:eastAsia="Times New Roman"/>
                <w:sz w:val="18"/>
                <w:szCs w:val="18"/>
                <w:lang w:eastAsia="en-GB"/>
              </w:rPr>
              <w:t>… while accounting for smoking behaviour.”</w:t>
            </w:r>
          </w:p>
        </w:tc>
      </w:tr>
      <w:tr w:rsidR="007968F8" w:rsidRPr="00B853C6" w14:paraId="063DBB0F" w14:textId="77777777" w:rsidTr="001479FF">
        <w:tc>
          <w:tcPr>
            <w:tcW w:w="587" w:type="dxa"/>
            <w:tcBorders>
              <w:top w:val="single" w:sz="6" w:space="0" w:color="7F7F7F"/>
            </w:tcBorders>
            <w:shd w:val="clear" w:color="auto" w:fill="EEEEEE"/>
          </w:tcPr>
          <w:p w14:paraId="16178F69" w14:textId="77777777" w:rsidR="007968F8" w:rsidRPr="00F0337F" w:rsidRDefault="007968F8" w:rsidP="001479FF">
            <w:pPr>
              <w:spacing w:beforeLines="40" w:before="96" w:afterLines="40" w:after="96" w:line="24" w:lineRule="atLeast"/>
              <w:rPr>
                <w:rFonts w:eastAsia="Times New Roman"/>
                <w:b/>
                <w:bCs/>
                <w:sz w:val="18"/>
                <w:szCs w:val="18"/>
                <w:lang w:eastAsia="en-GB"/>
              </w:rPr>
            </w:pPr>
          </w:p>
        </w:tc>
        <w:tc>
          <w:tcPr>
            <w:tcW w:w="1822" w:type="dxa"/>
            <w:tcBorders>
              <w:top w:val="single" w:sz="6" w:space="0" w:color="7F7F7F"/>
            </w:tcBorders>
            <w:shd w:val="clear" w:color="auto" w:fill="EEEEEE"/>
          </w:tcPr>
          <w:p w14:paraId="20E55EE0"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METHODS</w:t>
            </w:r>
          </w:p>
        </w:tc>
        <w:tc>
          <w:tcPr>
            <w:tcW w:w="7041" w:type="dxa"/>
            <w:tcBorders>
              <w:top w:val="single" w:sz="6" w:space="0" w:color="7F7F7F"/>
            </w:tcBorders>
            <w:shd w:val="clear" w:color="auto" w:fill="EEEEEE"/>
          </w:tcPr>
          <w:p w14:paraId="1A7585E7"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Borders>
              <w:top w:val="single" w:sz="6" w:space="0" w:color="7F7F7F"/>
            </w:tcBorders>
            <w:shd w:val="clear" w:color="auto" w:fill="EEEEEE"/>
          </w:tcPr>
          <w:p w14:paraId="299EB02F"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tcBorders>
              <w:top w:val="single" w:sz="6" w:space="0" w:color="7F7F7F"/>
            </w:tcBorders>
            <w:shd w:val="clear" w:color="auto" w:fill="EEEEEE"/>
          </w:tcPr>
          <w:p w14:paraId="47D9B691"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26B928B1" w14:textId="77777777" w:rsidTr="001479FF">
        <w:tc>
          <w:tcPr>
            <w:tcW w:w="587" w:type="dxa"/>
            <w:shd w:val="clear" w:color="auto" w:fill="auto"/>
          </w:tcPr>
          <w:p w14:paraId="093DF4E3"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4</w:t>
            </w:r>
          </w:p>
        </w:tc>
        <w:tc>
          <w:tcPr>
            <w:tcW w:w="1822" w:type="dxa"/>
            <w:shd w:val="clear" w:color="auto" w:fill="auto"/>
          </w:tcPr>
          <w:p w14:paraId="28E8520D"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Study design and data sources</w:t>
            </w:r>
          </w:p>
        </w:tc>
        <w:tc>
          <w:tcPr>
            <w:tcW w:w="7041" w:type="dxa"/>
            <w:shd w:val="clear" w:color="auto" w:fill="auto"/>
          </w:tcPr>
          <w:p w14:paraId="73A08F4A"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71A61087" w14:textId="70ECC566" w:rsidR="007968F8" w:rsidRPr="00A1236D" w:rsidRDefault="00B96FB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5</w:t>
            </w:r>
            <w:r w:rsidR="007968F8">
              <w:rPr>
                <w:rFonts w:eastAsia="Times New Roman"/>
                <w:sz w:val="18"/>
                <w:szCs w:val="18"/>
                <w:lang w:eastAsia="en-GB"/>
              </w:rPr>
              <w:t>-</w:t>
            </w:r>
            <w:r w:rsidR="005C61B1">
              <w:rPr>
                <w:rFonts w:eastAsia="Times New Roman"/>
                <w:sz w:val="18"/>
                <w:szCs w:val="18"/>
                <w:lang w:eastAsia="en-GB"/>
              </w:rPr>
              <w:t>7</w:t>
            </w:r>
            <w:r w:rsidR="007968F8">
              <w:rPr>
                <w:rFonts w:eastAsia="Times New Roman"/>
                <w:sz w:val="18"/>
                <w:szCs w:val="18"/>
                <w:lang w:eastAsia="en-GB"/>
              </w:rPr>
              <w:t xml:space="preserve"> and </w:t>
            </w:r>
            <w:r w:rsidR="005C61B1">
              <w:rPr>
                <w:rFonts w:eastAsia="Times New Roman"/>
                <w:sz w:val="18"/>
                <w:szCs w:val="18"/>
                <w:lang w:eastAsia="en-GB"/>
              </w:rPr>
              <w:t>12</w:t>
            </w:r>
          </w:p>
        </w:tc>
        <w:tc>
          <w:tcPr>
            <w:tcW w:w="4320" w:type="dxa"/>
          </w:tcPr>
          <w:p w14:paraId="0AD4F49F"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“Study design”, “</w:t>
            </w:r>
            <w:r w:rsidRPr="005A4AFE">
              <w:rPr>
                <w:rFonts w:eastAsia="Times New Roman"/>
                <w:sz w:val="18"/>
                <w:szCs w:val="18"/>
                <w:lang w:eastAsia="en-GB"/>
              </w:rPr>
              <w:t>Head and neck cancer GWAS</w:t>
            </w:r>
            <w:r>
              <w:rPr>
                <w:rFonts w:eastAsia="Times New Roman"/>
                <w:sz w:val="18"/>
                <w:szCs w:val="18"/>
                <w:lang w:eastAsia="en-GB"/>
              </w:rPr>
              <w:t>” and “Genetic instruments for adiposity” subsections, and Table 1</w:t>
            </w:r>
          </w:p>
        </w:tc>
      </w:tr>
      <w:tr w:rsidR="007968F8" w:rsidRPr="00B853C6" w14:paraId="20F94BF4" w14:textId="77777777" w:rsidTr="001479FF">
        <w:tc>
          <w:tcPr>
            <w:tcW w:w="587" w:type="dxa"/>
            <w:shd w:val="clear" w:color="auto" w:fill="EEEEEE"/>
          </w:tcPr>
          <w:p w14:paraId="285AD93B"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404C787C"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EEEEEE"/>
          </w:tcPr>
          <w:p w14:paraId="50B714E6"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shd w:val="clear" w:color="auto" w:fill="FFFFFF"/>
                <w:lang w:eastAsia="en-GB"/>
              </w:rPr>
              <w:t xml:space="preserve">Setting: </w:t>
            </w:r>
            <w:r w:rsidRPr="002E205C">
              <w:rPr>
                <w:rFonts w:eastAsia="Times New Roman"/>
                <w:sz w:val="18"/>
                <w:szCs w:val="18"/>
                <w:lang w:eastAsia="en-GB"/>
              </w:rPr>
              <w:t xml:space="preserve">Describe the study design and the underlying population, if possible. </w:t>
            </w:r>
            <w:r w:rsidRPr="002E205C">
              <w:rPr>
                <w:rFonts w:eastAsia="Times New Roman"/>
                <w:sz w:val="18"/>
                <w:szCs w:val="18"/>
                <w:shd w:val="clear" w:color="auto" w:fill="FFFFFF"/>
                <w:lang w:eastAsia="en-GB"/>
              </w:rPr>
              <w:t xml:space="preserve">Describe the setting, locations, and relevant dates, including periods </w:t>
            </w:r>
            <w:r w:rsidRPr="002E205C">
              <w:rPr>
                <w:rFonts w:eastAsia="Times New Roman"/>
                <w:color w:val="000000"/>
                <w:sz w:val="18"/>
                <w:szCs w:val="18"/>
                <w:shd w:val="clear" w:color="auto" w:fill="FFFFFF"/>
                <w:lang w:eastAsia="en-GB"/>
              </w:rPr>
              <w:t>of recruitment, exposure, follow-up, and data collection, when available.</w:t>
            </w:r>
          </w:p>
        </w:tc>
        <w:tc>
          <w:tcPr>
            <w:tcW w:w="720" w:type="dxa"/>
            <w:shd w:val="clear" w:color="auto" w:fill="EEEEEE"/>
          </w:tcPr>
          <w:p w14:paraId="1AA98BF5" w14:textId="77777777" w:rsidR="007968F8" w:rsidRPr="00A1236D" w:rsidRDefault="007968F8" w:rsidP="001479FF">
            <w:pPr>
              <w:spacing w:beforeLines="40" w:before="96" w:afterLines="40" w:after="96" w:line="24" w:lineRule="atLeast"/>
              <w:rPr>
                <w:rFonts w:eastAsia="Times New Roman"/>
                <w:sz w:val="18"/>
                <w:szCs w:val="18"/>
                <w:shd w:val="clear" w:color="auto" w:fill="FFFFFF"/>
                <w:lang w:eastAsia="en-GB"/>
              </w:rPr>
            </w:pPr>
          </w:p>
        </w:tc>
        <w:tc>
          <w:tcPr>
            <w:tcW w:w="4320" w:type="dxa"/>
            <w:shd w:val="clear" w:color="auto" w:fill="EEEEEE"/>
          </w:tcPr>
          <w:p w14:paraId="756AE5A8" w14:textId="77777777" w:rsidR="007968F8" w:rsidRDefault="007968F8" w:rsidP="001479FF">
            <w:pPr>
              <w:spacing w:beforeLines="40" w:before="96" w:afterLines="40" w:after="96" w:line="24" w:lineRule="atLeast"/>
              <w:rPr>
                <w:rFonts w:eastAsia="Times New Roman"/>
                <w:sz w:val="18"/>
                <w:szCs w:val="18"/>
                <w:shd w:val="clear" w:color="auto" w:fill="FFFFFF"/>
                <w:lang w:eastAsia="en-GB"/>
              </w:rPr>
            </w:pPr>
          </w:p>
        </w:tc>
      </w:tr>
      <w:tr w:rsidR="007968F8" w:rsidRPr="00B853C6" w14:paraId="3E891953" w14:textId="77777777" w:rsidTr="001479FF">
        <w:tc>
          <w:tcPr>
            <w:tcW w:w="587" w:type="dxa"/>
            <w:shd w:val="clear" w:color="auto" w:fill="auto"/>
          </w:tcPr>
          <w:p w14:paraId="16E3951A"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33DBC888"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auto"/>
          </w:tcPr>
          <w:p w14:paraId="11A8EB31" w14:textId="77777777" w:rsidR="007968F8" w:rsidRPr="002E205C" w:rsidRDefault="007968F8" w:rsidP="001479FF">
            <w:pPr>
              <w:spacing w:beforeLines="40" w:before="96" w:afterLines="40" w:after="96" w:line="24" w:lineRule="atLeast"/>
              <w:textAlignment w:val="baseline"/>
              <w:rPr>
                <w:rFonts w:eastAsia="Cambria"/>
                <w:sz w:val="18"/>
                <w:szCs w:val="18"/>
                <w:lang w:eastAsia="en-US"/>
              </w:rPr>
            </w:pPr>
            <w:r w:rsidRPr="002E205C">
              <w:rPr>
                <w:rFonts w:eastAsia="Times New Roman"/>
                <w:sz w:val="18"/>
                <w:szCs w:val="18"/>
                <w:shd w:val="clear" w:color="auto" w:fill="FFFFFF"/>
                <w:lang w:eastAsia="en-GB"/>
              </w:rPr>
              <w:t xml:space="preserve">Participants: Give the eligibility criteria, and the sources and methods of selection of participants. </w:t>
            </w:r>
            <w:r w:rsidRPr="002E205C">
              <w:rPr>
                <w:rFonts w:eastAsia="Times New Roman"/>
                <w:color w:val="000000"/>
                <w:sz w:val="18"/>
                <w:szCs w:val="18"/>
              </w:rPr>
              <w:t>Report the sample size, and whether any power or sample size calculations were carried out prior to the main analysis</w:t>
            </w:r>
            <w:r w:rsidRPr="002E205C">
              <w:rPr>
                <w:rFonts w:eastAsia="Times New Roman"/>
                <w:sz w:val="18"/>
                <w:szCs w:val="18"/>
                <w:lang w:eastAsia="en-GB"/>
              </w:rPr>
              <w:t> </w:t>
            </w:r>
          </w:p>
        </w:tc>
        <w:tc>
          <w:tcPr>
            <w:tcW w:w="720" w:type="dxa"/>
          </w:tcPr>
          <w:p w14:paraId="18536BDA" w14:textId="77777777" w:rsidR="007968F8" w:rsidRPr="00A1236D"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p>
        </w:tc>
        <w:tc>
          <w:tcPr>
            <w:tcW w:w="4320" w:type="dxa"/>
          </w:tcPr>
          <w:p w14:paraId="535D54C0" w14:textId="77777777" w:rsidR="007968F8"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p>
        </w:tc>
      </w:tr>
      <w:tr w:rsidR="007968F8" w:rsidRPr="00B853C6" w14:paraId="277A5CD5" w14:textId="77777777" w:rsidTr="001479FF">
        <w:tc>
          <w:tcPr>
            <w:tcW w:w="587" w:type="dxa"/>
            <w:shd w:val="clear" w:color="auto" w:fill="EEEEEE"/>
          </w:tcPr>
          <w:p w14:paraId="2C9D5B3F"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2BC24E6A"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EEEEEE"/>
          </w:tcPr>
          <w:p w14:paraId="5846F9C5"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measurement, quality control and selection of genetic variants</w:t>
            </w:r>
          </w:p>
        </w:tc>
        <w:tc>
          <w:tcPr>
            <w:tcW w:w="720" w:type="dxa"/>
            <w:shd w:val="clear" w:color="auto" w:fill="EEEEEE"/>
          </w:tcPr>
          <w:p w14:paraId="35E8DC6C" w14:textId="77777777" w:rsidR="007968F8" w:rsidRPr="00A1236D" w:rsidRDefault="007968F8" w:rsidP="001479FF">
            <w:pPr>
              <w:spacing w:beforeLines="40" w:before="96" w:afterLines="40" w:after="96" w:line="24" w:lineRule="atLeast"/>
              <w:rPr>
                <w:rFonts w:eastAsia="Times New Roman"/>
                <w:sz w:val="18"/>
                <w:szCs w:val="18"/>
                <w:lang w:eastAsia="en-GB"/>
              </w:rPr>
            </w:pPr>
          </w:p>
        </w:tc>
        <w:tc>
          <w:tcPr>
            <w:tcW w:w="4320" w:type="dxa"/>
            <w:shd w:val="clear" w:color="auto" w:fill="EEEEEE"/>
          </w:tcPr>
          <w:p w14:paraId="415CFD9E"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67AC2632" w14:textId="77777777" w:rsidTr="001479FF">
        <w:tc>
          <w:tcPr>
            <w:tcW w:w="587" w:type="dxa"/>
            <w:shd w:val="clear" w:color="auto" w:fill="auto"/>
          </w:tcPr>
          <w:p w14:paraId="1C482754"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17199417"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d)</w:t>
            </w:r>
          </w:p>
        </w:tc>
        <w:tc>
          <w:tcPr>
            <w:tcW w:w="7041" w:type="dxa"/>
            <w:shd w:val="clear" w:color="auto" w:fill="auto"/>
          </w:tcPr>
          <w:p w14:paraId="4B52F046" w14:textId="77777777" w:rsidR="007968F8" w:rsidRPr="002E205C" w:rsidRDefault="007968F8" w:rsidP="001479FF">
            <w:pPr>
              <w:spacing w:beforeLines="40" w:before="96" w:afterLines="40" w:after="96" w:line="24" w:lineRule="atLeast"/>
              <w:textAlignment w:val="baseline"/>
              <w:rPr>
                <w:rFonts w:eastAsia="Cambria"/>
                <w:sz w:val="18"/>
                <w:szCs w:val="18"/>
                <w:lang w:eastAsia="en-US"/>
              </w:rPr>
            </w:pPr>
            <w:r w:rsidRPr="002E205C">
              <w:rPr>
                <w:rFonts w:eastAsia="Times New Roman"/>
                <w:sz w:val="18"/>
                <w:szCs w:val="18"/>
                <w:shd w:val="clear" w:color="auto" w:fill="FFFFFF"/>
                <w:lang w:eastAsia="en-GB"/>
              </w:rPr>
              <w:t>For each exposure, outcome, and other relevant variables, describe methods of assessment and diagnostic criteria for diseases</w:t>
            </w:r>
          </w:p>
        </w:tc>
        <w:tc>
          <w:tcPr>
            <w:tcW w:w="720" w:type="dxa"/>
          </w:tcPr>
          <w:p w14:paraId="47D896EE" w14:textId="77777777" w:rsidR="007968F8" w:rsidRPr="00A1236D"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p>
        </w:tc>
        <w:tc>
          <w:tcPr>
            <w:tcW w:w="4320" w:type="dxa"/>
          </w:tcPr>
          <w:p w14:paraId="5B22F8B5" w14:textId="77777777" w:rsidR="007968F8"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p>
        </w:tc>
      </w:tr>
      <w:tr w:rsidR="007968F8" w:rsidRPr="00B853C6" w14:paraId="15346A4F" w14:textId="77777777" w:rsidTr="001479FF">
        <w:tc>
          <w:tcPr>
            <w:tcW w:w="587" w:type="dxa"/>
            <w:shd w:val="clear" w:color="auto" w:fill="EEEEEE"/>
          </w:tcPr>
          <w:p w14:paraId="52424253"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52F75526"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e)</w:t>
            </w:r>
          </w:p>
        </w:tc>
        <w:tc>
          <w:tcPr>
            <w:tcW w:w="7041" w:type="dxa"/>
            <w:shd w:val="clear" w:color="auto" w:fill="EEEEEE"/>
          </w:tcPr>
          <w:p w14:paraId="758A7B54" w14:textId="77777777" w:rsidR="007968F8" w:rsidRPr="00EF600D" w:rsidRDefault="007968F8" w:rsidP="001479FF">
            <w:pPr>
              <w:spacing w:beforeLines="40" w:before="96" w:afterLines="40" w:after="96" w:line="24" w:lineRule="atLeast"/>
              <w:textAlignment w:val="baseline"/>
              <w:rPr>
                <w:rFonts w:eastAsia="Cambria"/>
                <w:sz w:val="18"/>
                <w:szCs w:val="18"/>
                <w:lang w:eastAsia="en-US"/>
              </w:rPr>
            </w:pPr>
            <w:r w:rsidRPr="00EF600D">
              <w:rPr>
                <w:rFonts w:eastAsia="Times New Roman"/>
                <w:sz w:val="18"/>
                <w:szCs w:val="18"/>
                <w:shd w:val="clear" w:color="auto" w:fill="FFFFFF"/>
                <w:lang w:eastAsia="en-GB"/>
              </w:rPr>
              <w:t>Provide details of ethics committee approval and participant informed consent, if relevant</w:t>
            </w:r>
          </w:p>
        </w:tc>
        <w:tc>
          <w:tcPr>
            <w:tcW w:w="720" w:type="dxa"/>
            <w:shd w:val="clear" w:color="auto" w:fill="EEEEEE"/>
          </w:tcPr>
          <w:p w14:paraId="5CAA2E44" w14:textId="77777777" w:rsidR="007968F8" w:rsidRPr="00EF600D"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r w:rsidRPr="00EF600D">
              <w:rPr>
                <w:rFonts w:eastAsia="Times New Roman"/>
                <w:sz w:val="18"/>
                <w:szCs w:val="18"/>
                <w:shd w:val="clear" w:color="auto" w:fill="FFFFFF"/>
                <w:lang w:eastAsia="en-GB"/>
              </w:rPr>
              <w:t>NA</w:t>
            </w:r>
          </w:p>
        </w:tc>
        <w:tc>
          <w:tcPr>
            <w:tcW w:w="4320" w:type="dxa"/>
            <w:shd w:val="clear" w:color="auto" w:fill="EEEEEE"/>
          </w:tcPr>
          <w:p w14:paraId="07BDBE26" w14:textId="77777777" w:rsidR="007968F8" w:rsidRDefault="007968F8" w:rsidP="001479FF">
            <w:pPr>
              <w:spacing w:beforeLines="40" w:before="96" w:afterLines="40" w:after="96" w:line="24" w:lineRule="atLeast"/>
              <w:textAlignment w:val="baseline"/>
              <w:rPr>
                <w:rFonts w:eastAsia="Times New Roman"/>
                <w:sz w:val="18"/>
                <w:szCs w:val="18"/>
                <w:shd w:val="clear" w:color="auto" w:fill="FFFFFF"/>
                <w:lang w:eastAsia="en-GB"/>
              </w:rPr>
            </w:pPr>
          </w:p>
        </w:tc>
      </w:tr>
      <w:tr w:rsidR="007968F8" w:rsidRPr="00B853C6" w14:paraId="208F4A2F" w14:textId="77777777" w:rsidTr="001479FF">
        <w:tc>
          <w:tcPr>
            <w:tcW w:w="587" w:type="dxa"/>
            <w:shd w:val="clear" w:color="auto" w:fill="auto"/>
          </w:tcPr>
          <w:p w14:paraId="16DF1C83"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5</w:t>
            </w:r>
          </w:p>
        </w:tc>
        <w:tc>
          <w:tcPr>
            <w:tcW w:w="1822" w:type="dxa"/>
            <w:shd w:val="clear" w:color="auto" w:fill="auto"/>
          </w:tcPr>
          <w:p w14:paraId="08558FD5"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Assumptions</w:t>
            </w:r>
          </w:p>
          <w:p w14:paraId="557B815F" w14:textId="77777777" w:rsidR="007968F8" w:rsidRPr="00F0337F" w:rsidRDefault="007968F8" w:rsidP="001479FF">
            <w:pPr>
              <w:spacing w:beforeLines="40" w:before="96" w:afterLines="40" w:after="96" w:line="24" w:lineRule="atLeast"/>
              <w:jc w:val="center"/>
              <w:rPr>
                <w:rFonts w:eastAsia="Cambria"/>
                <w:sz w:val="18"/>
                <w:szCs w:val="18"/>
                <w:lang w:eastAsia="en-US"/>
              </w:rPr>
            </w:pPr>
          </w:p>
        </w:tc>
        <w:tc>
          <w:tcPr>
            <w:tcW w:w="7041" w:type="dxa"/>
            <w:shd w:val="clear" w:color="auto" w:fill="auto"/>
          </w:tcPr>
          <w:p w14:paraId="7E1EECAE"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Explicitly state the three core IV assumptions for the main analysis (relevance, independence and exclusion restriction) as well assumptions for any additional or sensitivity analysis</w:t>
            </w:r>
          </w:p>
        </w:tc>
        <w:tc>
          <w:tcPr>
            <w:tcW w:w="720" w:type="dxa"/>
          </w:tcPr>
          <w:p w14:paraId="036AC0E2" w14:textId="4E403652" w:rsidR="007968F8" w:rsidRPr="00A1236D" w:rsidRDefault="005C61B1"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5</w:t>
            </w:r>
          </w:p>
        </w:tc>
        <w:tc>
          <w:tcPr>
            <w:tcW w:w="4320" w:type="dxa"/>
          </w:tcPr>
          <w:p w14:paraId="31764058"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36249D">
              <w:rPr>
                <w:rFonts w:eastAsia="Times New Roman"/>
                <w:sz w:val="18"/>
                <w:szCs w:val="18"/>
                <w:lang w:eastAsia="en-GB"/>
              </w:rPr>
              <w:t>Genetic variants associated with these adiposity traits were used as instrumental variables to estimate causal effects under the three core MR assumptions</w:t>
            </w:r>
            <w:r>
              <w:rPr>
                <w:rFonts w:eastAsia="Times New Roman"/>
                <w:sz w:val="18"/>
                <w:szCs w:val="18"/>
                <w:lang w:eastAsia="en-GB"/>
              </w:rPr>
              <w:t>… (exclusion restriction assumption).”</w:t>
            </w:r>
          </w:p>
        </w:tc>
      </w:tr>
      <w:tr w:rsidR="007968F8" w:rsidRPr="00B853C6" w14:paraId="6802981F" w14:textId="77777777" w:rsidTr="001479FF">
        <w:tc>
          <w:tcPr>
            <w:tcW w:w="587" w:type="dxa"/>
            <w:shd w:val="clear" w:color="auto" w:fill="EEEEEE"/>
          </w:tcPr>
          <w:p w14:paraId="341DBB3A"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6</w:t>
            </w:r>
          </w:p>
        </w:tc>
        <w:tc>
          <w:tcPr>
            <w:tcW w:w="1822" w:type="dxa"/>
            <w:shd w:val="clear" w:color="auto" w:fill="EEEEEE"/>
          </w:tcPr>
          <w:p w14:paraId="73A464DA"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Statistical methods: main analysis</w:t>
            </w:r>
          </w:p>
        </w:tc>
        <w:tc>
          <w:tcPr>
            <w:tcW w:w="7041" w:type="dxa"/>
            <w:shd w:val="clear" w:color="auto" w:fill="EEEEEE"/>
          </w:tcPr>
          <w:p w14:paraId="04BDF5A9"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statistical methods and statistics used</w:t>
            </w:r>
          </w:p>
        </w:tc>
        <w:tc>
          <w:tcPr>
            <w:tcW w:w="720" w:type="dxa"/>
            <w:shd w:val="clear" w:color="auto" w:fill="EEEEEE"/>
          </w:tcPr>
          <w:p w14:paraId="06860E9E" w14:textId="79163F09" w:rsidR="007968F8" w:rsidRPr="00A1236D" w:rsidRDefault="002C760D"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7-12</w:t>
            </w:r>
          </w:p>
        </w:tc>
        <w:tc>
          <w:tcPr>
            <w:tcW w:w="4320" w:type="dxa"/>
            <w:shd w:val="clear" w:color="auto" w:fill="EEEEEE"/>
          </w:tcPr>
          <w:p w14:paraId="5FEB7C0B"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6D29A979" w14:textId="77777777" w:rsidTr="001479FF">
        <w:tc>
          <w:tcPr>
            <w:tcW w:w="587" w:type="dxa"/>
            <w:shd w:val="clear" w:color="auto" w:fill="auto"/>
          </w:tcPr>
          <w:p w14:paraId="4692CD34"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08D72BF8"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auto"/>
          </w:tcPr>
          <w:p w14:paraId="41BE8809"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how quantitative variables were handled in the analyses (i.e., scale, units, model)</w:t>
            </w:r>
          </w:p>
        </w:tc>
        <w:tc>
          <w:tcPr>
            <w:tcW w:w="720" w:type="dxa"/>
          </w:tcPr>
          <w:p w14:paraId="45758AED" w14:textId="088877B0" w:rsidR="007968F8" w:rsidRPr="00A1236D" w:rsidRDefault="00327254"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7</w:t>
            </w:r>
            <w:r w:rsidR="007968F8">
              <w:rPr>
                <w:rFonts w:eastAsia="Times New Roman"/>
                <w:sz w:val="18"/>
                <w:szCs w:val="18"/>
                <w:lang w:eastAsia="en-GB"/>
              </w:rPr>
              <w:t xml:space="preserve"> and </w:t>
            </w:r>
            <w:r w:rsidR="00315907">
              <w:rPr>
                <w:rFonts w:eastAsia="Times New Roman"/>
                <w:sz w:val="18"/>
                <w:szCs w:val="18"/>
                <w:lang w:eastAsia="en-GB"/>
              </w:rPr>
              <w:t>12</w:t>
            </w:r>
          </w:p>
        </w:tc>
        <w:tc>
          <w:tcPr>
            <w:tcW w:w="4320" w:type="dxa"/>
          </w:tcPr>
          <w:p w14:paraId="495F6EC7"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 xml:space="preserve">“Genetic instruments for adiposity” subsection and Table 1 </w:t>
            </w:r>
          </w:p>
        </w:tc>
      </w:tr>
      <w:tr w:rsidR="007968F8" w:rsidRPr="00B853C6" w14:paraId="1D8D1CA6" w14:textId="77777777" w:rsidTr="001479FF">
        <w:tc>
          <w:tcPr>
            <w:tcW w:w="587" w:type="dxa"/>
            <w:shd w:val="clear" w:color="auto" w:fill="EEEEEE"/>
          </w:tcPr>
          <w:p w14:paraId="72577759"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208A7CDB"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EEEEEE"/>
          </w:tcPr>
          <w:p w14:paraId="7BE4AA35"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how genetic variants were handled in the analyses and, if applicable, how their weights were selected</w:t>
            </w:r>
          </w:p>
        </w:tc>
        <w:tc>
          <w:tcPr>
            <w:tcW w:w="720" w:type="dxa"/>
            <w:shd w:val="clear" w:color="auto" w:fill="EEEEEE"/>
          </w:tcPr>
          <w:p w14:paraId="0E62AC7E" w14:textId="10F3BA28" w:rsidR="007968F8" w:rsidRPr="00A1236D" w:rsidRDefault="00315907"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7-8</w:t>
            </w:r>
          </w:p>
        </w:tc>
        <w:tc>
          <w:tcPr>
            <w:tcW w:w="4320" w:type="dxa"/>
            <w:shd w:val="clear" w:color="auto" w:fill="EEEEEE"/>
          </w:tcPr>
          <w:p w14:paraId="7A800D5A"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“Genetic instruments for adiposity” and “Data harmonisation” subsections</w:t>
            </w:r>
          </w:p>
        </w:tc>
      </w:tr>
      <w:tr w:rsidR="007968F8" w:rsidRPr="00B853C6" w14:paraId="1D61BD78" w14:textId="77777777" w:rsidTr="001479FF">
        <w:tc>
          <w:tcPr>
            <w:tcW w:w="587" w:type="dxa"/>
            <w:shd w:val="clear" w:color="auto" w:fill="auto"/>
          </w:tcPr>
          <w:p w14:paraId="4990D5F5"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546D070C"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auto"/>
          </w:tcPr>
          <w:p w14:paraId="75B4388A"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1DE9F687" w14:textId="26FB1C2C" w:rsidR="007968F8" w:rsidRPr="00A1236D" w:rsidRDefault="001B2622"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8</w:t>
            </w:r>
          </w:p>
        </w:tc>
        <w:tc>
          <w:tcPr>
            <w:tcW w:w="4320" w:type="dxa"/>
          </w:tcPr>
          <w:p w14:paraId="33A35E34" w14:textId="08E1303A"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00536F86">
              <w:rPr>
                <w:rFonts w:eastAsia="Times New Roman"/>
                <w:sz w:val="18"/>
                <w:szCs w:val="18"/>
                <w:lang w:eastAsia="en-GB"/>
              </w:rPr>
              <w:t>Main</w:t>
            </w:r>
            <w:r>
              <w:rPr>
                <w:rFonts w:eastAsia="Times New Roman"/>
                <w:sz w:val="18"/>
                <w:szCs w:val="18"/>
                <w:lang w:eastAsia="en-GB"/>
              </w:rPr>
              <w:t xml:space="preserve"> analys</w:t>
            </w:r>
            <w:r w:rsidR="00536F86">
              <w:rPr>
                <w:rFonts w:eastAsia="Times New Roman"/>
                <w:sz w:val="18"/>
                <w:szCs w:val="18"/>
                <w:lang w:eastAsia="en-GB"/>
              </w:rPr>
              <w:t>e</w:t>
            </w:r>
            <w:r>
              <w:rPr>
                <w:rFonts w:eastAsia="Times New Roman"/>
                <w:sz w:val="18"/>
                <w:szCs w:val="18"/>
                <w:lang w:eastAsia="en-GB"/>
              </w:rPr>
              <w:t>s” subsection</w:t>
            </w:r>
          </w:p>
        </w:tc>
      </w:tr>
      <w:tr w:rsidR="007968F8" w:rsidRPr="00B853C6" w14:paraId="3CE5E92B" w14:textId="77777777" w:rsidTr="001479FF">
        <w:tc>
          <w:tcPr>
            <w:tcW w:w="587" w:type="dxa"/>
            <w:shd w:val="clear" w:color="auto" w:fill="EEEEEE"/>
          </w:tcPr>
          <w:p w14:paraId="49AE707F"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441E920D"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d)</w:t>
            </w:r>
          </w:p>
        </w:tc>
        <w:tc>
          <w:tcPr>
            <w:tcW w:w="7041" w:type="dxa"/>
            <w:shd w:val="clear" w:color="auto" w:fill="EEEEEE"/>
          </w:tcPr>
          <w:p w14:paraId="63D5D55C"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Explain how missing data were addressed</w:t>
            </w:r>
          </w:p>
        </w:tc>
        <w:tc>
          <w:tcPr>
            <w:tcW w:w="720" w:type="dxa"/>
            <w:shd w:val="clear" w:color="auto" w:fill="EEEEEE"/>
          </w:tcPr>
          <w:p w14:paraId="1D67260E"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shd w:val="clear" w:color="auto" w:fill="EEEEEE"/>
          </w:tcPr>
          <w:p w14:paraId="192BB5B0"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5B60D161" w14:textId="77777777" w:rsidTr="001479FF">
        <w:tc>
          <w:tcPr>
            <w:tcW w:w="587" w:type="dxa"/>
            <w:shd w:val="clear" w:color="auto" w:fill="auto"/>
          </w:tcPr>
          <w:p w14:paraId="5B2EF45B"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336129D1"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e)</w:t>
            </w:r>
          </w:p>
        </w:tc>
        <w:tc>
          <w:tcPr>
            <w:tcW w:w="7041" w:type="dxa"/>
            <w:shd w:val="clear" w:color="auto" w:fill="auto"/>
          </w:tcPr>
          <w:p w14:paraId="318DF9D7"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If applicable, indicate how multiple testing was addressed</w:t>
            </w:r>
          </w:p>
        </w:tc>
        <w:tc>
          <w:tcPr>
            <w:tcW w:w="720" w:type="dxa"/>
          </w:tcPr>
          <w:p w14:paraId="2EB66873" w14:textId="6302082F" w:rsidR="007968F8" w:rsidRPr="00A1236D" w:rsidRDefault="001B2622"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8</w:t>
            </w:r>
          </w:p>
        </w:tc>
        <w:tc>
          <w:tcPr>
            <w:tcW w:w="4320" w:type="dxa"/>
          </w:tcPr>
          <w:p w14:paraId="26D1D839" w14:textId="60A4A4C2" w:rsidR="007968F8" w:rsidRDefault="00983F5A"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007968F8" w:rsidRPr="006E4E06">
              <w:rPr>
                <w:rFonts w:eastAsia="Times New Roman"/>
                <w:sz w:val="18"/>
                <w:szCs w:val="18"/>
                <w:lang w:eastAsia="en-GB"/>
              </w:rPr>
              <w:t>We did not correct our results for multiple testing, as all our exposures are strongly correlated</w:t>
            </w:r>
            <w:r>
              <w:rPr>
                <w:rFonts w:eastAsia="Times New Roman"/>
                <w:sz w:val="18"/>
                <w:szCs w:val="18"/>
                <w:lang w:eastAsia="en-GB"/>
              </w:rPr>
              <w:t>”</w:t>
            </w:r>
          </w:p>
        </w:tc>
      </w:tr>
      <w:tr w:rsidR="007968F8" w:rsidRPr="00B853C6" w14:paraId="4D227AE7" w14:textId="77777777" w:rsidTr="001479FF">
        <w:tc>
          <w:tcPr>
            <w:tcW w:w="587" w:type="dxa"/>
            <w:shd w:val="clear" w:color="auto" w:fill="EEEEEE"/>
          </w:tcPr>
          <w:p w14:paraId="2C4D6BCD"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7</w:t>
            </w:r>
          </w:p>
        </w:tc>
        <w:tc>
          <w:tcPr>
            <w:tcW w:w="1822" w:type="dxa"/>
            <w:shd w:val="clear" w:color="auto" w:fill="EEEEEE"/>
          </w:tcPr>
          <w:p w14:paraId="312D7117"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Assessment of assumptions</w:t>
            </w:r>
          </w:p>
        </w:tc>
        <w:tc>
          <w:tcPr>
            <w:tcW w:w="7041" w:type="dxa"/>
            <w:shd w:val="clear" w:color="auto" w:fill="EEEEEE"/>
          </w:tcPr>
          <w:p w14:paraId="37583C20" w14:textId="77777777" w:rsidR="007968F8" w:rsidRPr="002E205C" w:rsidRDefault="007968F8" w:rsidP="001479FF">
            <w:pPr>
              <w:tabs>
                <w:tab w:val="left" w:pos="1620"/>
              </w:tabs>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any methods or prior knowledge used to assess the assumptions or justify their validity</w:t>
            </w:r>
            <w:r w:rsidRPr="002E205C">
              <w:rPr>
                <w:rFonts w:eastAsia="Cambria"/>
                <w:sz w:val="18"/>
                <w:szCs w:val="18"/>
                <w:lang w:eastAsia="en-US"/>
              </w:rPr>
              <w:tab/>
            </w:r>
          </w:p>
        </w:tc>
        <w:tc>
          <w:tcPr>
            <w:tcW w:w="720" w:type="dxa"/>
            <w:shd w:val="clear" w:color="auto" w:fill="EEEEEE"/>
          </w:tcPr>
          <w:p w14:paraId="4F075704" w14:textId="5491251B" w:rsidR="007968F8" w:rsidRPr="00A1236D" w:rsidRDefault="000F0622" w:rsidP="001479FF">
            <w:pPr>
              <w:tabs>
                <w:tab w:val="left" w:pos="1620"/>
              </w:tabs>
              <w:spacing w:beforeLines="40" w:before="96" w:afterLines="40" w:after="96" w:line="24" w:lineRule="atLeast"/>
              <w:rPr>
                <w:rFonts w:eastAsia="Times New Roman"/>
                <w:sz w:val="18"/>
                <w:szCs w:val="18"/>
                <w:lang w:eastAsia="en-GB"/>
              </w:rPr>
            </w:pPr>
            <w:r>
              <w:rPr>
                <w:rFonts w:eastAsia="Times New Roman"/>
                <w:sz w:val="18"/>
                <w:szCs w:val="18"/>
                <w:lang w:eastAsia="en-GB"/>
              </w:rPr>
              <w:t>9</w:t>
            </w:r>
            <w:r w:rsidR="007968F8">
              <w:rPr>
                <w:rFonts w:eastAsia="Times New Roman"/>
                <w:sz w:val="18"/>
                <w:szCs w:val="18"/>
                <w:lang w:eastAsia="en-GB"/>
              </w:rPr>
              <w:t>-</w:t>
            </w:r>
            <w:r w:rsidR="00983F5A">
              <w:rPr>
                <w:rFonts w:eastAsia="Times New Roman"/>
                <w:sz w:val="18"/>
                <w:szCs w:val="18"/>
                <w:lang w:eastAsia="en-GB"/>
              </w:rPr>
              <w:t>11</w:t>
            </w:r>
          </w:p>
        </w:tc>
        <w:tc>
          <w:tcPr>
            <w:tcW w:w="4320" w:type="dxa"/>
            <w:shd w:val="clear" w:color="auto" w:fill="EEEEEE"/>
          </w:tcPr>
          <w:p w14:paraId="67A2018D" w14:textId="77777777" w:rsidR="007968F8" w:rsidRDefault="007968F8" w:rsidP="001479FF">
            <w:pPr>
              <w:tabs>
                <w:tab w:val="left" w:pos="1620"/>
              </w:tabs>
              <w:spacing w:beforeLines="40" w:before="96" w:afterLines="40" w:after="96" w:line="24" w:lineRule="atLeast"/>
              <w:rPr>
                <w:rFonts w:eastAsia="Times New Roman"/>
                <w:sz w:val="18"/>
                <w:szCs w:val="18"/>
                <w:lang w:eastAsia="en-GB"/>
              </w:rPr>
            </w:pPr>
            <w:r>
              <w:rPr>
                <w:rFonts w:eastAsia="Times New Roman"/>
                <w:sz w:val="18"/>
                <w:szCs w:val="18"/>
                <w:lang w:eastAsia="en-GB"/>
              </w:rPr>
              <w:t>“Sensitivity analyses” subsection</w:t>
            </w:r>
          </w:p>
        </w:tc>
      </w:tr>
      <w:tr w:rsidR="007968F8" w:rsidRPr="00B853C6" w14:paraId="2CBBA9B5" w14:textId="77777777" w:rsidTr="001479FF">
        <w:tc>
          <w:tcPr>
            <w:tcW w:w="587" w:type="dxa"/>
            <w:shd w:val="clear" w:color="auto" w:fill="auto"/>
          </w:tcPr>
          <w:p w14:paraId="3ED1D359"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8</w:t>
            </w:r>
          </w:p>
        </w:tc>
        <w:tc>
          <w:tcPr>
            <w:tcW w:w="1822" w:type="dxa"/>
            <w:shd w:val="clear" w:color="auto" w:fill="auto"/>
          </w:tcPr>
          <w:p w14:paraId="12A5D899"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Sensitivity analyses and additional analyses</w:t>
            </w:r>
          </w:p>
        </w:tc>
        <w:tc>
          <w:tcPr>
            <w:tcW w:w="7041" w:type="dxa"/>
            <w:shd w:val="clear" w:color="auto" w:fill="auto"/>
          </w:tcPr>
          <w:p w14:paraId="7F732232"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7EF3D657" w14:textId="478E7829" w:rsidR="007968F8" w:rsidRPr="00A1236D" w:rsidRDefault="00E01AA9"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8</w:t>
            </w:r>
            <w:r w:rsidR="007968F8">
              <w:rPr>
                <w:rFonts w:eastAsia="Times New Roman"/>
                <w:sz w:val="18"/>
                <w:szCs w:val="18"/>
                <w:lang w:eastAsia="en-GB"/>
              </w:rPr>
              <w:t>-</w:t>
            </w:r>
            <w:r>
              <w:rPr>
                <w:rFonts w:eastAsia="Times New Roman"/>
                <w:sz w:val="18"/>
                <w:szCs w:val="18"/>
                <w:lang w:eastAsia="en-GB"/>
              </w:rPr>
              <w:t>12</w:t>
            </w:r>
          </w:p>
        </w:tc>
        <w:tc>
          <w:tcPr>
            <w:tcW w:w="4320" w:type="dxa"/>
          </w:tcPr>
          <w:p w14:paraId="6B72C34F" w14:textId="0A9491A9"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“Sensitivity analyses”</w:t>
            </w:r>
            <w:r w:rsidR="00CF7CBB">
              <w:rPr>
                <w:rFonts w:eastAsia="Times New Roman"/>
                <w:sz w:val="18"/>
                <w:szCs w:val="18"/>
                <w:lang w:eastAsia="en-GB"/>
              </w:rPr>
              <w:t xml:space="preserve"> and “Secondary analyses”</w:t>
            </w:r>
            <w:r>
              <w:rPr>
                <w:rFonts w:eastAsia="Times New Roman"/>
                <w:sz w:val="18"/>
                <w:szCs w:val="18"/>
                <w:lang w:eastAsia="en-GB"/>
              </w:rPr>
              <w:t xml:space="preserve"> subsection</w:t>
            </w:r>
            <w:r w:rsidR="00CF7CBB">
              <w:rPr>
                <w:rFonts w:eastAsia="Times New Roman"/>
                <w:sz w:val="18"/>
                <w:szCs w:val="18"/>
                <w:lang w:eastAsia="en-GB"/>
              </w:rPr>
              <w:t>s</w:t>
            </w:r>
          </w:p>
        </w:tc>
      </w:tr>
      <w:tr w:rsidR="007968F8" w:rsidRPr="00B853C6" w14:paraId="5051EE0F" w14:textId="77777777" w:rsidTr="001479FF">
        <w:tc>
          <w:tcPr>
            <w:tcW w:w="587" w:type="dxa"/>
            <w:shd w:val="clear" w:color="auto" w:fill="EEEEEE"/>
          </w:tcPr>
          <w:p w14:paraId="366A4FE8"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9</w:t>
            </w:r>
          </w:p>
        </w:tc>
        <w:tc>
          <w:tcPr>
            <w:tcW w:w="1822" w:type="dxa"/>
            <w:shd w:val="clear" w:color="auto" w:fill="EEEEEE"/>
          </w:tcPr>
          <w:p w14:paraId="2788583E"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Software and pre-registration</w:t>
            </w:r>
          </w:p>
        </w:tc>
        <w:tc>
          <w:tcPr>
            <w:tcW w:w="7041" w:type="dxa"/>
            <w:shd w:val="clear" w:color="auto" w:fill="EEEEEE"/>
          </w:tcPr>
          <w:p w14:paraId="34ADF7A6"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shd w:val="clear" w:color="auto" w:fill="EEEEEE"/>
          </w:tcPr>
          <w:p w14:paraId="11026CD4"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shd w:val="clear" w:color="auto" w:fill="EEEEEE"/>
          </w:tcPr>
          <w:p w14:paraId="2515CC78"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58030522" w14:textId="77777777" w:rsidTr="001479FF">
        <w:tc>
          <w:tcPr>
            <w:tcW w:w="587" w:type="dxa"/>
            <w:shd w:val="clear" w:color="auto" w:fill="auto"/>
          </w:tcPr>
          <w:p w14:paraId="7226A6D0"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4FDA72F2"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auto"/>
          </w:tcPr>
          <w:p w14:paraId="0A7891A6"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Name statistical software and package(s), including version and settings used </w:t>
            </w:r>
          </w:p>
        </w:tc>
        <w:tc>
          <w:tcPr>
            <w:tcW w:w="720" w:type="dxa"/>
          </w:tcPr>
          <w:p w14:paraId="4E7837B7" w14:textId="45C43650" w:rsidR="007968F8" w:rsidRPr="00A1236D" w:rsidRDefault="00897BA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12</w:t>
            </w:r>
          </w:p>
        </w:tc>
        <w:tc>
          <w:tcPr>
            <w:tcW w:w="4320" w:type="dxa"/>
          </w:tcPr>
          <w:p w14:paraId="74FE39F9"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“Statistical software” subsection</w:t>
            </w:r>
          </w:p>
        </w:tc>
      </w:tr>
      <w:tr w:rsidR="007968F8" w:rsidRPr="00B853C6" w14:paraId="77F3A4AA" w14:textId="77777777" w:rsidTr="001479FF">
        <w:tc>
          <w:tcPr>
            <w:tcW w:w="587" w:type="dxa"/>
            <w:tcBorders>
              <w:bottom w:val="single" w:sz="6" w:space="0" w:color="7F7F7F"/>
            </w:tcBorders>
            <w:shd w:val="clear" w:color="auto" w:fill="EEEEEE"/>
          </w:tcPr>
          <w:p w14:paraId="06E8D6FA"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tcBorders>
              <w:bottom w:val="single" w:sz="6" w:space="0" w:color="7F7F7F"/>
            </w:tcBorders>
            <w:shd w:val="clear" w:color="auto" w:fill="EEEEEE"/>
          </w:tcPr>
          <w:p w14:paraId="2D8BDE55"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tcBorders>
              <w:bottom w:val="single" w:sz="6" w:space="0" w:color="7F7F7F"/>
            </w:tcBorders>
            <w:shd w:val="clear" w:color="auto" w:fill="EEEEEE"/>
          </w:tcPr>
          <w:p w14:paraId="69DD2E7B"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State whether the study protocol and details were pre-registered (as well as when and where)</w:t>
            </w:r>
          </w:p>
        </w:tc>
        <w:tc>
          <w:tcPr>
            <w:tcW w:w="720" w:type="dxa"/>
            <w:tcBorders>
              <w:bottom w:val="single" w:sz="6" w:space="0" w:color="7F7F7F"/>
            </w:tcBorders>
            <w:shd w:val="clear" w:color="auto" w:fill="EEEEEE"/>
          </w:tcPr>
          <w:p w14:paraId="654D0916"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tcBorders>
              <w:bottom w:val="single" w:sz="6" w:space="0" w:color="7F7F7F"/>
            </w:tcBorders>
            <w:shd w:val="clear" w:color="auto" w:fill="EEEEEE"/>
          </w:tcPr>
          <w:p w14:paraId="57627A1E"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42994F90" w14:textId="77777777" w:rsidTr="001479FF">
        <w:tc>
          <w:tcPr>
            <w:tcW w:w="587" w:type="dxa"/>
            <w:tcBorders>
              <w:top w:val="single" w:sz="6" w:space="0" w:color="7F7F7F"/>
            </w:tcBorders>
            <w:shd w:val="clear" w:color="auto" w:fill="auto"/>
          </w:tcPr>
          <w:p w14:paraId="590110CE" w14:textId="77777777" w:rsidR="007968F8" w:rsidRPr="00F0337F" w:rsidRDefault="007968F8" w:rsidP="001479FF">
            <w:pPr>
              <w:spacing w:beforeLines="40" w:before="96" w:afterLines="40" w:after="96" w:line="24" w:lineRule="atLeast"/>
              <w:rPr>
                <w:rFonts w:eastAsia="Times New Roman"/>
                <w:b/>
                <w:bCs/>
                <w:sz w:val="18"/>
                <w:szCs w:val="18"/>
                <w:lang w:eastAsia="en-GB"/>
              </w:rPr>
            </w:pPr>
          </w:p>
        </w:tc>
        <w:tc>
          <w:tcPr>
            <w:tcW w:w="1822" w:type="dxa"/>
            <w:tcBorders>
              <w:top w:val="single" w:sz="6" w:space="0" w:color="7F7F7F"/>
            </w:tcBorders>
            <w:shd w:val="clear" w:color="auto" w:fill="auto"/>
          </w:tcPr>
          <w:p w14:paraId="18EEA334"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RESULTS</w:t>
            </w:r>
          </w:p>
        </w:tc>
        <w:tc>
          <w:tcPr>
            <w:tcW w:w="7041" w:type="dxa"/>
            <w:tcBorders>
              <w:top w:val="single" w:sz="6" w:space="0" w:color="7F7F7F"/>
            </w:tcBorders>
            <w:shd w:val="clear" w:color="auto" w:fill="auto"/>
          </w:tcPr>
          <w:p w14:paraId="15F7B8BE"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Borders>
              <w:top w:val="single" w:sz="6" w:space="0" w:color="7F7F7F"/>
            </w:tcBorders>
          </w:tcPr>
          <w:p w14:paraId="5B770300"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tcBorders>
              <w:top w:val="single" w:sz="6" w:space="0" w:color="7F7F7F"/>
            </w:tcBorders>
          </w:tcPr>
          <w:p w14:paraId="7FBAF6C1"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3F9B51C4" w14:textId="77777777" w:rsidTr="001479FF">
        <w:tc>
          <w:tcPr>
            <w:tcW w:w="587" w:type="dxa"/>
            <w:shd w:val="clear" w:color="auto" w:fill="EEEEEE"/>
          </w:tcPr>
          <w:p w14:paraId="0E8E0E20"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10</w:t>
            </w:r>
          </w:p>
        </w:tc>
        <w:tc>
          <w:tcPr>
            <w:tcW w:w="1822" w:type="dxa"/>
            <w:shd w:val="clear" w:color="auto" w:fill="EEEEEE"/>
          </w:tcPr>
          <w:p w14:paraId="7AC087AF"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Descriptive data</w:t>
            </w:r>
          </w:p>
        </w:tc>
        <w:tc>
          <w:tcPr>
            <w:tcW w:w="7041" w:type="dxa"/>
            <w:shd w:val="clear" w:color="auto" w:fill="EEEEEE"/>
          </w:tcPr>
          <w:p w14:paraId="47224F44"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shd w:val="clear" w:color="auto" w:fill="EEEEEE"/>
          </w:tcPr>
          <w:p w14:paraId="0A47C5F0"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shd w:val="clear" w:color="auto" w:fill="EEEEEE"/>
          </w:tcPr>
          <w:p w14:paraId="7E8140AE"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18740D1C" w14:textId="77777777" w:rsidTr="001479FF">
        <w:tc>
          <w:tcPr>
            <w:tcW w:w="587" w:type="dxa"/>
            <w:shd w:val="clear" w:color="auto" w:fill="auto"/>
          </w:tcPr>
          <w:p w14:paraId="449C9E1A"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476A1360"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auto"/>
          </w:tcPr>
          <w:p w14:paraId="4B76321A"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the numbers of individuals at each stage of included studies and reasons for exclusion. Consider use of a flow diagram</w:t>
            </w:r>
          </w:p>
        </w:tc>
        <w:tc>
          <w:tcPr>
            <w:tcW w:w="720" w:type="dxa"/>
          </w:tcPr>
          <w:p w14:paraId="106CDC53"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tcPr>
          <w:p w14:paraId="3B4D1D91"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21F8C863" w14:textId="77777777" w:rsidTr="001479FF">
        <w:tc>
          <w:tcPr>
            <w:tcW w:w="587" w:type="dxa"/>
            <w:shd w:val="clear" w:color="auto" w:fill="EEEEEE"/>
          </w:tcPr>
          <w:p w14:paraId="37279EF3"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06099777"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EEEEEE"/>
          </w:tcPr>
          <w:p w14:paraId="390452C6"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Report summary statistics for phenotypic exposure(s), outcome(s), and other relevant variables (e.g. means, SDs, proportions)</w:t>
            </w:r>
          </w:p>
        </w:tc>
        <w:tc>
          <w:tcPr>
            <w:tcW w:w="720" w:type="dxa"/>
            <w:shd w:val="clear" w:color="auto" w:fill="EEEEEE"/>
          </w:tcPr>
          <w:p w14:paraId="75E845A7"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shd w:val="clear" w:color="auto" w:fill="EEEEEE"/>
          </w:tcPr>
          <w:p w14:paraId="6AC4FBB2"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196DFBC0" w14:textId="77777777" w:rsidTr="001479FF">
        <w:tc>
          <w:tcPr>
            <w:tcW w:w="587" w:type="dxa"/>
            <w:shd w:val="clear" w:color="auto" w:fill="auto"/>
          </w:tcPr>
          <w:p w14:paraId="602C4705"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1DAD687B"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auto"/>
          </w:tcPr>
          <w:p w14:paraId="208DEC1C"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If the data sources include meta-analyses of previous studies, provide the assessments of heterogeneity across these studies</w:t>
            </w:r>
          </w:p>
        </w:tc>
        <w:tc>
          <w:tcPr>
            <w:tcW w:w="720" w:type="dxa"/>
          </w:tcPr>
          <w:p w14:paraId="7FA7B533"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tcPr>
          <w:p w14:paraId="5FDF6D39"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4B67EDFE" w14:textId="77777777" w:rsidTr="001479FF">
        <w:tc>
          <w:tcPr>
            <w:tcW w:w="587" w:type="dxa"/>
            <w:shd w:val="clear" w:color="auto" w:fill="EEEEEE"/>
          </w:tcPr>
          <w:p w14:paraId="2B5FB8A3"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123B0E6C"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d)</w:t>
            </w:r>
          </w:p>
        </w:tc>
        <w:tc>
          <w:tcPr>
            <w:tcW w:w="7041" w:type="dxa"/>
            <w:shd w:val="clear" w:color="auto" w:fill="EEEEEE"/>
          </w:tcPr>
          <w:p w14:paraId="7EA50A77"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 xml:space="preserve">For </w:t>
            </w:r>
            <w:r w:rsidRPr="002E205C">
              <w:rPr>
                <w:rFonts w:eastAsia="Times New Roman"/>
                <w:iCs/>
                <w:sz w:val="18"/>
                <w:szCs w:val="18"/>
                <w:lang w:eastAsia="en-GB"/>
              </w:rPr>
              <w:t>two-sample</w:t>
            </w:r>
            <w:r w:rsidRPr="002E205C">
              <w:rPr>
                <w:rFonts w:eastAsia="Times New Roman"/>
                <w:sz w:val="18"/>
                <w:szCs w:val="18"/>
                <w:lang w:eastAsia="en-GB"/>
              </w:rPr>
              <w:t xml:space="preserve"> MR:</w:t>
            </w:r>
          </w:p>
          <w:p w14:paraId="1C8F7124"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 xml:space="preserve">   </w:t>
            </w:r>
            <w:proofErr w:type="spellStart"/>
            <w:r w:rsidRPr="002E205C">
              <w:rPr>
                <w:rFonts w:eastAsia="Times New Roman"/>
                <w:sz w:val="18"/>
                <w:szCs w:val="18"/>
                <w:lang w:eastAsia="en-GB"/>
              </w:rPr>
              <w:t>i</w:t>
            </w:r>
            <w:proofErr w:type="spellEnd"/>
            <w:r w:rsidRPr="002E205C">
              <w:rPr>
                <w:rFonts w:eastAsia="Times New Roman"/>
                <w:sz w:val="18"/>
                <w:szCs w:val="18"/>
                <w:lang w:eastAsia="en-GB"/>
              </w:rPr>
              <w:t>.  Provide justification of the similarity of the genetic variant-exposure associations between the exposure and outcome samples</w:t>
            </w:r>
          </w:p>
          <w:p w14:paraId="45F439EF"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 xml:space="preserve">   ii.  Provide information on the number of individuals who overlap between the exposure and outcome studies</w:t>
            </w:r>
          </w:p>
        </w:tc>
        <w:tc>
          <w:tcPr>
            <w:tcW w:w="720" w:type="dxa"/>
            <w:shd w:val="clear" w:color="auto" w:fill="EEEEEE"/>
          </w:tcPr>
          <w:p w14:paraId="455F6715" w14:textId="72175ABD" w:rsidR="007968F8" w:rsidRPr="00A1236D" w:rsidRDefault="00897BA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5</w:t>
            </w:r>
          </w:p>
        </w:tc>
        <w:tc>
          <w:tcPr>
            <w:tcW w:w="4320" w:type="dxa"/>
            <w:shd w:val="clear" w:color="auto" w:fill="EEEEEE"/>
          </w:tcPr>
          <w:p w14:paraId="780261A0"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B57151">
              <w:rPr>
                <w:rFonts w:eastAsia="Times New Roman"/>
                <w:sz w:val="18"/>
                <w:szCs w:val="18"/>
                <w:lang w:eastAsia="en-GB"/>
              </w:rPr>
              <w:t>We used a two-sample MR framework to assess the genetically predicted effects of BMI, WHR and waist circumference on the risk of HNC and its subsites (oral, laryngeal, hypopharyngeal and oropharyngeal cancers) among individuals of European ancestry.</w:t>
            </w:r>
            <w:r>
              <w:rPr>
                <w:rFonts w:eastAsia="Times New Roman"/>
                <w:sz w:val="18"/>
                <w:szCs w:val="18"/>
                <w:lang w:eastAsia="en-GB"/>
              </w:rPr>
              <w:t>”</w:t>
            </w:r>
          </w:p>
          <w:p w14:paraId="0E681E88"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35016D">
              <w:rPr>
                <w:rFonts w:eastAsia="Times New Roman"/>
                <w:sz w:val="18"/>
                <w:szCs w:val="18"/>
                <w:lang w:eastAsia="en-GB"/>
              </w:rPr>
              <w:t xml:space="preserve">GWAS summary statistics for HNC were obtained from a European </w:t>
            </w:r>
            <w:proofErr w:type="spellStart"/>
            <w:r w:rsidRPr="0035016D">
              <w:rPr>
                <w:rFonts w:eastAsia="Times New Roman"/>
                <w:sz w:val="18"/>
                <w:szCs w:val="18"/>
                <w:lang w:eastAsia="en-GB"/>
              </w:rPr>
              <w:t>HEADSpAcE</w:t>
            </w:r>
            <w:proofErr w:type="spellEnd"/>
            <w:r w:rsidRPr="0035016D">
              <w:rPr>
                <w:rFonts w:eastAsia="Times New Roman"/>
                <w:sz w:val="18"/>
                <w:szCs w:val="18"/>
                <w:lang w:eastAsia="en-GB"/>
              </w:rPr>
              <w:t xml:space="preserve"> consortium GWAS that excluded UK Biobank participants (N=31,523, including 12,264 cases and 19,259 controls) to avoid overlapping samples across the exposure and outcome datasets.</w:t>
            </w:r>
            <w:r>
              <w:rPr>
                <w:rFonts w:eastAsia="Times New Roman"/>
                <w:sz w:val="18"/>
                <w:szCs w:val="18"/>
                <w:lang w:eastAsia="en-GB"/>
              </w:rPr>
              <w:t>”</w:t>
            </w:r>
          </w:p>
        </w:tc>
      </w:tr>
      <w:tr w:rsidR="007968F8" w:rsidRPr="00B853C6" w14:paraId="45975DF4" w14:textId="77777777" w:rsidTr="001479FF">
        <w:tc>
          <w:tcPr>
            <w:tcW w:w="587" w:type="dxa"/>
            <w:shd w:val="clear" w:color="auto" w:fill="auto"/>
          </w:tcPr>
          <w:p w14:paraId="6D221804"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11</w:t>
            </w:r>
          </w:p>
        </w:tc>
        <w:tc>
          <w:tcPr>
            <w:tcW w:w="1822" w:type="dxa"/>
            <w:shd w:val="clear" w:color="auto" w:fill="auto"/>
          </w:tcPr>
          <w:p w14:paraId="50003D20"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Main results</w:t>
            </w:r>
          </w:p>
        </w:tc>
        <w:tc>
          <w:tcPr>
            <w:tcW w:w="7041" w:type="dxa"/>
            <w:shd w:val="clear" w:color="auto" w:fill="auto"/>
          </w:tcPr>
          <w:p w14:paraId="3435CF37"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Pr>
          <w:p w14:paraId="0F5B3B9D"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tcPr>
          <w:p w14:paraId="3A0AA637"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3CEDC99C" w14:textId="77777777" w:rsidTr="001479FF">
        <w:tc>
          <w:tcPr>
            <w:tcW w:w="587" w:type="dxa"/>
            <w:shd w:val="clear" w:color="auto" w:fill="EEEEEE"/>
          </w:tcPr>
          <w:p w14:paraId="5AFC288A"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16AC1A3D"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EEEEEE"/>
          </w:tcPr>
          <w:p w14:paraId="63776369"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the associations between genetic variant and exposure, and between genetic variant and outcome, preferably on an interpretable scale</w:t>
            </w:r>
          </w:p>
        </w:tc>
        <w:tc>
          <w:tcPr>
            <w:tcW w:w="720" w:type="dxa"/>
            <w:shd w:val="clear" w:color="auto" w:fill="EEEEEE"/>
          </w:tcPr>
          <w:p w14:paraId="762D9765"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Supplementary Tables</w:t>
            </w:r>
          </w:p>
        </w:tc>
        <w:tc>
          <w:tcPr>
            <w:tcW w:w="4320" w:type="dxa"/>
            <w:shd w:val="clear" w:color="auto" w:fill="EEEEEE"/>
          </w:tcPr>
          <w:p w14:paraId="4E15FF3E"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Supplementary Tables 1-6</w:t>
            </w:r>
          </w:p>
        </w:tc>
      </w:tr>
      <w:tr w:rsidR="007968F8" w:rsidRPr="00B853C6" w14:paraId="6CC694F5" w14:textId="77777777" w:rsidTr="001479FF">
        <w:tc>
          <w:tcPr>
            <w:tcW w:w="587" w:type="dxa"/>
            <w:shd w:val="clear" w:color="auto" w:fill="auto"/>
          </w:tcPr>
          <w:p w14:paraId="095C4895"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3459269D"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auto"/>
          </w:tcPr>
          <w:p w14:paraId="5B2B2E80"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MR estimates of the relationship between exposure and outcome, and the measures of uncertainty from the MR analysis, on an interpretable scale, such as odds ratio or relative risk per SD difference</w:t>
            </w:r>
          </w:p>
        </w:tc>
        <w:tc>
          <w:tcPr>
            <w:tcW w:w="720" w:type="dxa"/>
          </w:tcPr>
          <w:p w14:paraId="22A3B9B2" w14:textId="47AE4445" w:rsidR="007968F8" w:rsidRPr="00A1236D" w:rsidRDefault="00D9118D"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A10876">
              <w:rPr>
                <w:rFonts w:eastAsia="Times New Roman"/>
                <w:sz w:val="18"/>
                <w:szCs w:val="18"/>
                <w:lang w:eastAsia="en-GB"/>
              </w:rPr>
              <w:t>4</w:t>
            </w:r>
            <w:r w:rsidR="007968F8">
              <w:rPr>
                <w:rFonts w:eastAsia="Times New Roman"/>
                <w:sz w:val="18"/>
                <w:szCs w:val="18"/>
                <w:lang w:eastAsia="en-GB"/>
              </w:rPr>
              <w:t>-</w:t>
            </w:r>
            <w:r>
              <w:rPr>
                <w:rFonts w:eastAsia="Times New Roman"/>
                <w:sz w:val="18"/>
                <w:szCs w:val="18"/>
                <w:lang w:eastAsia="en-GB"/>
              </w:rPr>
              <w:t>15</w:t>
            </w:r>
          </w:p>
        </w:tc>
        <w:tc>
          <w:tcPr>
            <w:tcW w:w="4320" w:type="dxa"/>
          </w:tcPr>
          <w:p w14:paraId="7E17A94B"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2601C8">
              <w:rPr>
                <w:rFonts w:eastAsia="Times New Roman"/>
                <w:sz w:val="18"/>
                <w:szCs w:val="18"/>
                <w:lang w:eastAsia="en-GB"/>
              </w:rPr>
              <w:t>Genetically predicted effects of BMI, WHR and waist circumference on HNC risk</w:t>
            </w:r>
            <w:r>
              <w:rPr>
                <w:rFonts w:eastAsia="Times New Roman"/>
                <w:sz w:val="18"/>
                <w:szCs w:val="18"/>
                <w:lang w:eastAsia="en-GB"/>
              </w:rPr>
              <w:t>” subsection and Supplementary Table 7</w:t>
            </w:r>
          </w:p>
        </w:tc>
      </w:tr>
      <w:tr w:rsidR="007968F8" w:rsidRPr="00B853C6" w14:paraId="7D6553F2" w14:textId="77777777" w:rsidTr="001479FF">
        <w:tc>
          <w:tcPr>
            <w:tcW w:w="587" w:type="dxa"/>
            <w:shd w:val="clear" w:color="auto" w:fill="EEEEEE"/>
          </w:tcPr>
          <w:p w14:paraId="194D7ECE"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4D066BCB"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EEEEEE"/>
          </w:tcPr>
          <w:p w14:paraId="0A62251D"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 xml:space="preserve">If relevant, consider translating estimates of relative risk into absolute risk for a meaningful </w:t>
            </w:r>
            <w:proofErr w:type="gramStart"/>
            <w:r w:rsidRPr="002E205C">
              <w:rPr>
                <w:rFonts w:eastAsia="Times New Roman"/>
                <w:sz w:val="18"/>
                <w:szCs w:val="18"/>
                <w:lang w:eastAsia="en-GB"/>
              </w:rPr>
              <w:t>time period</w:t>
            </w:r>
            <w:proofErr w:type="gramEnd"/>
          </w:p>
        </w:tc>
        <w:tc>
          <w:tcPr>
            <w:tcW w:w="720" w:type="dxa"/>
            <w:shd w:val="clear" w:color="auto" w:fill="EEEEEE"/>
          </w:tcPr>
          <w:p w14:paraId="72367F42"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shd w:val="clear" w:color="auto" w:fill="EEEEEE"/>
          </w:tcPr>
          <w:p w14:paraId="2FBCE9E2"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53865BC4" w14:textId="77777777" w:rsidTr="001479FF">
        <w:tc>
          <w:tcPr>
            <w:tcW w:w="587" w:type="dxa"/>
            <w:shd w:val="clear" w:color="auto" w:fill="auto"/>
          </w:tcPr>
          <w:p w14:paraId="33526ABE"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7BD5D05D"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d)</w:t>
            </w:r>
          </w:p>
        </w:tc>
        <w:tc>
          <w:tcPr>
            <w:tcW w:w="7041" w:type="dxa"/>
            <w:shd w:val="clear" w:color="auto" w:fill="auto"/>
          </w:tcPr>
          <w:p w14:paraId="54A77BB7"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Consider plots to visualize results (e.g. forest plot, scatterplot of associations between genetic variants and outcome versus between genetic variants and exposure)</w:t>
            </w:r>
          </w:p>
        </w:tc>
        <w:tc>
          <w:tcPr>
            <w:tcW w:w="720" w:type="dxa"/>
          </w:tcPr>
          <w:p w14:paraId="3842061B"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Figures</w:t>
            </w:r>
          </w:p>
        </w:tc>
        <w:tc>
          <w:tcPr>
            <w:tcW w:w="4320" w:type="dxa"/>
          </w:tcPr>
          <w:p w14:paraId="57F0FF7E" w14:textId="7196FFA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 xml:space="preserve">Figures 1-3 and Supplementary Figures </w:t>
            </w:r>
            <w:r w:rsidR="000B6797">
              <w:rPr>
                <w:rFonts w:eastAsia="Times New Roman"/>
                <w:sz w:val="18"/>
                <w:szCs w:val="18"/>
                <w:lang w:eastAsia="en-GB"/>
              </w:rPr>
              <w:t>3</w:t>
            </w:r>
            <w:r>
              <w:rPr>
                <w:rFonts w:eastAsia="Times New Roman"/>
                <w:sz w:val="18"/>
                <w:szCs w:val="18"/>
                <w:lang w:eastAsia="en-GB"/>
              </w:rPr>
              <w:t>-</w:t>
            </w:r>
            <w:r w:rsidR="000B6797">
              <w:rPr>
                <w:rFonts w:eastAsia="Times New Roman"/>
                <w:sz w:val="18"/>
                <w:szCs w:val="18"/>
                <w:lang w:eastAsia="en-GB"/>
              </w:rPr>
              <w:t>5</w:t>
            </w:r>
          </w:p>
        </w:tc>
      </w:tr>
      <w:tr w:rsidR="007968F8" w:rsidRPr="00B853C6" w14:paraId="7F4E4FB4" w14:textId="77777777" w:rsidTr="001479FF">
        <w:tc>
          <w:tcPr>
            <w:tcW w:w="587" w:type="dxa"/>
            <w:shd w:val="clear" w:color="auto" w:fill="EEEEEE"/>
          </w:tcPr>
          <w:p w14:paraId="647B439F"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12</w:t>
            </w:r>
          </w:p>
        </w:tc>
        <w:tc>
          <w:tcPr>
            <w:tcW w:w="1822" w:type="dxa"/>
            <w:shd w:val="clear" w:color="auto" w:fill="EEEEEE"/>
          </w:tcPr>
          <w:p w14:paraId="67DE074C"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Assessment of assumptions</w:t>
            </w:r>
          </w:p>
        </w:tc>
        <w:tc>
          <w:tcPr>
            <w:tcW w:w="7041" w:type="dxa"/>
            <w:shd w:val="clear" w:color="auto" w:fill="EEEEEE"/>
          </w:tcPr>
          <w:p w14:paraId="4BCAD4F6"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shd w:val="clear" w:color="auto" w:fill="EEEEEE"/>
          </w:tcPr>
          <w:p w14:paraId="3F58BFDA"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shd w:val="clear" w:color="auto" w:fill="EEEEEE"/>
          </w:tcPr>
          <w:p w14:paraId="4AC4E9E8"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1A47DF2A" w14:textId="77777777" w:rsidTr="001479FF">
        <w:tc>
          <w:tcPr>
            <w:tcW w:w="587" w:type="dxa"/>
            <w:shd w:val="clear" w:color="auto" w:fill="auto"/>
          </w:tcPr>
          <w:p w14:paraId="7A54B834"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1F2BA0FF"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auto"/>
          </w:tcPr>
          <w:p w14:paraId="67CC2516"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the assessment of the validity of the assumptions</w:t>
            </w:r>
          </w:p>
        </w:tc>
        <w:tc>
          <w:tcPr>
            <w:tcW w:w="720" w:type="dxa"/>
          </w:tcPr>
          <w:p w14:paraId="1DB79DA7" w14:textId="600617FC" w:rsidR="007968F8" w:rsidRPr="00A1236D" w:rsidRDefault="00D9118D"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C229C5">
              <w:rPr>
                <w:rFonts w:eastAsia="Times New Roman"/>
                <w:sz w:val="18"/>
                <w:szCs w:val="18"/>
                <w:lang w:eastAsia="en-GB"/>
              </w:rPr>
              <w:t>3</w:t>
            </w:r>
            <w:r w:rsidR="007968F8">
              <w:rPr>
                <w:rFonts w:eastAsia="Times New Roman"/>
                <w:sz w:val="18"/>
                <w:szCs w:val="18"/>
                <w:lang w:eastAsia="en-GB"/>
              </w:rPr>
              <w:t>-</w:t>
            </w:r>
            <w:r>
              <w:rPr>
                <w:rFonts w:eastAsia="Times New Roman"/>
                <w:sz w:val="18"/>
                <w:szCs w:val="18"/>
                <w:lang w:eastAsia="en-GB"/>
              </w:rPr>
              <w:t>15</w:t>
            </w:r>
          </w:p>
        </w:tc>
        <w:tc>
          <w:tcPr>
            <w:tcW w:w="4320" w:type="dxa"/>
          </w:tcPr>
          <w:p w14:paraId="2827CF49"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003C8E">
              <w:rPr>
                <w:rFonts w:eastAsia="Times New Roman"/>
                <w:sz w:val="18"/>
                <w:szCs w:val="18"/>
                <w:lang w:eastAsia="en-GB"/>
              </w:rPr>
              <w:t>Genetic instruments for BMI, WHR and waist circumference</w:t>
            </w:r>
            <w:r>
              <w:rPr>
                <w:rFonts w:eastAsia="Times New Roman"/>
                <w:sz w:val="18"/>
                <w:szCs w:val="18"/>
                <w:lang w:eastAsia="en-GB"/>
              </w:rPr>
              <w:t>” and “</w:t>
            </w:r>
            <w:r w:rsidRPr="002601C8">
              <w:rPr>
                <w:rFonts w:eastAsia="Times New Roman"/>
                <w:sz w:val="18"/>
                <w:szCs w:val="18"/>
                <w:lang w:eastAsia="en-GB"/>
              </w:rPr>
              <w:t>Genetically predicted effects of BMI, WHR and waist circumference on HNC risk</w:t>
            </w:r>
            <w:r>
              <w:rPr>
                <w:rFonts w:eastAsia="Times New Roman"/>
                <w:sz w:val="18"/>
                <w:szCs w:val="18"/>
                <w:lang w:eastAsia="en-GB"/>
              </w:rPr>
              <w:t>” subsections and Table 2</w:t>
            </w:r>
          </w:p>
        </w:tc>
      </w:tr>
      <w:tr w:rsidR="007968F8" w:rsidRPr="00B853C6" w14:paraId="69D707FB" w14:textId="77777777" w:rsidTr="001479FF">
        <w:tc>
          <w:tcPr>
            <w:tcW w:w="587" w:type="dxa"/>
            <w:shd w:val="clear" w:color="auto" w:fill="EEEEEE"/>
          </w:tcPr>
          <w:p w14:paraId="52491836"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5932B42B"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EEEEEE"/>
          </w:tcPr>
          <w:p w14:paraId="0936CCB0"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 xml:space="preserve">Report any additional statistics (e.g., assessments of heterogeneity across genetic variants, such as </w:t>
            </w:r>
            <w:r w:rsidRPr="002E205C">
              <w:rPr>
                <w:rFonts w:eastAsia="Times New Roman"/>
                <w:i/>
                <w:sz w:val="18"/>
                <w:szCs w:val="18"/>
                <w:lang w:eastAsia="en-GB"/>
              </w:rPr>
              <w:t>I</w:t>
            </w:r>
            <w:r w:rsidRPr="002E205C">
              <w:rPr>
                <w:rFonts w:eastAsia="Times New Roman"/>
                <w:i/>
                <w:sz w:val="18"/>
                <w:szCs w:val="18"/>
                <w:vertAlign w:val="superscript"/>
                <w:lang w:eastAsia="en-GB"/>
              </w:rPr>
              <w:t>2</w:t>
            </w:r>
            <w:r w:rsidRPr="002E205C">
              <w:rPr>
                <w:rFonts w:eastAsia="Times New Roman"/>
                <w:sz w:val="18"/>
                <w:szCs w:val="18"/>
                <w:lang w:eastAsia="en-GB"/>
              </w:rPr>
              <w:t>, Q statistic or E-value)</w:t>
            </w:r>
          </w:p>
        </w:tc>
        <w:tc>
          <w:tcPr>
            <w:tcW w:w="720" w:type="dxa"/>
            <w:shd w:val="clear" w:color="auto" w:fill="EEEEEE"/>
          </w:tcPr>
          <w:p w14:paraId="1657211B" w14:textId="26FA115B" w:rsidR="007968F8" w:rsidRPr="00A1236D" w:rsidRDefault="004210D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9C0EA1">
              <w:rPr>
                <w:rFonts w:eastAsia="Times New Roman"/>
                <w:sz w:val="18"/>
                <w:szCs w:val="18"/>
                <w:lang w:eastAsia="en-GB"/>
              </w:rPr>
              <w:t>4</w:t>
            </w:r>
            <w:r>
              <w:rPr>
                <w:rFonts w:eastAsia="Times New Roman"/>
                <w:sz w:val="18"/>
                <w:szCs w:val="18"/>
                <w:lang w:eastAsia="en-GB"/>
              </w:rPr>
              <w:t>-15</w:t>
            </w:r>
          </w:p>
        </w:tc>
        <w:tc>
          <w:tcPr>
            <w:tcW w:w="4320" w:type="dxa"/>
            <w:shd w:val="clear" w:color="auto" w:fill="EEEEEE"/>
          </w:tcPr>
          <w:p w14:paraId="279DBFE2"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2601C8">
              <w:rPr>
                <w:rFonts w:eastAsia="Times New Roman"/>
                <w:sz w:val="18"/>
                <w:szCs w:val="18"/>
                <w:lang w:eastAsia="en-GB"/>
              </w:rPr>
              <w:t>Genetically predicted effects of BMI, WHR and waist circumference on HNC risk</w:t>
            </w:r>
            <w:r>
              <w:rPr>
                <w:rFonts w:eastAsia="Times New Roman"/>
                <w:sz w:val="18"/>
                <w:szCs w:val="18"/>
                <w:lang w:eastAsia="en-GB"/>
              </w:rPr>
              <w:t>” subsection Supplementary Tables 8-9</w:t>
            </w:r>
          </w:p>
        </w:tc>
      </w:tr>
      <w:tr w:rsidR="007968F8" w:rsidRPr="00B853C6" w14:paraId="2F6B92C8" w14:textId="77777777" w:rsidTr="001479FF">
        <w:tc>
          <w:tcPr>
            <w:tcW w:w="587" w:type="dxa"/>
            <w:shd w:val="clear" w:color="auto" w:fill="auto"/>
          </w:tcPr>
          <w:p w14:paraId="795A21F0"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13</w:t>
            </w:r>
          </w:p>
        </w:tc>
        <w:tc>
          <w:tcPr>
            <w:tcW w:w="1822" w:type="dxa"/>
            <w:shd w:val="clear" w:color="auto" w:fill="auto"/>
          </w:tcPr>
          <w:p w14:paraId="11D4FAC3"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Sensitivity analyses and additional analyses</w:t>
            </w:r>
          </w:p>
        </w:tc>
        <w:tc>
          <w:tcPr>
            <w:tcW w:w="7041" w:type="dxa"/>
            <w:shd w:val="clear" w:color="auto" w:fill="auto"/>
          </w:tcPr>
          <w:p w14:paraId="32A4C702"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Pr>
          <w:p w14:paraId="76736C18"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tcPr>
          <w:p w14:paraId="4506C2CA"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6777C187" w14:textId="77777777" w:rsidTr="001479FF">
        <w:tc>
          <w:tcPr>
            <w:tcW w:w="587" w:type="dxa"/>
            <w:shd w:val="clear" w:color="auto" w:fill="EEEEEE"/>
          </w:tcPr>
          <w:p w14:paraId="4CEABC80"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644E5D07"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EEEEEE"/>
          </w:tcPr>
          <w:p w14:paraId="2D53D047"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any sensitivity analyses to assess the robustness of the main results to violations of the assumptions</w:t>
            </w:r>
          </w:p>
        </w:tc>
        <w:tc>
          <w:tcPr>
            <w:tcW w:w="720" w:type="dxa"/>
            <w:shd w:val="clear" w:color="auto" w:fill="EEEEEE"/>
          </w:tcPr>
          <w:p w14:paraId="0369FB81" w14:textId="487CC0D9" w:rsidR="007968F8" w:rsidRPr="00A1236D" w:rsidRDefault="00190A33"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9C0EA1">
              <w:rPr>
                <w:rFonts w:eastAsia="Times New Roman"/>
                <w:sz w:val="18"/>
                <w:szCs w:val="18"/>
                <w:lang w:eastAsia="en-GB"/>
              </w:rPr>
              <w:t>4</w:t>
            </w:r>
            <w:r w:rsidR="007968F8">
              <w:rPr>
                <w:rFonts w:eastAsia="Times New Roman"/>
                <w:sz w:val="18"/>
                <w:szCs w:val="18"/>
                <w:lang w:eastAsia="en-GB"/>
              </w:rPr>
              <w:t>-</w:t>
            </w:r>
            <w:r>
              <w:rPr>
                <w:rFonts w:eastAsia="Times New Roman"/>
                <w:sz w:val="18"/>
                <w:szCs w:val="18"/>
                <w:lang w:eastAsia="en-GB"/>
              </w:rPr>
              <w:t>15</w:t>
            </w:r>
          </w:p>
        </w:tc>
        <w:tc>
          <w:tcPr>
            <w:tcW w:w="4320" w:type="dxa"/>
            <w:shd w:val="clear" w:color="auto" w:fill="EEEEEE"/>
          </w:tcPr>
          <w:p w14:paraId="13E230D3"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2601C8">
              <w:rPr>
                <w:rFonts w:eastAsia="Times New Roman"/>
                <w:sz w:val="18"/>
                <w:szCs w:val="18"/>
                <w:lang w:eastAsia="en-GB"/>
              </w:rPr>
              <w:t>Genetically predicted effects of BMI, WHR and waist circumference on HNC risk</w:t>
            </w:r>
            <w:r>
              <w:rPr>
                <w:rFonts w:eastAsia="Times New Roman"/>
                <w:sz w:val="18"/>
                <w:szCs w:val="18"/>
                <w:lang w:eastAsia="en-GB"/>
              </w:rPr>
              <w:t>” subsection</w:t>
            </w:r>
          </w:p>
        </w:tc>
      </w:tr>
      <w:tr w:rsidR="007968F8" w:rsidRPr="00B853C6" w14:paraId="660B1C82" w14:textId="77777777" w:rsidTr="001479FF">
        <w:tc>
          <w:tcPr>
            <w:tcW w:w="587" w:type="dxa"/>
            <w:shd w:val="clear" w:color="auto" w:fill="auto"/>
          </w:tcPr>
          <w:p w14:paraId="78483EB1"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069A06AA"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auto"/>
          </w:tcPr>
          <w:p w14:paraId="5DFE4CB2"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Report results from other sensitivity analyses or additional analyses</w:t>
            </w:r>
          </w:p>
        </w:tc>
        <w:tc>
          <w:tcPr>
            <w:tcW w:w="720" w:type="dxa"/>
          </w:tcPr>
          <w:p w14:paraId="7FD1378E" w14:textId="681CE34A" w:rsidR="007968F8" w:rsidRPr="00A1236D" w:rsidRDefault="00190A33"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F6709B">
              <w:rPr>
                <w:rFonts w:eastAsia="Times New Roman"/>
                <w:sz w:val="18"/>
                <w:szCs w:val="18"/>
                <w:lang w:eastAsia="en-GB"/>
              </w:rPr>
              <w:t>6</w:t>
            </w:r>
            <w:r w:rsidR="007968F8">
              <w:rPr>
                <w:rFonts w:eastAsia="Times New Roman"/>
                <w:sz w:val="18"/>
                <w:szCs w:val="18"/>
                <w:lang w:eastAsia="en-GB"/>
              </w:rPr>
              <w:t>-1</w:t>
            </w:r>
            <w:r w:rsidR="00B50A00">
              <w:rPr>
                <w:rFonts w:eastAsia="Times New Roman"/>
                <w:sz w:val="18"/>
                <w:szCs w:val="18"/>
                <w:lang w:eastAsia="en-GB"/>
              </w:rPr>
              <w:t>8</w:t>
            </w:r>
          </w:p>
        </w:tc>
        <w:tc>
          <w:tcPr>
            <w:tcW w:w="4320" w:type="dxa"/>
          </w:tcPr>
          <w:p w14:paraId="184D3C33"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6F23E9">
              <w:rPr>
                <w:rFonts w:eastAsia="Times New Roman"/>
                <w:sz w:val="18"/>
                <w:szCs w:val="18"/>
                <w:lang w:eastAsia="en-GB"/>
              </w:rPr>
              <w:t>MVMR estimates for BMI on HNC risk after accounting for smoking behaviour</w:t>
            </w:r>
            <w:r>
              <w:rPr>
                <w:rFonts w:eastAsia="Times New Roman"/>
                <w:sz w:val="18"/>
                <w:szCs w:val="18"/>
                <w:lang w:eastAsia="en-GB"/>
              </w:rPr>
              <w:t>”, “</w:t>
            </w:r>
            <w:r w:rsidRPr="002A5F95">
              <w:rPr>
                <w:rFonts w:eastAsia="Times New Roman"/>
                <w:sz w:val="18"/>
                <w:szCs w:val="18"/>
                <w:lang w:eastAsia="en-GB"/>
              </w:rPr>
              <w:t>MR estimate for BMI on HNC risk after Steiger filtering SNPs more strongly associated with smoking behaviour than BMI</w:t>
            </w:r>
            <w:r>
              <w:rPr>
                <w:rFonts w:eastAsia="Times New Roman"/>
                <w:sz w:val="18"/>
                <w:szCs w:val="18"/>
                <w:lang w:eastAsia="en-GB"/>
              </w:rPr>
              <w:t>”, “</w:t>
            </w:r>
            <w:r w:rsidRPr="00485CEE">
              <w:rPr>
                <w:rFonts w:eastAsia="Times New Roman"/>
                <w:sz w:val="18"/>
                <w:szCs w:val="18"/>
                <w:lang w:eastAsia="en-GB"/>
              </w:rPr>
              <w:t>CAUSE estimate for BMI on HNC risk</w:t>
            </w:r>
            <w:r>
              <w:rPr>
                <w:rFonts w:eastAsia="Times New Roman"/>
                <w:sz w:val="18"/>
                <w:szCs w:val="18"/>
                <w:lang w:eastAsia="en-GB"/>
              </w:rPr>
              <w:t>” and “</w:t>
            </w:r>
            <w:r w:rsidRPr="00485CEE">
              <w:rPr>
                <w:rFonts w:eastAsia="Times New Roman"/>
                <w:sz w:val="18"/>
                <w:szCs w:val="18"/>
                <w:lang w:eastAsia="en-GB"/>
              </w:rPr>
              <w:t>MR-</w:t>
            </w:r>
            <w:proofErr w:type="spellStart"/>
            <w:r w:rsidRPr="00485CEE">
              <w:rPr>
                <w:rFonts w:eastAsia="Times New Roman"/>
                <w:sz w:val="18"/>
                <w:szCs w:val="18"/>
                <w:lang w:eastAsia="en-GB"/>
              </w:rPr>
              <w:t>Clust</w:t>
            </w:r>
            <w:proofErr w:type="spellEnd"/>
            <w:r w:rsidRPr="00485CEE">
              <w:rPr>
                <w:rFonts w:eastAsia="Times New Roman"/>
                <w:sz w:val="18"/>
                <w:szCs w:val="18"/>
                <w:lang w:eastAsia="en-GB"/>
              </w:rPr>
              <w:t xml:space="preserve"> estimates for the relationship between BMI and HNC risk</w:t>
            </w:r>
            <w:r>
              <w:rPr>
                <w:rFonts w:eastAsia="Times New Roman"/>
                <w:sz w:val="18"/>
                <w:szCs w:val="18"/>
                <w:lang w:eastAsia="en-GB"/>
              </w:rPr>
              <w:t>” and “</w:t>
            </w:r>
            <w:r w:rsidRPr="004C770D">
              <w:rPr>
                <w:rFonts w:eastAsia="Times New Roman"/>
                <w:sz w:val="18"/>
                <w:szCs w:val="18"/>
                <w:lang w:eastAsia="en-GB"/>
              </w:rPr>
              <w:t>Genetically predicted effects of other adiposity-related anthropometric measures on HNC risk</w:t>
            </w:r>
            <w:r>
              <w:rPr>
                <w:rFonts w:eastAsia="Times New Roman"/>
                <w:sz w:val="18"/>
                <w:szCs w:val="18"/>
                <w:lang w:eastAsia="en-GB"/>
              </w:rPr>
              <w:t>” subsections and Supplementary Tables 7-14</w:t>
            </w:r>
          </w:p>
        </w:tc>
      </w:tr>
      <w:tr w:rsidR="007968F8" w:rsidRPr="00B853C6" w14:paraId="1C972CD8" w14:textId="77777777" w:rsidTr="001479FF">
        <w:tc>
          <w:tcPr>
            <w:tcW w:w="587" w:type="dxa"/>
            <w:shd w:val="clear" w:color="auto" w:fill="EEEEEE"/>
          </w:tcPr>
          <w:p w14:paraId="535198F8"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7C663197"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EEEEEE"/>
          </w:tcPr>
          <w:p w14:paraId="77896357"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Report any assessment of direction of causal relationship (e.g., bidirectional MR)</w:t>
            </w:r>
          </w:p>
        </w:tc>
        <w:tc>
          <w:tcPr>
            <w:tcW w:w="720" w:type="dxa"/>
            <w:shd w:val="clear" w:color="auto" w:fill="EEEEEE"/>
          </w:tcPr>
          <w:p w14:paraId="6CB4F99D"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shd w:val="clear" w:color="auto" w:fill="EEEEEE"/>
          </w:tcPr>
          <w:p w14:paraId="75D8E35C"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4FD31268" w14:textId="77777777" w:rsidTr="001479FF">
        <w:tc>
          <w:tcPr>
            <w:tcW w:w="587" w:type="dxa"/>
            <w:shd w:val="clear" w:color="auto" w:fill="auto"/>
          </w:tcPr>
          <w:p w14:paraId="6EA02E03"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1212173D"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d)</w:t>
            </w:r>
          </w:p>
        </w:tc>
        <w:tc>
          <w:tcPr>
            <w:tcW w:w="7041" w:type="dxa"/>
            <w:shd w:val="clear" w:color="auto" w:fill="auto"/>
          </w:tcPr>
          <w:p w14:paraId="5B12333C"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When relevant, report and compare with estimates from non-MR analyses</w:t>
            </w:r>
          </w:p>
        </w:tc>
        <w:tc>
          <w:tcPr>
            <w:tcW w:w="720" w:type="dxa"/>
          </w:tcPr>
          <w:p w14:paraId="644467DA"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tcPr>
          <w:p w14:paraId="2F50F4FB"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0BC9DA7A" w14:textId="77777777" w:rsidTr="001479FF">
        <w:tc>
          <w:tcPr>
            <w:tcW w:w="587" w:type="dxa"/>
            <w:tcBorders>
              <w:bottom w:val="single" w:sz="6" w:space="0" w:color="7F7F7F"/>
            </w:tcBorders>
            <w:shd w:val="clear" w:color="auto" w:fill="EEEEEE"/>
          </w:tcPr>
          <w:p w14:paraId="6F75F5B9"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tcBorders>
              <w:bottom w:val="single" w:sz="6" w:space="0" w:color="7F7F7F"/>
            </w:tcBorders>
            <w:shd w:val="clear" w:color="auto" w:fill="EEEEEE"/>
          </w:tcPr>
          <w:p w14:paraId="1B60A129"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e)</w:t>
            </w:r>
          </w:p>
        </w:tc>
        <w:tc>
          <w:tcPr>
            <w:tcW w:w="7041" w:type="dxa"/>
            <w:tcBorders>
              <w:bottom w:val="single" w:sz="6" w:space="0" w:color="7F7F7F"/>
            </w:tcBorders>
            <w:shd w:val="clear" w:color="auto" w:fill="EEEEEE"/>
          </w:tcPr>
          <w:p w14:paraId="65136B8C"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Consider additional plots to visualize results (e.g., leave-one-out analyses)</w:t>
            </w:r>
          </w:p>
        </w:tc>
        <w:tc>
          <w:tcPr>
            <w:tcW w:w="720" w:type="dxa"/>
            <w:tcBorders>
              <w:bottom w:val="single" w:sz="6" w:space="0" w:color="7F7F7F"/>
            </w:tcBorders>
            <w:shd w:val="clear" w:color="auto" w:fill="EEEEEE"/>
          </w:tcPr>
          <w:p w14:paraId="3511C8E7"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Figures</w:t>
            </w:r>
          </w:p>
        </w:tc>
        <w:tc>
          <w:tcPr>
            <w:tcW w:w="4320" w:type="dxa"/>
            <w:tcBorders>
              <w:bottom w:val="single" w:sz="6" w:space="0" w:color="7F7F7F"/>
            </w:tcBorders>
            <w:shd w:val="clear" w:color="auto" w:fill="EEEEEE"/>
          </w:tcPr>
          <w:p w14:paraId="0655271B" w14:textId="689D864A"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 xml:space="preserve">Figures 4-5 and Supplementary Figures </w:t>
            </w:r>
            <w:r w:rsidR="000B6797">
              <w:rPr>
                <w:rFonts w:eastAsia="Times New Roman"/>
                <w:sz w:val="18"/>
                <w:szCs w:val="18"/>
                <w:lang w:eastAsia="en-GB"/>
              </w:rPr>
              <w:t>6</w:t>
            </w:r>
            <w:r>
              <w:rPr>
                <w:rFonts w:eastAsia="Times New Roman"/>
                <w:sz w:val="18"/>
                <w:szCs w:val="18"/>
                <w:lang w:eastAsia="en-GB"/>
              </w:rPr>
              <w:t>-1</w:t>
            </w:r>
            <w:r w:rsidR="000B6797">
              <w:rPr>
                <w:rFonts w:eastAsia="Times New Roman"/>
                <w:sz w:val="18"/>
                <w:szCs w:val="18"/>
                <w:lang w:eastAsia="en-GB"/>
              </w:rPr>
              <w:t>2</w:t>
            </w:r>
          </w:p>
        </w:tc>
      </w:tr>
      <w:tr w:rsidR="007968F8" w:rsidRPr="00B853C6" w14:paraId="40FF42AD" w14:textId="77777777" w:rsidTr="001479FF">
        <w:tc>
          <w:tcPr>
            <w:tcW w:w="587" w:type="dxa"/>
            <w:tcBorders>
              <w:top w:val="single" w:sz="6" w:space="0" w:color="7F7F7F"/>
            </w:tcBorders>
            <w:shd w:val="clear" w:color="auto" w:fill="auto"/>
          </w:tcPr>
          <w:p w14:paraId="59CF3F7A" w14:textId="77777777" w:rsidR="007968F8" w:rsidRPr="00F0337F" w:rsidRDefault="007968F8" w:rsidP="001479FF">
            <w:pPr>
              <w:spacing w:beforeLines="40" w:before="96" w:afterLines="40" w:after="96" w:line="24" w:lineRule="atLeast"/>
              <w:rPr>
                <w:rFonts w:eastAsia="Times New Roman"/>
                <w:b/>
                <w:bCs/>
                <w:sz w:val="18"/>
                <w:szCs w:val="18"/>
                <w:lang w:eastAsia="en-GB"/>
              </w:rPr>
            </w:pPr>
          </w:p>
        </w:tc>
        <w:tc>
          <w:tcPr>
            <w:tcW w:w="1822" w:type="dxa"/>
            <w:tcBorders>
              <w:top w:val="single" w:sz="6" w:space="0" w:color="7F7F7F"/>
            </w:tcBorders>
            <w:shd w:val="clear" w:color="auto" w:fill="auto"/>
          </w:tcPr>
          <w:p w14:paraId="7EC31E42"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DISCUSSION</w:t>
            </w:r>
          </w:p>
        </w:tc>
        <w:tc>
          <w:tcPr>
            <w:tcW w:w="7041" w:type="dxa"/>
            <w:tcBorders>
              <w:top w:val="single" w:sz="6" w:space="0" w:color="7F7F7F"/>
            </w:tcBorders>
            <w:shd w:val="clear" w:color="auto" w:fill="auto"/>
          </w:tcPr>
          <w:p w14:paraId="1E6CBC3F"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Borders>
              <w:top w:val="single" w:sz="6" w:space="0" w:color="7F7F7F"/>
            </w:tcBorders>
          </w:tcPr>
          <w:p w14:paraId="4C7E7083"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tcBorders>
              <w:top w:val="single" w:sz="6" w:space="0" w:color="7F7F7F"/>
            </w:tcBorders>
          </w:tcPr>
          <w:p w14:paraId="29AF3133"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3C6CB282" w14:textId="77777777" w:rsidTr="001479FF">
        <w:tc>
          <w:tcPr>
            <w:tcW w:w="587" w:type="dxa"/>
            <w:shd w:val="clear" w:color="auto" w:fill="EEEEEE"/>
          </w:tcPr>
          <w:p w14:paraId="1BADB5D3"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lastRenderedPageBreak/>
              <w:t>14</w:t>
            </w:r>
          </w:p>
        </w:tc>
        <w:tc>
          <w:tcPr>
            <w:tcW w:w="1822" w:type="dxa"/>
            <w:shd w:val="clear" w:color="auto" w:fill="EEEEEE"/>
          </w:tcPr>
          <w:p w14:paraId="7225245C"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Key results </w:t>
            </w:r>
          </w:p>
        </w:tc>
        <w:tc>
          <w:tcPr>
            <w:tcW w:w="7041" w:type="dxa"/>
            <w:shd w:val="clear" w:color="auto" w:fill="EEEEEE"/>
          </w:tcPr>
          <w:p w14:paraId="15F0CCEB"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Summarize key results with reference to study objectives</w:t>
            </w:r>
          </w:p>
        </w:tc>
        <w:tc>
          <w:tcPr>
            <w:tcW w:w="720" w:type="dxa"/>
            <w:shd w:val="clear" w:color="auto" w:fill="EEEEEE"/>
          </w:tcPr>
          <w:p w14:paraId="51F211A3" w14:textId="48C11FAD"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683C3D">
              <w:rPr>
                <w:rFonts w:eastAsia="Times New Roman"/>
                <w:sz w:val="18"/>
                <w:szCs w:val="18"/>
                <w:lang w:eastAsia="en-GB"/>
              </w:rPr>
              <w:t>8</w:t>
            </w:r>
          </w:p>
        </w:tc>
        <w:tc>
          <w:tcPr>
            <w:tcW w:w="4320" w:type="dxa"/>
            <w:shd w:val="clear" w:color="auto" w:fill="EEEEEE"/>
          </w:tcPr>
          <w:p w14:paraId="4E9B71E1"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5E3CF2">
              <w:rPr>
                <w:rFonts w:eastAsia="Times New Roman"/>
                <w:sz w:val="18"/>
                <w:szCs w:val="18"/>
                <w:lang w:eastAsia="en-GB"/>
              </w:rPr>
              <w:t>In this MR study</w:t>
            </w:r>
            <w:r>
              <w:rPr>
                <w:rFonts w:eastAsia="Times New Roman"/>
                <w:sz w:val="18"/>
                <w:szCs w:val="18"/>
                <w:lang w:eastAsia="en-GB"/>
              </w:rPr>
              <w:t>… further supported this hypothesis.”</w:t>
            </w:r>
          </w:p>
        </w:tc>
      </w:tr>
      <w:tr w:rsidR="007968F8" w:rsidRPr="00B853C6" w14:paraId="09BD4DA9" w14:textId="77777777" w:rsidTr="001479FF">
        <w:tc>
          <w:tcPr>
            <w:tcW w:w="587" w:type="dxa"/>
            <w:shd w:val="clear" w:color="auto" w:fill="auto"/>
          </w:tcPr>
          <w:p w14:paraId="3109030A"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15</w:t>
            </w:r>
          </w:p>
        </w:tc>
        <w:tc>
          <w:tcPr>
            <w:tcW w:w="1822" w:type="dxa"/>
            <w:shd w:val="clear" w:color="auto" w:fill="auto"/>
          </w:tcPr>
          <w:p w14:paraId="41C659FE"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Limitations</w:t>
            </w:r>
          </w:p>
        </w:tc>
        <w:tc>
          <w:tcPr>
            <w:tcW w:w="7041" w:type="dxa"/>
            <w:shd w:val="clear" w:color="auto" w:fill="auto"/>
          </w:tcPr>
          <w:p w14:paraId="71774A6D"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 xml:space="preserve">Discuss limitations of the study, </w:t>
            </w:r>
            <w:proofErr w:type="gramStart"/>
            <w:r w:rsidRPr="002E205C">
              <w:rPr>
                <w:rFonts w:eastAsia="Times New Roman"/>
                <w:sz w:val="18"/>
                <w:szCs w:val="18"/>
                <w:lang w:eastAsia="en-GB"/>
              </w:rPr>
              <w:t>taking into account</w:t>
            </w:r>
            <w:proofErr w:type="gramEnd"/>
            <w:r w:rsidRPr="002E205C">
              <w:rPr>
                <w:rFonts w:eastAsia="Times New Roman"/>
                <w:sz w:val="18"/>
                <w:szCs w:val="18"/>
                <w:lang w:eastAsia="en-GB"/>
              </w:rPr>
              <w:t xml:space="preserve"> the validity of the IV assumptions, other sources of potential bias, and imprecision. Discuss both direction and magnitude of any potential bias and any efforts to address them</w:t>
            </w:r>
            <w:r w:rsidRPr="002E205C">
              <w:rPr>
                <w:rFonts w:eastAsia="Times New Roman"/>
                <w:sz w:val="18"/>
                <w:szCs w:val="18"/>
                <w:shd w:val="clear" w:color="auto" w:fill="FFFFFF"/>
                <w:lang w:eastAsia="en-GB"/>
              </w:rPr>
              <w:t> </w:t>
            </w:r>
          </w:p>
        </w:tc>
        <w:tc>
          <w:tcPr>
            <w:tcW w:w="720" w:type="dxa"/>
          </w:tcPr>
          <w:p w14:paraId="086F19AF" w14:textId="01AB314C"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B50A00">
              <w:rPr>
                <w:rFonts w:eastAsia="Times New Roman"/>
                <w:sz w:val="18"/>
                <w:szCs w:val="18"/>
                <w:lang w:eastAsia="en-GB"/>
              </w:rPr>
              <w:t>9</w:t>
            </w:r>
            <w:r>
              <w:rPr>
                <w:rFonts w:eastAsia="Times New Roman"/>
                <w:sz w:val="18"/>
                <w:szCs w:val="18"/>
                <w:lang w:eastAsia="en-GB"/>
              </w:rPr>
              <w:t>-</w:t>
            </w:r>
            <w:r w:rsidR="004B71AE">
              <w:rPr>
                <w:rFonts w:eastAsia="Times New Roman"/>
                <w:sz w:val="18"/>
                <w:szCs w:val="18"/>
                <w:lang w:eastAsia="en-GB"/>
              </w:rPr>
              <w:t>2</w:t>
            </w:r>
            <w:r w:rsidR="002917AA">
              <w:rPr>
                <w:rFonts w:eastAsia="Times New Roman"/>
                <w:sz w:val="18"/>
                <w:szCs w:val="18"/>
                <w:lang w:eastAsia="en-GB"/>
              </w:rPr>
              <w:t>1</w:t>
            </w:r>
          </w:p>
        </w:tc>
        <w:tc>
          <w:tcPr>
            <w:tcW w:w="4320" w:type="dxa"/>
          </w:tcPr>
          <w:p w14:paraId="2938F936"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A07F03">
              <w:rPr>
                <w:rFonts w:eastAsia="Times New Roman"/>
                <w:sz w:val="18"/>
                <w:szCs w:val="18"/>
                <w:lang w:eastAsia="en-GB"/>
              </w:rPr>
              <w:t>In our study</w:t>
            </w:r>
            <w:r>
              <w:rPr>
                <w:rFonts w:eastAsia="Times New Roman"/>
                <w:sz w:val="18"/>
                <w:szCs w:val="18"/>
                <w:lang w:eastAsia="en-GB"/>
              </w:rPr>
              <w:t>… influencing the other.”</w:t>
            </w:r>
          </w:p>
        </w:tc>
      </w:tr>
      <w:tr w:rsidR="007968F8" w:rsidRPr="00B853C6" w14:paraId="43CC1070" w14:textId="77777777" w:rsidTr="001479FF">
        <w:tc>
          <w:tcPr>
            <w:tcW w:w="587" w:type="dxa"/>
            <w:shd w:val="clear" w:color="auto" w:fill="EEEEEE"/>
          </w:tcPr>
          <w:p w14:paraId="3E58F2FC"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16</w:t>
            </w:r>
          </w:p>
        </w:tc>
        <w:tc>
          <w:tcPr>
            <w:tcW w:w="1822" w:type="dxa"/>
            <w:shd w:val="clear" w:color="auto" w:fill="EEEEEE"/>
          </w:tcPr>
          <w:p w14:paraId="756E75ED"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Interpretation</w:t>
            </w:r>
          </w:p>
        </w:tc>
        <w:tc>
          <w:tcPr>
            <w:tcW w:w="7041" w:type="dxa"/>
            <w:shd w:val="clear" w:color="auto" w:fill="EEEEEE"/>
          </w:tcPr>
          <w:p w14:paraId="29AEF0C5"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shd w:val="clear" w:color="auto" w:fill="EEEEEE"/>
          </w:tcPr>
          <w:p w14:paraId="37579028" w14:textId="77777777" w:rsidR="007968F8" w:rsidRPr="00A1236D" w:rsidRDefault="007968F8" w:rsidP="001479FF">
            <w:pPr>
              <w:spacing w:beforeLines="40" w:before="96" w:afterLines="40" w:after="96" w:line="24" w:lineRule="atLeast"/>
              <w:rPr>
                <w:rFonts w:eastAsia="Cambria"/>
                <w:sz w:val="18"/>
                <w:szCs w:val="18"/>
                <w:lang w:eastAsia="en-US"/>
              </w:rPr>
            </w:pPr>
          </w:p>
        </w:tc>
        <w:tc>
          <w:tcPr>
            <w:tcW w:w="4320" w:type="dxa"/>
            <w:shd w:val="clear" w:color="auto" w:fill="EEEEEE"/>
          </w:tcPr>
          <w:p w14:paraId="35421929"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03E4AED0" w14:textId="77777777" w:rsidTr="001479FF">
        <w:tc>
          <w:tcPr>
            <w:tcW w:w="587" w:type="dxa"/>
            <w:shd w:val="clear" w:color="auto" w:fill="auto"/>
          </w:tcPr>
          <w:p w14:paraId="069F6AAA"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2CCBA44C"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a)</w:t>
            </w:r>
          </w:p>
        </w:tc>
        <w:tc>
          <w:tcPr>
            <w:tcW w:w="7041" w:type="dxa"/>
            <w:shd w:val="clear" w:color="auto" w:fill="auto"/>
          </w:tcPr>
          <w:p w14:paraId="1B6AB55A"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 xml:space="preserve">Meaning: Give a cautious overall interpretation of results in the context of their limitations </w:t>
            </w:r>
            <w:proofErr w:type="gramStart"/>
            <w:r w:rsidRPr="002E205C">
              <w:rPr>
                <w:rFonts w:eastAsia="Times New Roman"/>
                <w:sz w:val="18"/>
                <w:szCs w:val="18"/>
                <w:lang w:eastAsia="en-GB"/>
              </w:rPr>
              <w:t xml:space="preserve">and in comparison </w:t>
            </w:r>
            <w:proofErr w:type="gramEnd"/>
            <w:r w:rsidRPr="002E205C">
              <w:rPr>
                <w:rFonts w:eastAsia="Times New Roman"/>
                <w:sz w:val="18"/>
                <w:szCs w:val="18"/>
                <w:lang w:eastAsia="en-GB"/>
              </w:rPr>
              <w:t>with other studies</w:t>
            </w:r>
          </w:p>
        </w:tc>
        <w:tc>
          <w:tcPr>
            <w:tcW w:w="720" w:type="dxa"/>
          </w:tcPr>
          <w:p w14:paraId="67BC0AF2" w14:textId="3F1C1A2D"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1</w:t>
            </w:r>
            <w:r w:rsidR="004B71AE">
              <w:rPr>
                <w:rFonts w:eastAsia="Times New Roman"/>
                <w:sz w:val="18"/>
                <w:szCs w:val="18"/>
                <w:lang w:eastAsia="en-GB"/>
              </w:rPr>
              <w:t>8</w:t>
            </w:r>
            <w:r>
              <w:rPr>
                <w:rFonts w:eastAsia="Times New Roman"/>
                <w:sz w:val="18"/>
                <w:szCs w:val="18"/>
                <w:lang w:eastAsia="en-GB"/>
              </w:rPr>
              <w:t>-</w:t>
            </w:r>
            <w:r w:rsidR="00A62994">
              <w:rPr>
                <w:rFonts w:eastAsia="Times New Roman"/>
                <w:sz w:val="18"/>
                <w:szCs w:val="18"/>
                <w:lang w:eastAsia="en-GB"/>
              </w:rPr>
              <w:t>2</w:t>
            </w:r>
            <w:r w:rsidR="004B71AE">
              <w:rPr>
                <w:rFonts w:eastAsia="Times New Roman"/>
                <w:sz w:val="18"/>
                <w:szCs w:val="18"/>
                <w:lang w:eastAsia="en-GB"/>
              </w:rPr>
              <w:t>1</w:t>
            </w:r>
          </w:p>
        </w:tc>
        <w:tc>
          <w:tcPr>
            <w:tcW w:w="4320" w:type="dxa"/>
          </w:tcPr>
          <w:p w14:paraId="33FCCA2B" w14:textId="5BB100C0"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“Discussion</w:t>
            </w:r>
            <w:r w:rsidR="000D1CFA">
              <w:rPr>
                <w:rFonts w:eastAsia="Times New Roman"/>
                <w:sz w:val="18"/>
                <w:szCs w:val="18"/>
                <w:lang w:eastAsia="en-GB"/>
              </w:rPr>
              <w:t>” and “Conclusions”</w:t>
            </w:r>
            <w:r>
              <w:rPr>
                <w:rFonts w:eastAsia="Times New Roman"/>
                <w:sz w:val="18"/>
                <w:szCs w:val="18"/>
                <w:lang w:eastAsia="en-GB"/>
              </w:rPr>
              <w:t xml:space="preserve"> section</w:t>
            </w:r>
            <w:r w:rsidR="000D1CFA">
              <w:rPr>
                <w:rFonts w:eastAsia="Times New Roman"/>
                <w:sz w:val="18"/>
                <w:szCs w:val="18"/>
                <w:lang w:eastAsia="en-GB"/>
              </w:rPr>
              <w:t>s</w:t>
            </w:r>
          </w:p>
        </w:tc>
      </w:tr>
      <w:tr w:rsidR="007968F8" w:rsidRPr="00B853C6" w14:paraId="2B27ABC1" w14:textId="77777777" w:rsidTr="001479FF">
        <w:tc>
          <w:tcPr>
            <w:tcW w:w="587" w:type="dxa"/>
            <w:shd w:val="clear" w:color="auto" w:fill="EEEEEE"/>
          </w:tcPr>
          <w:p w14:paraId="77131735"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EEEEEE"/>
          </w:tcPr>
          <w:p w14:paraId="326E4E8E"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b)</w:t>
            </w:r>
          </w:p>
        </w:tc>
        <w:tc>
          <w:tcPr>
            <w:tcW w:w="7041" w:type="dxa"/>
            <w:shd w:val="clear" w:color="auto" w:fill="EEEEEE"/>
          </w:tcPr>
          <w:p w14:paraId="4CC872A1"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720" w:type="dxa"/>
            <w:shd w:val="clear" w:color="auto" w:fill="EEEEEE"/>
          </w:tcPr>
          <w:p w14:paraId="40E26A8C" w14:textId="77777777" w:rsidR="007968F8" w:rsidRPr="00A1236D"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NA</w:t>
            </w:r>
          </w:p>
        </w:tc>
        <w:tc>
          <w:tcPr>
            <w:tcW w:w="4320" w:type="dxa"/>
            <w:shd w:val="clear" w:color="auto" w:fill="EEEEEE"/>
          </w:tcPr>
          <w:p w14:paraId="491E5174" w14:textId="77777777" w:rsidR="007968F8" w:rsidRDefault="007968F8" w:rsidP="001479FF">
            <w:pPr>
              <w:spacing w:beforeLines="40" w:before="96" w:afterLines="40" w:after="96" w:line="24" w:lineRule="atLeast"/>
              <w:rPr>
                <w:rFonts w:eastAsia="Times New Roman"/>
                <w:sz w:val="18"/>
                <w:szCs w:val="18"/>
                <w:lang w:eastAsia="en-GB"/>
              </w:rPr>
            </w:pPr>
          </w:p>
        </w:tc>
      </w:tr>
      <w:tr w:rsidR="007968F8" w:rsidRPr="00B853C6" w14:paraId="34653E8C" w14:textId="77777777" w:rsidTr="001479FF">
        <w:tc>
          <w:tcPr>
            <w:tcW w:w="587" w:type="dxa"/>
            <w:shd w:val="clear" w:color="auto" w:fill="auto"/>
          </w:tcPr>
          <w:p w14:paraId="2BF4D212" w14:textId="77777777" w:rsidR="007968F8" w:rsidRPr="00F0337F" w:rsidRDefault="007968F8" w:rsidP="001479FF">
            <w:pPr>
              <w:spacing w:beforeLines="40" w:before="96" w:afterLines="40" w:after="96" w:line="24" w:lineRule="atLeast"/>
              <w:jc w:val="right"/>
              <w:rPr>
                <w:rFonts w:eastAsia="Cambria"/>
                <w:b/>
                <w:bCs/>
                <w:sz w:val="18"/>
                <w:szCs w:val="18"/>
                <w:lang w:eastAsia="en-US"/>
              </w:rPr>
            </w:pPr>
          </w:p>
        </w:tc>
        <w:tc>
          <w:tcPr>
            <w:tcW w:w="1822" w:type="dxa"/>
            <w:shd w:val="clear" w:color="auto" w:fill="auto"/>
          </w:tcPr>
          <w:p w14:paraId="6A2BD6E6" w14:textId="77777777" w:rsidR="007968F8" w:rsidRPr="00F0337F" w:rsidRDefault="007968F8" w:rsidP="001479FF">
            <w:pPr>
              <w:spacing w:beforeLines="40" w:before="96" w:afterLines="40" w:after="96" w:line="24" w:lineRule="atLeast"/>
              <w:jc w:val="right"/>
              <w:rPr>
                <w:rFonts w:eastAsia="Cambria"/>
                <w:sz w:val="18"/>
                <w:szCs w:val="18"/>
                <w:lang w:eastAsia="en-US"/>
              </w:rPr>
            </w:pPr>
            <w:r w:rsidRPr="00F0337F">
              <w:rPr>
                <w:rFonts w:eastAsia="Cambria"/>
                <w:sz w:val="18"/>
                <w:szCs w:val="18"/>
                <w:lang w:eastAsia="en-US"/>
              </w:rPr>
              <w:t>c)</w:t>
            </w:r>
          </w:p>
        </w:tc>
        <w:tc>
          <w:tcPr>
            <w:tcW w:w="7041" w:type="dxa"/>
            <w:shd w:val="clear" w:color="auto" w:fill="auto"/>
          </w:tcPr>
          <w:p w14:paraId="2EE03802" w14:textId="77777777" w:rsidR="007968F8" w:rsidRPr="002E205C" w:rsidRDefault="007968F8" w:rsidP="001479FF">
            <w:pPr>
              <w:tabs>
                <w:tab w:val="left" w:pos="1350"/>
              </w:tabs>
              <w:spacing w:beforeLines="40" w:before="96" w:afterLines="40" w:after="96" w:line="24" w:lineRule="atLeast"/>
              <w:rPr>
                <w:rFonts w:eastAsia="Cambria"/>
                <w:sz w:val="18"/>
                <w:szCs w:val="18"/>
                <w:lang w:eastAsia="en-US"/>
              </w:rPr>
            </w:pPr>
            <w:r w:rsidRPr="002E205C">
              <w:rPr>
                <w:rFonts w:eastAsia="Times New Roman"/>
                <w:sz w:val="18"/>
                <w:szCs w:val="18"/>
                <w:lang w:eastAsia="en-GB"/>
              </w:rPr>
              <w:t xml:space="preserve">Clinical relevance: Discuss whether the results have clinical or public policy relevance, and </w:t>
            </w:r>
            <w:r w:rsidRPr="002E205C">
              <w:rPr>
                <w:rFonts w:eastAsia="Times New Roman"/>
                <w:color w:val="000000"/>
                <w:sz w:val="18"/>
                <w:szCs w:val="18"/>
                <w:lang w:eastAsia="en-GB"/>
              </w:rPr>
              <w:t>to what extent they inform effect sizes of possible interventions</w:t>
            </w:r>
          </w:p>
        </w:tc>
        <w:tc>
          <w:tcPr>
            <w:tcW w:w="720" w:type="dxa"/>
          </w:tcPr>
          <w:p w14:paraId="6AD16144" w14:textId="3D471D96" w:rsidR="007968F8" w:rsidRPr="00A1236D" w:rsidRDefault="00BB371F" w:rsidP="001479FF">
            <w:pPr>
              <w:tabs>
                <w:tab w:val="left" w:pos="1350"/>
              </w:tabs>
              <w:spacing w:beforeLines="40" w:before="96" w:afterLines="40" w:after="96" w:line="24" w:lineRule="atLeast"/>
              <w:rPr>
                <w:rFonts w:eastAsia="Times New Roman"/>
                <w:sz w:val="18"/>
                <w:szCs w:val="18"/>
                <w:lang w:eastAsia="en-GB"/>
              </w:rPr>
            </w:pPr>
            <w:r>
              <w:rPr>
                <w:rFonts w:eastAsia="Times New Roman"/>
                <w:sz w:val="18"/>
                <w:szCs w:val="18"/>
                <w:lang w:eastAsia="en-GB"/>
              </w:rPr>
              <w:t>21</w:t>
            </w:r>
          </w:p>
        </w:tc>
        <w:tc>
          <w:tcPr>
            <w:tcW w:w="4320" w:type="dxa"/>
          </w:tcPr>
          <w:p w14:paraId="7D8D64E9" w14:textId="77777777" w:rsidR="007968F8" w:rsidRDefault="007968F8" w:rsidP="001479FF">
            <w:pPr>
              <w:tabs>
                <w:tab w:val="left" w:pos="1350"/>
              </w:tabs>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F37923">
              <w:rPr>
                <w:rFonts w:eastAsia="Times New Roman"/>
                <w:sz w:val="18"/>
                <w:szCs w:val="18"/>
                <w:lang w:eastAsia="en-GB"/>
              </w:rPr>
              <w:t>Although we did not find strong evidence of a causal effect of adiposity on HNC, obesity is an established risk factor for multiple cancers and other chronic diseases. Hence there is still value in aiming to reduce the levels of excess adiposity in the population.</w:t>
            </w:r>
            <w:r>
              <w:rPr>
                <w:rFonts w:eastAsia="Times New Roman"/>
                <w:sz w:val="18"/>
                <w:szCs w:val="18"/>
                <w:lang w:eastAsia="en-GB"/>
              </w:rPr>
              <w:t>”</w:t>
            </w:r>
          </w:p>
        </w:tc>
      </w:tr>
      <w:tr w:rsidR="007968F8" w:rsidRPr="00B853C6" w14:paraId="7B96BDB9" w14:textId="77777777" w:rsidTr="001479FF">
        <w:tc>
          <w:tcPr>
            <w:tcW w:w="587" w:type="dxa"/>
            <w:tcBorders>
              <w:bottom w:val="single" w:sz="6" w:space="0" w:color="7F7F7F"/>
            </w:tcBorders>
            <w:shd w:val="clear" w:color="auto" w:fill="EEEEEE"/>
          </w:tcPr>
          <w:p w14:paraId="2B1D5D19"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17</w:t>
            </w:r>
          </w:p>
        </w:tc>
        <w:tc>
          <w:tcPr>
            <w:tcW w:w="1822" w:type="dxa"/>
            <w:tcBorders>
              <w:bottom w:val="single" w:sz="6" w:space="0" w:color="7F7F7F"/>
            </w:tcBorders>
            <w:shd w:val="clear" w:color="auto" w:fill="EEEEEE"/>
          </w:tcPr>
          <w:p w14:paraId="20895290"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 xml:space="preserve">Generalizability  </w:t>
            </w:r>
            <w:r w:rsidRPr="00F0337F">
              <w:rPr>
                <w:rFonts w:eastAsia="Times New Roman"/>
                <w:sz w:val="18"/>
                <w:szCs w:val="18"/>
                <w:lang w:eastAsia="en-GB"/>
              </w:rPr>
              <w:t> </w:t>
            </w:r>
          </w:p>
        </w:tc>
        <w:tc>
          <w:tcPr>
            <w:tcW w:w="7041" w:type="dxa"/>
            <w:tcBorders>
              <w:bottom w:val="single" w:sz="6" w:space="0" w:color="7F7F7F"/>
            </w:tcBorders>
            <w:shd w:val="clear" w:color="auto" w:fill="EEEEEE"/>
          </w:tcPr>
          <w:p w14:paraId="4F3126EB" w14:textId="77777777" w:rsidR="007968F8" w:rsidRPr="002E205C" w:rsidRDefault="007968F8" w:rsidP="001479FF">
            <w:pPr>
              <w:spacing w:beforeLines="40" w:before="96" w:afterLines="40" w:after="96" w:line="24" w:lineRule="atLeast"/>
              <w:rPr>
                <w:rFonts w:eastAsia="Cambria"/>
                <w:sz w:val="18"/>
                <w:szCs w:val="18"/>
                <w:lang w:eastAsia="en-US"/>
              </w:rPr>
            </w:pPr>
            <w:r w:rsidRPr="002E205C">
              <w:rPr>
                <w:rFonts w:eastAsia="Times New Roman"/>
                <w:sz w:val="18"/>
                <w:szCs w:val="18"/>
                <w:lang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2BAEDF96" w14:textId="0EF60235" w:rsidR="007968F8" w:rsidRPr="00A1236D" w:rsidRDefault="00BB371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20</w:t>
            </w:r>
          </w:p>
        </w:tc>
        <w:tc>
          <w:tcPr>
            <w:tcW w:w="4320" w:type="dxa"/>
            <w:tcBorders>
              <w:bottom w:val="single" w:sz="6" w:space="0" w:color="7F7F7F"/>
            </w:tcBorders>
            <w:shd w:val="clear" w:color="auto" w:fill="EEEEEE"/>
          </w:tcPr>
          <w:p w14:paraId="6EC44BA4"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Pr="0074546B">
              <w:rPr>
                <w:rFonts w:eastAsia="Times New Roman"/>
                <w:sz w:val="18"/>
                <w:szCs w:val="18"/>
                <w:lang w:eastAsia="en-GB"/>
              </w:rPr>
              <w:t>Our study was limited to individuals of European ancestry, so our findings should be replicated in other ancestry groups before being generalised to non-European populations.</w:t>
            </w:r>
            <w:r>
              <w:rPr>
                <w:rFonts w:eastAsia="Times New Roman"/>
                <w:sz w:val="18"/>
                <w:szCs w:val="18"/>
                <w:lang w:eastAsia="en-GB"/>
              </w:rPr>
              <w:t>”</w:t>
            </w:r>
          </w:p>
        </w:tc>
      </w:tr>
      <w:tr w:rsidR="007968F8" w:rsidRPr="00B853C6" w14:paraId="28616F6E" w14:textId="77777777" w:rsidTr="001479FF">
        <w:tc>
          <w:tcPr>
            <w:tcW w:w="587" w:type="dxa"/>
            <w:tcBorders>
              <w:top w:val="single" w:sz="6" w:space="0" w:color="7F7F7F"/>
            </w:tcBorders>
            <w:shd w:val="clear" w:color="auto" w:fill="auto"/>
          </w:tcPr>
          <w:p w14:paraId="60F958D1" w14:textId="77777777" w:rsidR="007968F8" w:rsidRPr="00F0337F" w:rsidRDefault="007968F8" w:rsidP="001479FF">
            <w:pPr>
              <w:spacing w:beforeLines="40" w:before="96" w:afterLines="40" w:after="96" w:line="24" w:lineRule="atLeast"/>
              <w:rPr>
                <w:rFonts w:eastAsia="Times New Roman"/>
                <w:b/>
                <w:bCs/>
                <w:sz w:val="18"/>
                <w:szCs w:val="18"/>
                <w:lang w:eastAsia="en-GB"/>
              </w:rPr>
            </w:pPr>
          </w:p>
        </w:tc>
        <w:tc>
          <w:tcPr>
            <w:tcW w:w="1822" w:type="dxa"/>
            <w:tcBorders>
              <w:top w:val="single" w:sz="6" w:space="0" w:color="7F7F7F"/>
            </w:tcBorders>
            <w:shd w:val="clear" w:color="auto" w:fill="auto"/>
          </w:tcPr>
          <w:p w14:paraId="58D13872"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OTHER INFORMATION</w:t>
            </w:r>
          </w:p>
        </w:tc>
        <w:tc>
          <w:tcPr>
            <w:tcW w:w="7041" w:type="dxa"/>
            <w:tcBorders>
              <w:top w:val="single" w:sz="6" w:space="0" w:color="7F7F7F"/>
            </w:tcBorders>
            <w:shd w:val="clear" w:color="auto" w:fill="auto"/>
          </w:tcPr>
          <w:p w14:paraId="6D6F442E" w14:textId="77777777" w:rsidR="007968F8" w:rsidRPr="002E205C" w:rsidRDefault="007968F8" w:rsidP="001479FF">
            <w:pPr>
              <w:spacing w:beforeLines="40" w:before="96" w:afterLines="40" w:after="96" w:line="24" w:lineRule="atLeast"/>
              <w:rPr>
                <w:rFonts w:eastAsia="Cambria"/>
                <w:sz w:val="18"/>
                <w:szCs w:val="18"/>
                <w:lang w:eastAsia="en-US"/>
              </w:rPr>
            </w:pPr>
          </w:p>
        </w:tc>
        <w:tc>
          <w:tcPr>
            <w:tcW w:w="720" w:type="dxa"/>
            <w:tcBorders>
              <w:top w:val="single" w:sz="6" w:space="0" w:color="7F7F7F"/>
            </w:tcBorders>
          </w:tcPr>
          <w:p w14:paraId="60977F96" w14:textId="77777777" w:rsidR="007968F8" w:rsidRPr="00F0337F" w:rsidRDefault="007968F8" w:rsidP="001479FF">
            <w:pPr>
              <w:spacing w:beforeLines="40" w:before="96" w:afterLines="40" w:after="96" w:line="24" w:lineRule="atLeast"/>
              <w:rPr>
                <w:rFonts w:eastAsia="Cambria"/>
                <w:sz w:val="18"/>
                <w:szCs w:val="18"/>
                <w:lang w:eastAsia="en-US"/>
              </w:rPr>
            </w:pPr>
          </w:p>
        </w:tc>
        <w:tc>
          <w:tcPr>
            <w:tcW w:w="4320" w:type="dxa"/>
            <w:tcBorders>
              <w:top w:val="single" w:sz="6" w:space="0" w:color="7F7F7F"/>
            </w:tcBorders>
          </w:tcPr>
          <w:p w14:paraId="2F068678" w14:textId="77777777" w:rsidR="007968F8" w:rsidRDefault="007968F8" w:rsidP="001479FF">
            <w:pPr>
              <w:spacing w:beforeLines="40" w:before="96" w:afterLines="40" w:after="96" w:line="24" w:lineRule="atLeast"/>
              <w:rPr>
                <w:rFonts w:eastAsia="Cambria"/>
                <w:sz w:val="18"/>
                <w:szCs w:val="18"/>
                <w:lang w:eastAsia="en-US"/>
              </w:rPr>
            </w:pPr>
          </w:p>
        </w:tc>
      </w:tr>
      <w:tr w:rsidR="007968F8" w:rsidRPr="00B853C6" w14:paraId="3629A4EC" w14:textId="77777777" w:rsidTr="001479FF">
        <w:tc>
          <w:tcPr>
            <w:tcW w:w="587" w:type="dxa"/>
            <w:shd w:val="clear" w:color="auto" w:fill="EEEEEE"/>
          </w:tcPr>
          <w:p w14:paraId="3CFC8D87"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18</w:t>
            </w:r>
          </w:p>
        </w:tc>
        <w:tc>
          <w:tcPr>
            <w:tcW w:w="1822" w:type="dxa"/>
            <w:shd w:val="clear" w:color="auto" w:fill="EEEEEE"/>
          </w:tcPr>
          <w:p w14:paraId="3FCE4138" w14:textId="77777777" w:rsidR="007968F8" w:rsidRPr="00F0337F" w:rsidRDefault="007968F8" w:rsidP="001479FF">
            <w:pPr>
              <w:spacing w:beforeLines="40" w:before="96" w:afterLines="40" w:after="96" w:line="24" w:lineRule="atLeast"/>
              <w:rPr>
                <w:rFonts w:eastAsia="Cambria"/>
                <w:sz w:val="18"/>
                <w:szCs w:val="18"/>
                <w:lang w:eastAsia="en-US"/>
              </w:rPr>
            </w:pPr>
            <w:r w:rsidRPr="00F0337F">
              <w:rPr>
                <w:rFonts w:eastAsia="Times New Roman"/>
                <w:b/>
                <w:bCs/>
                <w:sz w:val="18"/>
                <w:szCs w:val="18"/>
                <w:lang w:eastAsia="en-GB"/>
              </w:rPr>
              <w:t>Funding</w:t>
            </w:r>
          </w:p>
        </w:tc>
        <w:tc>
          <w:tcPr>
            <w:tcW w:w="7041" w:type="dxa"/>
            <w:shd w:val="clear" w:color="auto" w:fill="EEEEEE"/>
          </w:tcPr>
          <w:p w14:paraId="66A8DEA1"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7771A5CB" w14:textId="5BAD4B8D" w:rsidR="007968F8" w:rsidRPr="00F0337F" w:rsidRDefault="00BB371F"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27</w:t>
            </w:r>
            <w:r w:rsidR="00E11041">
              <w:rPr>
                <w:rFonts w:eastAsia="Times New Roman"/>
                <w:sz w:val="18"/>
                <w:szCs w:val="18"/>
                <w:lang w:eastAsia="en-GB"/>
              </w:rPr>
              <w:t>-28</w:t>
            </w:r>
          </w:p>
        </w:tc>
        <w:tc>
          <w:tcPr>
            <w:tcW w:w="4320" w:type="dxa"/>
            <w:shd w:val="clear" w:color="auto" w:fill="EEEEEE"/>
          </w:tcPr>
          <w:p w14:paraId="5DF25EBF" w14:textId="77777777"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“Funding” section</w:t>
            </w:r>
          </w:p>
        </w:tc>
      </w:tr>
      <w:tr w:rsidR="007968F8" w:rsidRPr="00B853C6" w14:paraId="45DA10DA" w14:textId="77777777" w:rsidTr="001479FF">
        <w:tc>
          <w:tcPr>
            <w:tcW w:w="587" w:type="dxa"/>
            <w:shd w:val="clear" w:color="auto" w:fill="auto"/>
          </w:tcPr>
          <w:p w14:paraId="76A8BBE9"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t>19</w:t>
            </w:r>
          </w:p>
        </w:tc>
        <w:tc>
          <w:tcPr>
            <w:tcW w:w="1822" w:type="dxa"/>
            <w:shd w:val="clear" w:color="auto" w:fill="auto"/>
          </w:tcPr>
          <w:p w14:paraId="423DD31A"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Data and data sharing </w:t>
            </w:r>
          </w:p>
        </w:tc>
        <w:tc>
          <w:tcPr>
            <w:tcW w:w="7041" w:type="dxa"/>
            <w:shd w:val="clear" w:color="auto" w:fill="auto"/>
          </w:tcPr>
          <w:p w14:paraId="58D87738"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 xml:space="preserve">Provide the data used to perform all analyses or report where and how the data can be </w:t>
            </w:r>
            <w:proofErr w:type="gramStart"/>
            <w:r w:rsidRPr="002E205C">
              <w:rPr>
                <w:rFonts w:eastAsia="Times New Roman"/>
                <w:sz w:val="18"/>
                <w:szCs w:val="18"/>
                <w:lang w:eastAsia="en-GB"/>
              </w:rPr>
              <w:t>accessed, and</w:t>
            </w:r>
            <w:proofErr w:type="gramEnd"/>
            <w:r w:rsidRPr="002E205C">
              <w:rPr>
                <w:rFonts w:eastAsia="Times New Roman"/>
                <w:sz w:val="18"/>
                <w:szCs w:val="18"/>
                <w:lang w:eastAsia="en-GB"/>
              </w:rPr>
              <w:t xml:space="preserve"> reference these sources in the article. Provide the statistical code needed to reproduce the results in the article, or report whether the code is publicly accessible and if so, where</w:t>
            </w:r>
          </w:p>
        </w:tc>
        <w:tc>
          <w:tcPr>
            <w:tcW w:w="720" w:type="dxa"/>
          </w:tcPr>
          <w:p w14:paraId="036272F8" w14:textId="5B8EA073" w:rsidR="007968F8" w:rsidRPr="00F0337F" w:rsidRDefault="00903139"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26-27</w:t>
            </w:r>
          </w:p>
        </w:tc>
        <w:tc>
          <w:tcPr>
            <w:tcW w:w="4320" w:type="dxa"/>
          </w:tcPr>
          <w:p w14:paraId="72E13C7A" w14:textId="4481BB0E"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00FD7394">
              <w:rPr>
                <w:rFonts w:eastAsia="Times New Roman"/>
                <w:sz w:val="18"/>
                <w:szCs w:val="18"/>
                <w:lang w:eastAsia="en-GB"/>
              </w:rPr>
              <w:t>Availability of data and materials</w:t>
            </w:r>
            <w:r>
              <w:rPr>
                <w:rFonts w:eastAsia="Times New Roman"/>
                <w:sz w:val="18"/>
                <w:szCs w:val="18"/>
                <w:lang w:eastAsia="en-GB"/>
              </w:rPr>
              <w:t>” section</w:t>
            </w:r>
          </w:p>
        </w:tc>
      </w:tr>
      <w:tr w:rsidR="007968F8" w:rsidRPr="00B853C6" w14:paraId="25AFE663" w14:textId="77777777" w:rsidTr="001479FF">
        <w:tc>
          <w:tcPr>
            <w:tcW w:w="587" w:type="dxa"/>
            <w:tcBorders>
              <w:bottom w:val="single" w:sz="6" w:space="0" w:color="7F7F7F"/>
            </w:tcBorders>
            <w:shd w:val="clear" w:color="auto" w:fill="EEEEEE"/>
          </w:tcPr>
          <w:p w14:paraId="59C550D6" w14:textId="77777777" w:rsidR="007968F8" w:rsidRPr="00F0337F" w:rsidRDefault="007968F8" w:rsidP="001479FF">
            <w:pPr>
              <w:spacing w:beforeLines="40" w:before="96" w:afterLines="40" w:after="96" w:line="24" w:lineRule="atLeast"/>
              <w:rPr>
                <w:rFonts w:eastAsia="Times New Roman"/>
                <w:b/>
                <w:bCs/>
                <w:sz w:val="18"/>
                <w:szCs w:val="18"/>
                <w:lang w:eastAsia="en-GB"/>
              </w:rPr>
            </w:pPr>
            <w:r w:rsidRPr="00F0337F">
              <w:rPr>
                <w:rFonts w:eastAsia="Times New Roman"/>
                <w:sz w:val="18"/>
                <w:szCs w:val="18"/>
                <w:lang w:eastAsia="en-GB"/>
              </w:rPr>
              <w:lastRenderedPageBreak/>
              <w:t>20</w:t>
            </w:r>
          </w:p>
        </w:tc>
        <w:tc>
          <w:tcPr>
            <w:tcW w:w="1822" w:type="dxa"/>
            <w:tcBorders>
              <w:bottom w:val="single" w:sz="6" w:space="0" w:color="7F7F7F"/>
            </w:tcBorders>
            <w:shd w:val="clear" w:color="auto" w:fill="EEEEEE"/>
          </w:tcPr>
          <w:p w14:paraId="01BB1330" w14:textId="77777777" w:rsidR="007968F8" w:rsidRPr="00F0337F" w:rsidRDefault="007968F8" w:rsidP="001479FF">
            <w:pPr>
              <w:spacing w:beforeLines="40" w:before="96" w:afterLines="40" w:after="96" w:line="24" w:lineRule="atLeast"/>
              <w:rPr>
                <w:rFonts w:eastAsia="Times New Roman"/>
                <w:sz w:val="18"/>
                <w:szCs w:val="18"/>
                <w:lang w:eastAsia="en-GB"/>
              </w:rPr>
            </w:pPr>
            <w:r w:rsidRPr="00F0337F">
              <w:rPr>
                <w:rFonts w:eastAsia="Times New Roman"/>
                <w:b/>
                <w:bCs/>
                <w:sz w:val="18"/>
                <w:szCs w:val="18"/>
                <w:lang w:eastAsia="en-GB"/>
              </w:rPr>
              <w:t>Conflicts of Interest  </w:t>
            </w:r>
          </w:p>
        </w:tc>
        <w:tc>
          <w:tcPr>
            <w:tcW w:w="7041" w:type="dxa"/>
            <w:tcBorders>
              <w:bottom w:val="single" w:sz="6" w:space="0" w:color="7F7F7F"/>
            </w:tcBorders>
            <w:shd w:val="clear" w:color="auto" w:fill="EEEEEE"/>
          </w:tcPr>
          <w:p w14:paraId="00DBCC11" w14:textId="77777777" w:rsidR="007968F8" w:rsidRPr="002E205C" w:rsidRDefault="007968F8" w:rsidP="001479FF">
            <w:pPr>
              <w:spacing w:beforeLines="40" w:before="96" w:afterLines="40" w:after="96" w:line="24" w:lineRule="atLeast"/>
              <w:rPr>
                <w:rFonts w:eastAsia="Times New Roman"/>
                <w:sz w:val="18"/>
                <w:szCs w:val="18"/>
                <w:lang w:eastAsia="en-GB"/>
              </w:rPr>
            </w:pPr>
            <w:r w:rsidRPr="002E205C">
              <w:rPr>
                <w:rFonts w:eastAsia="Times New Roman"/>
                <w:sz w:val="18"/>
                <w:szCs w:val="18"/>
                <w:lang w:eastAsia="en-GB"/>
              </w:rPr>
              <w:t>All authors should declare all potential conflicts of interest</w:t>
            </w:r>
          </w:p>
        </w:tc>
        <w:tc>
          <w:tcPr>
            <w:tcW w:w="720" w:type="dxa"/>
            <w:tcBorders>
              <w:bottom w:val="single" w:sz="6" w:space="0" w:color="7F7F7F"/>
            </w:tcBorders>
            <w:shd w:val="clear" w:color="auto" w:fill="EEEEEE"/>
          </w:tcPr>
          <w:p w14:paraId="0B30616D" w14:textId="6C4568C7" w:rsidR="007968F8" w:rsidRPr="00F0337F" w:rsidRDefault="00903139"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28</w:t>
            </w:r>
          </w:p>
        </w:tc>
        <w:tc>
          <w:tcPr>
            <w:tcW w:w="4320" w:type="dxa"/>
            <w:tcBorders>
              <w:bottom w:val="single" w:sz="6" w:space="0" w:color="7F7F7F"/>
            </w:tcBorders>
            <w:shd w:val="clear" w:color="auto" w:fill="EEEEEE"/>
          </w:tcPr>
          <w:p w14:paraId="5A165461" w14:textId="24F9C583" w:rsidR="007968F8" w:rsidRDefault="007968F8" w:rsidP="001479FF">
            <w:pPr>
              <w:spacing w:beforeLines="40" w:before="96" w:afterLines="40" w:after="96" w:line="24" w:lineRule="atLeast"/>
              <w:rPr>
                <w:rFonts w:eastAsia="Times New Roman"/>
                <w:sz w:val="18"/>
                <w:szCs w:val="18"/>
                <w:lang w:eastAsia="en-GB"/>
              </w:rPr>
            </w:pPr>
            <w:r>
              <w:rPr>
                <w:rFonts w:eastAsia="Times New Roman"/>
                <w:sz w:val="18"/>
                <w:szCs w:val="18"/>
                <w:lang w:eastAsia="en-GB"/>
              </w:rPr>
              <w:t>“</w:t>
            </w:r>
            <w:r w:rsidR="00CA45CA">
              <w:rPr>
                <w:rFonts w:eastAsia="Times New Roman"/>
                <w:sz w:val="18"/>
                <w:szCs w:val="18"/>
                <w:lang w:eastAsia="en-GB"/>
              </w:rPr>
              <w:t>Competing</w:t>
            </w:r>
            <w:r>
              <w:rPr>
                <w:rFonts w:eastAsia="Times New Roman"/>
                <w:sz w:val="18"/>
                <w:szCs w:val="18"/>
                <w:lang w:eastAsia="en-GB"/>
              </w:rPr>
              <w:t xml:space="preserve"> interest</w:t>
            </w:r>
            <w:r w:rsidR="00CA45CA">
              <w:rPr>
                <w:rFonts w:eastAsia="Times New Roman"/>
                <w:sz w:val="18"/>
                <w:szCs w:val="18"/>
                <w:lang w:eastAsia="en-GB"/>
              </w:rPr>
              <w:t>s</w:t>
            </w:r>
            <w:r>
              <w:rPr>
                <w:rFonts w:eastAsia="Times New Roman"/>
                <w:sz w:val="18"/>
                <w:szCs w:val="18"/>
                <w:lang w:eastAsia="en-GB"/>
              </w:rPr>
              <w:t>” section</w:t>
            </w:r>
          </w:p>
        </w:tc>
      </w:tr>
    </w:tbl>
    <w:p w14:paraId="68262526" w14:textId="77777777" w:rsidR="007968F8" w:rsidRPr="009854A9" w:rsidRDefault="007968F8" w:rsidP="007968F8">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1A6C240F" w14:textId="77777777" w:rsidR="007968F8" w:rsidRPr="009854A9" w:rsidRDefault="007968F8" w:rsidP="007968F8">
      <w:pPr>
        <w:widowControl w:val="0"/>
        <w:autoSpaceDE w:val="0"/>
        <w:autoSpaceDN w:val="0"/>
        <w:adjustRightInd w:val="0"/>
        <w:spacing w:before="240" w:after="240"/>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Pr="009854A9">
        <w:rPr>
          <w:noProof/>
          <w:sz w:val="19"/>
          <w:szCs w:val="19"/>
        </w:rPr>
        <w:t xml:space="preserve">1. </w:t>
      </w:r>
      <w:r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41B01397" w14:textId="77777777" w:rsidR="007968F8" w:rsidRPr="009854A9" w:rsidRDefault="007968F8" w:rsidP="007968F8">
      <w:pPr>
        <w:widowControl w:val="0"/>
        <w:autoSpaceDE w:val="0"/>
        <w:autoSpaceDN w:val="0"/>
        <w:adjustRightInd w:val="0"/>
        <w:spacing w:before="240" w:after="240"/>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5FD4129D" w14:textId="1AEC4DEA" w:rsidR="000F1093" w:rsidRDefault="007968F8" w:rsidP="007968F8">
      <w:r w:rsidRPr="009854A9">
        <w:rPr>
          <w:sz w:val="19"/>
          <w:szCs w:val="19"/>
        </w:rPr>
        <w:fldChar w:fldCharType="end"/>
      </w:r>
    </w:p>
    <w:sectPr w:rsidR="000F1093" w:rsidSect="007968F8">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85"/>
    <w:rsid w:val="00050293"/>
    <w:rsid w:val="00072F1A"/>
    <w:rsid w:val="000B6797"/>
    <w:rsid w:val="000C7CB7"/>
    <w:rsid w:val="000D1CFA"/>
    <w:rsid w:val="000F0622"/>
    <w:rsid w:val="000F1093"/>
    <w:rsid w:val="00190A33"/>
    <w:rsid w:val="001B2622"/>
    <w:rsid w:val="001E53A9"/>
    <w:rsid w:val="00231040"/>
    <w:rsid w:val="00272D2A"/>
    <w:rsid w:val="0028484B"/>
    <w:rsid w:val="002917AA"/>
    <w:rsid w:val="002C760D"/>
    <w:rsid w:val="00315907"/>
    <w:rsid w:val="00326E51"/>
    <w:rsid w:val="00327254"/>
    <w:rsid w:val="00363465"/>
    <w:rsid w:val="003876FC"/>
    <w:rsid w:val="003C266A"/>
    <w:rsid w:val="003D13C6"/>
    <w:rsid w:val="00407185"/>
    <w:rsid w:val="004077FD"/>
    <w:rsid w:val="00411911"/>
    <w:rsid w:val="004210D8"/>
    <w:rsid w:val="004B71AE"/>
    <w:rsid w:val="0051737F"/>
    <w:rsid w:val="0052556C"/>
    <w:rsid w:val="0053106C"/>
    <w:rsid w:val="00536F86"/>
    <w:rsid w:val="005C61B1"/>
    <w:rsid w:val="005D5713"/>
    <w:rsid w:val="00683C3D"/>
    <w:rsid w:val="006B7F67"/>
    <w:rsid w:val="007211F6"/>
    <w:rsid w:val="0072770B"/>
    <w:rsid w:val="00740E35"/>
    <w:rsid w:val="007968F8"/>
    <w:rsid w:val="00800087"/>
    <w:rsid w:val="00801785"/>
    <w:rsid w:val="008338C6"/>
    <w:rsid w:val="00897BAF"/>
    <w:rsid w:val="008A2850"/>
    <w:rsid w:val="008C0396"/>
    <w:rsid w:val="00903139"/>
    <w:rsid w:val="00983F5A"/>
    <w:rsid w:val="009861C7"/>
    <w:rsid w:val="009C0EA1"/>
    <w:rsid w:val="00A10876"/>
    <w:rsid w:val="00A25ADF"/>
    <w:rsid w:val="00A46573"/>
    <w:rsid w:val="00A62994"/>
    <w:rsid w:val="00B14A4B"/>
    <w:rsid w:val="00B50A00"/>
    <w:rsid w:val="00B96FBF"/>
    <w:rsid w:val="00BB371F"/>
    <w:rsid w:val="00BD59B4"/>
    <w:rsid w:val="00C10FEA"/>
    <w:rsid w:val="00C229C5"/>
    <w:rsid w:val="00C56AD6"/>
    <w:rsid w:val="00C60B95"/>
    <w:rsid w:val="00C847D0"/>
    <w:rsid w:val="00CA45CA"/>
    <w:rsid w:val="00CF7CBB"/>
    <w:rsid w:val="00D05102"/>
    <w:rsid w:val="00D57DD6"/>
    <w:rsid w:val="00D71E9D"/>
    <w:rsid w:val="00D9118D"/>
    <w:rsid w:val="00DD4F52"/>
    <w:rsid w:val="00E01AA9"/>
    <w:rsid w:val="00E11041"/>
    <w:rsid w:val="00EE5BAD"/>
    <w:rsid w:val="00F3365C"/>
    <w:rsid w:val="00F6709B"/>
    <w:rsid w:val="00F96B0C"/>
    <w:rsid w:val="00FD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07A0"/>
  <w15:chartTrackingRefBased/>
  <w15:docId w15:val="{58B83DFD-00D2-944A-BAF6-8641EEF2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F8"/>
    <w:rPr>
      <w:rFonts w:eastAsiaTheme="minorEastAsia"/>
      <w:lang w:eastAsia="zh-CN"/>
    </w:rPr>
  </w:style>
  <w:style w:type="paragraph" w:styleId="Heading1">
    <w:name w:val="heading 1"/>
    <w:basedOn w:val="Normal"/>
    <w:next w:val="Normal"/>
    <w:link w:val="Heading1Char"/>
    <w:uiPriority w:val="9"/>
    <w:qFormat/>
    <w:rsid w:val="007968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F8"/>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2475</Words>
  <Characters>14110</Characters>
  <Application>Microsoft Office Word</Application>
  <DocSecurity>0</DocSecurity>
  <Lines>117</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Morales Berstein</dc:creator>
  <cp:keywords/>
  <dc:description/>
  <cp:lastModifiedBy>Fernanda Morales Berstein</cp:lastModifiedBy>
  <cp:revision>41</cp:revision>
  <dcterms:created xsi:type="dcterms:W3CDTF">2024-09-16T16:53:00Z</dcterms:created>
  <dcterms:modified xsi:type="dcterms:W3CDTF">2025-06-26T16:53:00Z</dcterms:modified>
</cp:coreProperties>
</file>