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EA99B" w14:textId="77777777" w:rsidR="00891E49" w:rsidRDefault="00891E49" w:rsidP="00891E49">
      <w:pPr>
        <w:spacing w:line="360" w:lineRule="auto"/>
        <w:jc w:val="both"/>
        <w:rPr>
          <w:b/>
          <w:bCs/>
        </w:rPr>
      </w:pPr>
    </w:p>
    <w:p w14:paraId="417D64C4" w14:textId="6F48A5B5" w:rsidR="00891E49" w:rsidRPr="0016060D" w:rsidRDefault="00891E49" w:rsidP="00891E49">
      <w:pPr>
        <w:spacing w:line="360" w:lineRule="auto"/>
        <w:jc w:val="both"/>
        <w:rPr>
          <w:b/>
          <w:bCs/>
          <w:color w:val="000000" w:themeColor="text1"/>
        </w:rPr>
      </w:pPr>
      <w:r>
        <w:rPr>
          <w:b/>
          <w:bCs/>
        </w:rPr>
        <w:t>Supplementary File 1</w:t>
      </w:r>
      <w:r w:rsidRPr="0016060D">
        <w:rPr>
          <w:b/>
          <w:bCs/>
        </w:rPr>
        <w:t>.</w:t>
      </w:r>
      <w:r w:rsidRPr="0016060D">
        <w:t xml:space="preserve"> Summary of prior studies related to indole chemotaxis.</w:t>
      </w:r>
    </w:p>
    <w:tbl>
      <w:tblPr>
        <w:tblStyle w:val="TableGrid"/>
        <w:tblW w:w="9445" w:type="dxa"/>
        <w:jc w:val="center"/>
        <w:tblLayout w:type="fixed"/>
        <w:tblLook w:val="04A0" w:firstRow="1" w:lastRow="0" w:firstColumn="1" w:lastColumn="0" w:noHBand="0" w:noVBand="1"/>
      </w:tblPr>
      <w:tblGrid>
        <w:gridCol w:w="1795"/>
        <w:gridCol w:w="1530"/>
        <w:gridCol w:w="1710"/>
        <w:gridCol w:w="1980"/>
        <w:gridCol w:w="1620"/>
        <w:gridCol w:w="810"/>
      </w:tblGrid>
      <w:tr w:rsidR="00891E49" w:rsidRPr="0016060D" w14:paraId="4E7A4AB0" w14:textId="77777777" w:rsidTr="000719C3">
        <w:trPr>
          <w:jc w:val="center"/>
        </w:trPr>
        <w:tc>
          <w:tcPr>
            <w:tcW w:w="1795" w:type="dxa"/>
          </w:tcPr>
          <w:p w14:paraId="028F9BA8" w14:textId="77777777" w:rsidR="00891E49" w:rsidRPr="0016060D" w:rsidRDefault="00891E49" w:rsidP="000719C3">
            <w:pPr>
              <w:spacing w:line="360" w:lineRule="auto"/>
              <w:jc w:val="center"/>
              <w:rPr>
                <w:b/>
                <w:bCs/>
                <w:sz w:val="22"/>
                <w:szCs w:val="22"/>
              </w:rPr>
            </w:pPr>
            <w:r w:rsidRPr="0016060D">
              <w:rPr>
                <w:b/>
                <w:bCs/>
                <w:sz w:val="22"/>
                <w:szCs w:val="22"/>
              </w:rPr>
              <w:t>Species, Strain(s)</w:t>
            </w:r>
          </w:p>
        </w:tc>
        <w:tc>
          <w:tcPr>
            <w:tcW w:w="1530" w:type="dxa"/>
          </w:tcPr>
          <w:p w14:paraId="5A533773" w14:textId="77777777" w:rsidR="00891E49" w:rsidRPr="0016060D" w:rsidRDefault="00891E49" w:rsidP="000719C3">
            <w:pPr>
              <w:spacing w:line="360" w:lineRule="auto"/>
              <w:jc w:val="center"/>
              <w:rPr>
                <w:b/>
                <w:bCs/>
                <w:sz w:val="22"/>
                <w:szCs w:val="22"/>
              </w:rPr>
            </w:pPr>
            <w:r w:rsidRPr="0016060D">
              <w:rPr>
                <w:b/>
                <w:bCs/>
                <w:sz w:val="22"/>
                <w:szCs w:val="22"/>
              </w:rPr>
              <w:t>Indole Treatment</w:t>
            </w:r>
            <w:r>
              <w:rPr>
                <w:b/>
                <w:bCs/>
                <w:sz w:val="22"/>
                <w:szCs w:val="22"/>
              </w:rPr>
              <w:t xml:space="preserve"> </w:t>
            </w:r>
            <w:r w:rsidRPr="0016060D">
              <w:rPr>
                <w:b/>
                <w:bCs/>
                <w:sz w:val="22"/>
                <w:szCs w:val="22"/>
                <w:vertAlign w:val="superscript"/>
              </w:rPr>
              <w:t>a</w:t>
            </w:r>
          </w:p>
        </w:tc>
        <w:tc>
          <w:tcPr>
            <w:tcW w:w="1710" w:type="dxa"/>
          </w:tcPr>
          <w:p w14:paraId="45831231" w14:textId="77777777" w:rsidR="00891E49" w:rsidRPr="0016060D" w:rsidRDefault="00891E49" w:rsidP="000719C3">
            <w:pPr>
              <w:spacing w:line="360" w:lineRule="auto"/>
              <w:jc w:val="center"/>
              <w:rPr>
                <w:b/>
                <w:bCs/>
                <w:sz w:val="22"/>
                <w:szCs w:val="22"/>
              </w:rPr>
            </w:pPr>
            <w:r w:rsidRPr="0016060D">
              <w:rPr>
                <w:b/>
                <w:bCs/>
                <w:sz w:val="22"/>
                <w:szCs w:val="22"/>
              </w:rPr>
              <w:t>Reported Respons</w:t>
            </w:r>
            <w:r>
              <w:rPr>
                <w:b/>
                <w:bCs/>
                <w:sz w:val="22"/>
                <w:szCs w:val="22"/>
              </w:rPr>
              <w:t xml:space="preserve">e </w:t>
            </w:r>
            <w:r w:rsidRPr="0016060D">
              <w:rPr>
                <w:b/>
                <w:bCs/>
                <w:sz w:val="22"/>
                <w:szCs w:val="22"/>
                <w:vertAlign w:val="superscript"/>
              </w:rPr>
              <w:t>b</w:t>
            </w:r>
          </w:p>
        </w:tc>
        <w:tc>
          <w:tcPr>
            <w:tcW w:w="1980" w:type="dxa"/>
          </w:tcPr>
          <w:p w14:paraId="505DC35B" w14:textId="77777777" w:rsidR="00891E49" w:rsidRPr="0016060D" w:rsidRDefault="00891E49" w:rsidP="000719C3">
            <w:pPr>
              <w:spacing w:line="360" w:lineRule="auto"/>
              <w:jc w:val="center"/>
              <w:rPr>
                <w:b/>
                <w:bCs/>
                <w:sz w:val="22"/>
                <w:szCs w:val="22"/>
              </w:rPr>
            </w:pPr>
            <w:r w:rsidRPr="0016060D">
              <w:rPr>
                <w:b/>
                <w:bCs/>
                <w:sz w:val="22"/>
                <w:szCs w:val="22"/>
              </w:rPr>
              <w:t>Experimental Method(s)</w:t>
            </w:r>
          </w:p>
        </w:tc>
        <w:tc>
          <w:tcPr>
            <w:tcW w:w="1620" w:type="dxa"/>
          </w:tcPr>
          <w:p w14:paraId="381C66EE" w14:textId="77777777" w:rsidR="00891E49" w:rsidRPr="0016060D" w:rsidRDefault="00891E49" w:rsidP="000719C3">
            <w:pPr>
              <w:spacing w:line="360" w:lineRule="auto"/>
              <w:jc w:val="center"/>
              <w:rPr>
                <w:b/>
                <w:bCs/>
                <w:sz w:val="22"/>
                <w:szCs w:val="22"/>
              </w:rPr>
            </w:pPr>
            <w:r w:rsidRPr="0016060D">
              <w:rPr>
                <w:b/>
                <w:bCs/>
                <w:sz w:val="22"/>
                <w:szCs w:val="22"/>
              </w:rPr>
              <w:t>Chemotaxis &amp; Motility Proteins Involved in Response</w:t>
            </w:r>
          </w:p>
        </w:tc>
        <w:tc>
          <w:tcPr>
            <w:tcW w:w="810" w:type="dxa"/>
          </w:tcPr>
          <w:p w14:paraId="34A58F61" w14:textId="77777777" w:rsidR="00891E49" w:rsidRPr="0016060D" w:rsidRDefault="00891E49" w:rsidP="000719C3">
            <w:pPr>
              <w:spacing w:line="360" w:lineRule="auto"/>
              <w:jc w:val="center"/>
              <w:rPr>
                <w:b/>
                <w:bCs/>
                <w:sz w:val="22"/>
                <w:szCs w:val="22"/>
              </w:rPr>
            </w:pPr>
            <w:r w:rsidRPr="0016060D">
              <w:rPr>
                <w:b/>
                <w:bCs/>
                <w:sz w:val="22"/>
                <w:szCs w:val="22"/>
              </w:rPr>
              <w:t>Ref.</w:t>
            </w:r>
          </w:p>
        </w:tc>
      </w:tr>
      <w:tr w:rsidR="00891E49" w:rsidRPr="0016060D" w14:paraId="7C973E11" w14:textId="77777777" w:rsidTr="000719C3">
        <w:trPr>
          <w:jc w:val="center"/>
        </w:trPr>
        <w:tc>
          <w:tcPr>
            <w:tcW w:w="1795" w:type="dxa"/>
          </w:tcPr>
          <w:p w14:paraId="44902298" w14:textId="77777777" w:rsidR="00891E49" w:rsidRPr="0016060D" w:rsidRDefault="00891E49" w:rsidP="000719C3">
            <w:pPr>
              <w:spacing w:line="360" w:lineRule="auto"/>
              <w:jc w:val="center"/>
              <w:rPr>
                <w:i/>
                <w:iCs/>
                <w:sz w:val="22"/>
                <w:szCs w:val="22"/>
                <w:vertAlign w:val="superscript"/>
              </w:rPr>
            </w:pPr>
            <w:r w:rsidRPr="0016060D">
              <w:rPr>
                <w:i/>
                <w:iCs/>
                <w:sz w:val="22"/>
                <w:szCs w:val="22"/>
              </w:rPr>
              <w:t>E. coli,</w:t>
            </w:r>
            <w:r w:rsidRPr="0016060D">
              <w:rPr>
                <w:sz w:val="22"/>
                <w:szCs w:val="22"/>
              </w:rPr>
              <w:t xml:space="preserve"> strain</w:t>
            </w:r>
            <w:r w:rsidRPr="0016060D">
              <w:rPr>
                <w:i/>
                <w:iCs/>
                <w:sz w:val="22"/>
                <w:szCs w:val="22"/>
              </w:rPr>
              <w:t xml:space="preserve"> </w:t>
            </w:r>
            <w:r w:rsidRPr="0016060D">
              <w:rPr>
                <w:sz w:val="22"/>
                <w:szCs w:val="22"/>
              </w:rPr>
              <w:t>RP437</w:t>
            </w:r>
          </w:p>
        </w:tc>
        <w:tc>
          <w:tcPr>
            <w:tcW w:w="1530" w:type="dxa"/>
          </w:tcPr>
          <w:p w14:paraId="688C0732" w14:textId="77777777" w:rsidR="00891E49" w:rsidRPr="0016060D" w:rsidRDefault="00891E49" w:rsidP="000719C3">
            <w:pPr>
              <w:spacing w:line="360" w:lineRule="auto"/>
              <w:jc w:val="center"/>
              <w:rPr>
                <w:sz w:val="22"/>
                <w:szCs w:val="22"/>
              </w:rPr>
            </w:pPr>
            <w:r w:rsidRPr="0016060D">
              <w:rPr>
                <w:sz w:val="22"/>
                <w:szCs w:val="22"/>
                <w:lang w:val="en"/>
              </w:rPr>
              <w:t>≤</w:t>
            </w:r>
            <w:r w:rsidRPr="0016060D">
              <w:rPr>
                <w:sz w:val="22"/>
                <w:szCs w:val="22"/>
              </w:rPr>
              <w:t>1 mM</w:t>
            </w:r>
          </w:p>
          <w:p w14:paraId="5EFCEB2B" w14:textId="77777777" w:rsidR="00891E49" w:rsidRPr="0016060D" w:rsidRDefault="00891E49" w:rsidP="000719C3">
            <w:pPr>
              <w:spacing w:line="360" w:lineRule="auto"/>
              <w:jc w:val="center"/>
              <w:rPr>
                <w:sz w:val="22"/>
                <w:szCs w:val="22"/>
              </w:rPr>
            </w:pPr>
            <w:r w:rsidRPr="0016060D">
              <w:rPr>
                <w:sz w:val="22"/>
                <w:szCs w:val="22"/>
              </w:rPr>
              <w:t>&gt;1 mM</w:t>
            </w:r>
          </w:p>
        </w:tc>
        <w:tc>
          <w:tcPr>
            <w:tcW w:w="1710" w:type="dxa"/>
          </w:tcPr>
          <w:p w14:paraId="27D6C0F1" w14:textId="77777777" w:rsidR="00891E49" w:rsidRPr="0016060D" w:rsidRDefault="00891E49" w:rsidP="000719C3">
            <w:pPr>
              <w:spacing w:line="360" w:lineRule="auto"/>
              <w:jc w:val="center"/>
              <w:rPr>
                <w:sz w:val="22"/>
                <w:szCs w:val="22"/>
              </w:rPr>
            </w:pPr>
            <w:r w:rsidRPr="0016060D">
              <w:rPr>
                <w:sz w:val="22"/>
                <w:szCs w:val="22"/>
              </w:rPr>
              <w:t>chemorepulsion</w:t>
            </w:r>
          </w:p>
          <w:p w14:paraId="74B49BBD" w14:textId="77777777" w:rsidR="00891E49" w:rsidRPr="0016060D" w:rsidRDefault="00891E49" w:rsidP="000719C3">
            <w:pPr>
              <w:spacing w:line="360" w:lineRule="auto"/>
              <w:jc w:val="center"/>
              <w:rPr>
                <w:sz w:val="22"/>
                <w:szCs w:val="22"/>
              </w:rPr>
            </w:pPr>
            <w:r w:rsidRPr="0016060D">
              <w:rPr>
                <w:sz w:val="22"/>
                <w:szCs w:val="22"/>
              </w:rPr>
              <w:t>chemoattraction</w:t>
            </w:r>
          </w:p>
        </w:tc>
        <w:tc>
          <w:tcPr>
            <w:tcW w:w="1980" w:type="dxa"/>
          </w:tcPr>
          <w:p w14:paraId="4FC798B8" w14:textId="77777777" w:rsidR="00891E49" w:rsidRPr="0016060D" w:rsidRDefault="00891E49" w:rsidP="000719C3">
            <w:pPr>
              <w:spacing w:line="360" w:lineRule="auto"/>
              <w:jc w:val="center"/>
              <w:rPr>
                <w:sz w:val="22"/>
                <w:szCs w:val="22"/>
              </w:rPr>
            </w:pPr>
            <w:r w:rsidRPr="0016060D">
              <w:rPr>
                <w:sz w:val="22"/>
                <w:szCs w:val="22"/>
              </w:rPr>
              <w:t xml:space="preserve">tethered cell assay </w:t>
            </w:r>
            <w:r w:rsidRPr="0016060D">
              <w:rPr>
                <w:sz w:val="22"/>
                <w:szCs w:val="22"/>
                <w:vertAlign w:val="superscript"/>
              </w:rPr>
              <w:t>c</w:t>
            </w:r>
          </w:p>
        </w:tc>
        <w:tc>
          <w:tcPr>
            <w:tcW w:w="1620" w:type="dxa"/>
          </w:tcPr>
          <w:p w14:paraId="373ABCCF" w14:textId="77777777" w:rsidR="00891E49" w:rsidRPr="0016060D" w:rsidRDefault="00891E49" w:rsidP="000719C3">
            <w:pPr>
              <w:spacing w:line="360" w:lineRule="auto"/>
              <w:jc w:val="center"/>
              <w:rPr>
                <w:sz w:val="22"/>
                <w:szCs w:val="22"/>
              </w:rPr>
            </w:pPr>
            <w:r w:rsidRPr="0016060D">
              <w:rPr>
                <w:sz w:val="22"/>
                <w:szCs w:val="22"/>
              </w:rPr>
              <w:t>Tsr, Tar</w:t>
            </w:r>
          </w:p>
        </w:tc>
        <w:tc>
          <w:tcPr>
            <w:tcW w:w="810" w:type="dxa"/>
          </w:tcPr>
          <w:p w14:paraId="636A359A" w14:textId="77777777" w:rsidR="00891E49" w:rsidRPr="0016060D" w:rsidRDefault="00891E49" w:rsidP="000719C3">
            <w:pPr>
              <w:spacing w:line="360" w:lineRule="auto"/>
              <w:jc w:val="center"/>
              <w:rPr>
                <w:sz w:val="22"/>
                <w:szCs w:val="22"/>
              </w:rPr>
            </w:pPr>
            <w:r>
              <w:rPr>
                <w:sz w:val="22"/>
                <w:szCs w:val="22"/>
              </w:rPr>
              <w:fldChar w:fldCharType="begin"/>
            </w:r>
            <w:r>
              <w:rPr>
                <w:sz w:val="22"/>
                <w:szCs w:val="22"/>
              </w:rPr>
              <w:instrText xml:space="preserve"> ADDIN ZOTERO_ITEM CSL_CITATION {"citationID":"BKxhDsOe","properties":{"formattedCitation":"\\super 8\\nosupersub{}","plainCitation":"8","noteIndex":0},"citationItems":[{"id":103,"uris":["http://zotero.org/users/10130743/items/JR3Z3XDE"],"itemData":{"id":103,"type":"article-journal","abstract":"Significance\n            Chemotaxis to microbial metabolites in the GI tract plays a key role in regulating bacterial colonization and pathogenesis. Chemotaxis to indole, one of the prominent GI-tract metabolites, remains poorly understood. In this work, we describe how two major chemoreceptors, Tar and Tsr, mediate opposite responses to indole. The difference in the kinetics of these responses causes an inversion from a repellent to an attractant response over time. Cells migrated toward regions of high indole concentration only if they had previously adapted to indole. Otherwise, they were repelled. Thus, indole has the potential to segregate cells based on their state of adaptation. This bipartite response to indole may shape the development of microbial communities in the GI tract.\n          , \n            \n              Bacterial chemotaxis to prominent microbiota metabolites such as indole is important in the formation of microbial communities in the gastrointestinal (GI) tract. However, the basis of chemotaxis to indole is poorly understood. Here, we exposed\n              Escherichia coli\n              to a range of indole concentrations and measured the dynamic responses of individual flagellar motors to determine the chemotaxis response. Below 1 mM indole, a repellent-only response was observed. At 1 mM indole and higher, a time-dependent inversion from a repellent to an attractant response was observed. The repellent and attractant responses were mediated by the Tsr and Tar chemoreceptors, respectively. Also, the flagellar motor itself mediated a repellent response independent of the receptors. Chemotaxis assays revealed that receptor-mediated adaptation to indole caused a bipartite response—wild-type cells were attracted to regions of high indole concentration if they had previously adapted to indole but were otherwise repelled. We propose that indole spatially segregates cells based on their state of adaptation to repel invaders while recruiting beneficial resident bacteria to growing microbial communities within the GI tract.","container-title":"Proceedings of the National Academy of Sciences","DOI":"10.1073/pnas.1916974117","ISSN":"0027-8424, 1091-6490","issue":"11","journalAbbreviation":"Proc. Natl. Acad. Sci. U.S.A.","language":"en","page":"6114-6120","source":"DOI.org (Crossref)","title":"Biphasic chemotaxis of &lt;i&gt;Escherichia coli&lt;/i&gt; to the microbiota metabolite indole","volume":"117","author":[{"family":"Yang","given":"Jingyun"},{"family":"Chawla","given":"Ravi"},{"family":"Rhee","given":"Kathy Y."},{"family":"Gupta","given":"Rachit"},{"family":"Manson","given":"Michael D."},{"family":"Jayaraman","given":"Arul"},{"family":"Lele","given":"Pushkar P."}],"issued":{"date-parts":[["2020",3,17]]},"citation-key":"yang.etal_2020"}}],"schema":"https://github.com/citation-style-language/schema/raw/master/csl-citation.json"} </w:instrText>
            </w:r>
            <w:r>
              <w:rPr>
                <w:sz w:val="22"/>
                <w:szCs w:val="22"/>
              </w:rPr>
              <w:fldChar w:fldCharType="separate"/>
            </w:r>
            <w:r w:rsidRPr="00F263E8">
              <w:rPr>
                <w:sz w:val="22"/>
                <w:vertAlign w:val="superscript"/>
              </w:rPr>
              <w:t>8</w:t>
            </w:r>
            <w:r>
              <w:rPr>
                <w:sz w:val="22"/>
                <w:szCs w:val="22"/>
              </w:rPr>
              <w:fldChar w:fldCharType="end"/>
            </w:r>
          </w:p>
        </w:tc>
      </w:tr>
      <w:tr w:rsidR="00891E49" w:rsidRPr="0016060D" w14:paraId="0E0B411A" w14:textId="77777777" w:rsidTr="000719C3">
        <w:trPr>
          <w:jc w:val="center"/>
        </w:trPr>
        <w:tc>
          <w:tcPr>
            <w:tcW w:w="1795" w:type="dxa"/>
          </w:tcPr>
          <w:p w14:paraId="51350C4F" w14:textId="77777777" w:rsidR="00891E49" w:rsidRPr="0016060D" w:rsidRDefault="00891E49" w:rsidP="000719C3">
            <w:pPr>
              <w:spacing w:line="360" w:lineRule="auto"/>
              <w:jc w:val="center"/>
              <w:rPr>
                <w:i/>
                <w:iCs/>
                <w:sz w:val="22"/>
                <w:szCs w:val="22"/>
              </w:rPr>
            </w:pPr>
            <w:r w:rsidRPr="0016060D">
              <w:rPr>
                <w:i/>
                <w:iCs/>
                <w:sz w:val="22"/>
                <w:szCs w:val="22"/>
              </w:rPr>
              <w:t xml:space="preserve">E. coli, </w:t>
            </w:r>
            <w:r w:rsidRPr="0016060D">
              <w:rPr>
                <w:sz w:val="22"/>
                <w:szCs w:val="22"/>
              </w:rPr>
              <w:t>strain MG1655</w:t>
            </w:r>
          </w:p>
        </w:tc>
        <w:tc>
          <w:tcPr>
            <w:tcW w:w="1530" w:type="dxa"/>
          </w:tcPr>
          <w:p w14:paraId="7B260F62" w14:textId="77777777" w:rsidR="00891E49" w:rsidRPr="0016060D" w:rsidRDefault="00891E49" w:rsidP="000719C3">
            <w:pPr>
              <w:spacing w:line="360" w:lineRule="auto"/>
              <w:jc w:val="center"/>
              <w:rPr>
                <w:sz w:val="22"/>
                <w:szCs w:val="22"/>
                <w:lang w:val="en"/>
              </w:rPr>
            </w:pPr>
            <w:r w:rsidRPr="0016060D">
              <w:rPr>
                <w:sz w:val="22"/>
                <w:szCs w:val="22"/>
              </w:rPr>
              <w:t>1 mM ± 0.5-0.1 mM L-Ser</w:t>
            </w:r>
          </w:p>
        </w:tc>
        <w:tc>
          <w:tcPr>
            <w:tcW w:w="1710" w:type="dxa"/>
          </w:tcPr>
          <w:p w14:paraId="7E2916E3" w14:textId="77777777" w:rsidR="00891E49" w:rsidRPr="0016060D" w:rsidRDefault="00891E49" w:rsidP="000719C3">
            <w:pPr>
              <w:spacing w:line="360" w:lineRule="auto"/>
              <w:jc w:val="center"/>
              <w:rPr>
                <w:sz w:val="22"/>
                <w:szCs w:val="22"/>
              </w:rPr>
            </w:pPr>
            <w:r w:rsidRPr="0016060D">
              <w:rPr>
                <w:sz w:val="22"/>
                <w:szCs w:val="22"/>
              </w:rPr>
              <w:t xml:space="preserve">“bet-hedging” </w:t>
            </w:r>
            <w:r w:rsidRPr="0016060D">
              <w:rPr>
                <w:sz w:val="22"/>
                <w:szCs w:val="22"/>
                <w:vertAlign w:val="superscript"/>
              </w:rPr>
              <w:t>d</w:t>
            </w:r>
          </w:p>
        </w:tc>
        <w:tc>
          <w:tcPr>
            <w:tcW w:w="1980" w:type="dxa"/>
          </w:tcPr>
          <w:p w14:paraId="095FFF13" w14:textId="77777777" w:rsidR="00891E49" w:rsidRPr="0016060D" w:rsidRDefault="00891E49" w:rsidP="000719C3">
            <w:pPr>
              <w:spacing w:line="360" w:lineRule="auto"/>
              <w:jc w:val="center"/>
              <w:rPr>
                <w:sz w:val="22"/>
                <w:szCs w:val="22"/>
              </w:rPr>
            </w:pPr>
            <w:r w:rsidRPr="0016060D">
              <w:rPr>
                <w:sz w:val="22"/>
                <w:szCs w:val="22"/>
              </w:rPr>
              <w:t>diffusion-based assay into long channel with fluorescent imaging</w:t>
            </w:r>
          </w:p>
        </w:tc>
        <w:tc>
          <w:tcPr>
            <w:tcW w:w="1620" w:type="dxa"/>
          </w:tcPr>
          <w:p w14:paraId="42C93213" w14:textId="77777777" w:rsidR="00891E49" w:rsidRPr="0016060D" w:rsidRDefault="00891E49" w:rsidP="000719C3">
            <w:pPr>
              <w:spacing w:line="360" w:lineRule="auto"/>
              <w:jc w:val="center"/>
              <w:rPr>
                <w:sz w:val="22"/>
                <w:szCs w:val="22"/>
              </w:rPr>
            </w:pPr>
            <w:r w:rsidRPr="0016060D">
              <w:rPr>
                <w:sz w:val="22"/>
                <w:szCs w:val="22"/>
              </w:rPr>
              <w:t>Tar, Tsr</w:t>
            </w:r>
          </w:p>
        </w:tc>
        <w:tc>
          <w:tcPr>
            <w:tcW w:w="810" w:type="dxa"/>
          </w:tcPr>
          <w:p w14:paraId="3B92E941" w14:textId="77777777" w:rsidR="00891E49" w:rsidRPr="0016060D" w:rsidRDefault="00891E49" w:rsidP="000719C3">
            <w:pPr>
              <w:spacing w:line="360" w:lineRule="auto"/>
              <w:jc w:val="center"/>
              <w:rPr>
                <w:sz w:val="22"/>
                <w:szCs w:val="22"/>
                <w:vertAlign w:val="superscript"/>
              </w:rPr>
            </w:pPr>
            <w:r>
              <w:rPr>
                <w:sz w:val="22"/>
                <w:szCs w:val="22"/>
                <w:vertAlign w:val="superscript"/>
              </w:rPr>
              <w:fldChar w:fldCharType="begin"/>
            </w:r>
            <w:r>
              <w:rPr>
                <w:sz w:val="22"/>
                <w:szCs w:val="22"/>
                <w:vertAlign w:val="superscript"/>
              </w:rPr>
              <w:instrText xml:space="preserve"> ADDIN ZOTERO_ITEM CSL_CITATION {"citationID":"vOEVZb9q","properties":{"formattedCitation":"\\super 9\\nosupersub{}","plainCitation":"9","noteIndex":0},"citationItems":[{"id":428,"uris":["http://zotero.org/users/10130743/items/5VENC8RY"],"itemData":{"id":428,"type":"article-journal","abstract":"Abstract\n            \n              To cope in complex environments, motile bacteria have developed a chemosensory system that integrates multiple cues and directs their motion toward regions that it deems favorable. However, we have a limited understanding of the principles that govern bacterial behavior in complex stimuli fields. Here, we followed the spatial redistribution of\n              E. coli\n              cells in perplexing environments created by a local source of both beneficial (nutrients) and hazardous (low pH or indole) effectors. We identified two fundamentally distinct collective responses: a ‘trade-off’ response, in which bacteria sharply accumulated at a distance from the source that reflected a trade-off between the propagating effectors, and a ‘bet-hedging’ response, in which part of the bacteria accumulated away from the source, avoiding the hazardous effector, while the other part evaded the repulsive force and accumulated at the source. In addition, we demonstrate that cells lacking the Tsr sensor swim toward both repellents and, surprisingly, even toward pH values well below 7. Using a numerical analysis, we could correlate the collective bacterial responses with fundamentally distinct chemotactic force fields created along the channel by the propagation of the effectors and their unique perception by the chemosensory system.","container-title":"Scientific Reports","DOI":"10.1038/s41598-022-08762-4","ISSN":"2045-2322","issue":"1","journalAbbreviation":"Sci Rep","language":"en","page":"4928","source":"DOI.org (Crossref)","title":"Collective responses of bacteria to a local source of conflicting effectors","volume":"12","author":[{"family":"Livne","given":"Nir"},{"family":"Vaknin","given":"Ady"}],"issued":{"date-parts":[["2022",3,23]]},"citation-key":"livne.vaknin_2022"}}],"schema":"https://github.com/citation-style-language/schema/raw/master/csl-citation.json"} </w:instrText>
            </w:r>
            <w:r>
              <w:rPr>
                <w:sz w:val="22"/>
                <w:szCs w:val="22"/>
                <w:vertAlign w:val="superscript"/>
              </w:rPr>
              <w:fldChar w:fldCharType="separate"/>
            </w:r>
            <w:r w:rsidRPr="00F263E8">
              <w:rPr>
                <w:sz w:val="22"/>
                <w:vertAlign w:val="superscript"/>
              </w:rPr>
              <w:t>9</w:t>
            </w:r>
            <w:r>
              <w:rPr>
                <w:sz w:val="22"/>
                <w:szCs w:val="22"/>
                <w:vertAlign w:val="superscript"/>
              </w:rPr>
              <w:fldChar w:fldCharType="end"/>
            </w:r>
          </w:p>
        </w:tc>
      </w:tr>
      <w:tr w:rsidR="00891E49" w:rsidRPr="0016060D" w14:paraId="62963A0B" w14:textId="77777777" w:rsidTr="000719C3">
        <w:trPr>
          <w:jc w:val="center"/>
        </w:trPr>
        <w:tc>
          <w:tcPr>
            <w:tcW w:w="1795" w:type="dxa"/>
          </w:tcPr>
          <w:p w14:paraId="60CD37CB" w14:textId="77777777" w:rsidR="00891E49" w:rsidRPr="0016060D" w:rsidRDefault="00891E49" w:rsidP="000719C3">
            <w:pPr>
              <w:spacing w:line="360" w:lineRule="auto"/>
              <w:jc w:val="center"/>
              <w:rPr>
                <w:i/>
                <w:iCs/>
                <w:sz w:val="22"/>
                <w:szCs w:val="22"/>
              </w:rPr>
            </w:pPr>
            <w:r w:rsidRPr="0016060D">
              <w:rPr>
                <w:i/>
                <w:iCs/>
                <w:sz w:val="22"/>
                <w:szCs w:val="22"/>
              </w:rPr>
              <w:t xml:space="preserve">E. coli, </w:t>
            </w:r>
            <w:r w:rsidRPr="0016060D">
              <w:rPr>
                <w:sz w:val="22"/>
                <w:szCs w:val="22"/>
              </w:rPr>
              <w:t>strain</w:t>
            </w:r>
            <w:r w:rsidRPr="0016060D">
              <w:rPr>
                <w:i/>
                <w:iCs/>
                <w:sz w:val="22"/>
                <w:szCs w:val="22"/>
              </w:rPr>
              <w:t xml:space="preserve"> </w:t>
            </w:r>
            <w:r w:rsidRPr="0016060D">
              <w:rPr>
                <w:sz w:val="22"/>
                <w:szCs w:val="22"/>
              </w:rPr>
              <w:t>RP437</w:t>
            </w:r>
          </w:p>
        </w:tc>
        <w:tc>
          <w:tcPr>
            <w:tcW w:w="1530" w:type="dxa"/>
          </w:tcPr>
          <w:p w14:paraId="3BE24D2C" w14:textId="77777777" w:rsidR="00891E49" w:rsidRPr="0016060D" w:rsidRDefault="00891E49" w:rsidP="000719C3">
            <w:pPr>
              <w:spacing w:line="360" w:lineRule="auto"/>
              <w:jc w:val="center"/>
              <w:rPr>
                <w:sz w:val="22"/>
                <w:szCs w:val="22"/>
              </w:rPr>
            </w:pPr>
            <w:r w:rsidRPr="0016060D">
              <w:rPr>
                <w:sz w:val="22"/>
                <w:szCs w:val="22"/>
              </w:rPr>
              <w:t>500 µM</w:t>
            </w:r>
          </w:p>
        </w:tc>
        <w:tc>
          <w:tcPr>
            <w:tcW w:w="1710" w:type="dxa"/>
          </w:tcPr>
          <w:p w14:paraId="73B7766F" w14:textId="77777777" w:rsidR="00891E49" w:rsidRPr="0016060D" w:rsidRDefault="00891E49" w:rsidP="000719C3">
            <w:pPr>
              <w:spacing w:line="360" w:lineRule="auto"/>
              <w:jc w:val="center"/>
              <w:rPr>
                <w:sz w:val="22"/>
                <w:szCs w:val="22"/>
              </w:rPr>
            </w:pPr>
            <w:r w:rsidRPr="0016060D">
              <w:rPr>
                <w:sz w:val="22"/>
                <w:szCs w:val="22"/>
              </w:rPr>
              <w:t>chemorepulsion, overridden in presence of 500 µM Autoinducer-2</w:t>
            </w:r>
          </w:p>
        </w:tc>
        <w:tc>
          <w:tcPr>
            <w:tcW w:w="1980" w:type="dxa"/>
          </w:tcPr>
          <w:p w14:paraId="60477E47" w14:textId="77777777" w:rsidR="00891E49" w:rsidRPr="0016060D" w:rsidRDefault="00891E49" w:rsidP="000719C3">
            <w:pPr>
              <w:spacing w:line="360" w:lineRule="auto"/>
              <w:jc w:val="center"/>
              <w:rPr>
                <w:sz w:val="22"/>
                <w:szCs w:val="22"/>
              </w:rPr>
            </w:pPr>
            <w:r w:rsidRPr="0016060D">
              <w:rPr>
                <w:sz w:val="22"/>
                <w:szCs w:val="22"/>
              </w:rPr>
              <w:t>flow-based microfluidic chemotaxis device coupled to a gradient generator</w:t>
            </w:r>
          </w:p>
        </w:tc>
        <w:tc>
          <w:tcPr>
            <w:tcW w:w="1620" w:type="dxa"/>
          </w:tcPr>
          <w:p w14:paraId="31C450AC" w14:textId="77777777" w:rsidR="00891E49" w:rsidRPr="0016060D" w:rsidRDefault="00891E49" w:rsidP="000719C3">
            <w:pPr>
              <w:spacing w:line="360" w:lineRule="auto"/>
              <w:jc w:val="center"/>
              <w:rPr>
                <w:sz w:val="22"/>
                <w:szCs w:val="22"/>
              </w:rPr>
            </w:pPr>
            <w:r w:rsidRPr="0016060D">
              <w:rPr>
                <w:sz w:val="22"/>
                <w:szCs w:val="22"/>
              </w:rPr>
              <w:t>Tar, Tsr</w:t>
            </w:r>
          </w:p>
        </w:tc>
        <w:tc>
          <w:tcPr>
            <w:tcW w:w="810" w:type="dxa"/>
          </w:tcPr>
          <w:p w14:paraId="53579905" w14:textId="77777777" w:rsidR="00891E49" w:rsidRPr="0016060D" w:rsidRDefault="00891E49" w:rsidP="000719C3">
            <w:pPr>
              <w:spacing w:line="360" w:lineRule="auto"/>
              <w:jc w:val="center"/>
              <w:rPr>
                <w:sz w:val="22"/>
                <w:szCs w:val="22"/>
                <w:vertAlign w:val="superscript"/>
              </w:rPr>
            </w:pPr>
            <w:r w:rsidRPr="0016060D">
              <w:rPr>
                <w:sz w:val="22"/>
                <w:szCs w:val="22"/>
                <w:vertAlign w:val="superscript"/>
              </w:rPr>
              <w:fldChar w:fldCharType="begin"/>
            </w:r>
            <w:r>
              <w:rPr>
                <w:sz w:val="22"/>
                <w:szCs w:val="22"/>
                <w:vertAlign w:val="superscript"/>
              </w:rPr>
              <w:instrText xml:space="preserve"> ADDIN ZOTERO_ITEM CSL_CITATION {"citationID":"qXH5xnVc","properties":{"formattedCitation":"\\super 14\\nosupersub{}","plainCitation":"14","noteIndex":0},"citationItems":[{"id":394,"uris":["http://zotero.org/users/10130743/items/L4DJNSDM"],"itemData":{"id":394,"type":"article-journal","abstract":"ABSTRACT\n            \n              Chemotaxis is the migration of cells in gradients of chemoeffector molecules. Although multiple, competing gradients must often coexist in nature, conventional approaches for investigating bacterial chemotaxis are suboptimal for quantifying migration in response to gradients of multiple signals. In this work, we developed a microfluidic device for generating precise and stable gradients of signaling molecules. We used the device to investigate the effects of individual and combined chemoeffector gradients on\n              Escherichia coli\n              chemotaxis. Laminar flow-based diffusive mixing was used to generate gradients, and the chemotactic responses of cells expressing green fluorescent protein were determined using fluorescence microscopy. Quantification of the migration profiles indicated that\n              E. coli\n              was attracted to the quorum-sensing molecule autoinducer-2 (AI-2) but was repelled from the stationary-phase signal indole. Cells also migrated toward higher concentrations of isatin (indole-2,3-dione), an oxidized derivative of indole. Attraction to AI-2 overcame repulsion by indole in equal, competing gradients. Our data suggest that concentration-dependent interactions between attractant and repellent signals may be important determinants of bacterial colonization of the gut.","container-title":"Applied and Environmental Microbiology","DOI":"10.1128/AEM.02952-08","ISSN":"0099-2240, 1098-5336","issue":"13","journalAbbreviation":"Appl Environ Microbiol","language":"en","page":"4557-4564","source":"DOI.org (Crossref)","title":"Flow-Based Microfluidic Device for Quantifying Bacterial Chemotaxis in Stable, Competing Gradients","volume":"75","author":[{"family":"Englert","given":"Derek L."},{"family":"Manson","given":"Michael D."},{"family":"Jayaraman","given":"Arul"}],"issued":{"date-parts":[["2009",7]]},"citation-key":"englert.etal_2009"}}],"schema":"https://github.com/citation-style-language/schema/raw/master/csl-citation.json"} </w:instrText>
            </w:r>
            <w:r w:rsidRPr="0016060D">
              <w:rPr>
                <w:sz w:val="22"/>
                <w:szCs w:val="22"/>
                <w:vertAlign w:val="superscript"/>
              </w:rPr>
              <w:fldChar w:fldCharType="separate"/>
            </w:r>
            <w:r w:rsidRPr="00F263E8">
              <w:rPr>
                <w:sz w:val="22"/>
                <w:vertAlign w:val="superscript"/>
              </w:rPr>
              <w:t>14</w:t>
            </w:r>
            <w:r w:rsidRPr="0016060D">
              <w:rPr>
                <w:sz w:val="22"/>
                <w:szCs w:val="22"/>
                <w:vertAlign w:val="superscript"/>
              </w:rPr>
              <w:fldChar w:fldCharType="end"/>
            </w:r>
          </w:p>
        </w:tc>
      </w:tr>
      <w:tr w:rsidR="00891E49" w:rsidRPr="0016060D" w14:paraId="2EE044F9" w14:textId="77777777" w:rsidTr="000719C3">
        <w:trPr>
          <w:jc w:val="center"/>
        </w:trPr>
        <w:tc>
          <w:tcPr>
            <w:tcW w:w="1795" w:type="dxa"/>
          </w:tcPr>
          <w:p w14:paraId="383DA10C" w14:textId="77777777" w:rsidR="00891E49" w:rsidRPr="0016060D" w:rsidRDefault="00891E49" w:rsidP="000719C3">
            <w:pPr>
              <w:spacing w:line="360" w:lineRule="auto"/>
              <w:jc w:val="center"/>
              <w:rPr>
                <w:i/>
                <w:iCs/>
                <w:sz w:val="22"/>
                <w:szCs w:val="22"/>
              </w:rPr>
            </w:pPr>
            <w:r w:rsidRPr="0016060D">
              <w:rPr>
                <w:i/>
                <w:iCs/>
                <w:sz w:val="22"/>
                <w:szCs w:val="22"/>
              </w:rPr>
              <w:t xml:space="preserve">E. coli, </w:t>
            </w:r>
            <w:r w:rsidRPr="0016060D">
              <w:rPr>
                <w:sz w:val="22"/>
                <w:szCs w:val="22"/>
              </w:rPr>
              <w:t>strain</w:t>
            </w:r>
            <w:r w:rsidRPr="0016060D">
              <w:rPr>
                <w:i/>
                <w:iCs/>
                <w:sz w:val="22"/>
                <w:szCs w:val="22"/>
              </w:rPr>
              <w:t xml:space="preserve"> </w:t>
            </w:r>
            <w:r w:rsidRPr="0016060D">
              <w:rPr>
                <w:sz w:val="22"/>
                <w:szCs w:val="22"/>
              </w:rPr>
              <w:t>RP437</w:t>
            </w:r>
          </w:p>
        </w:tc>
        <w:tc>
          <w:tcPr>
            <w:tcW w:w="1530" w:type="dxa"/>
          </w:tcPr>
          <w:p w14:paraId="2F58162A" w14:textId="77777777" w:rsidR="00891E49" w:rsidRPr="0016060D" w:rsidRDefault="00891E49" w:rsidP="000719C3">
            <w:pPr>
              <w:spacing w:line="360" w:lineRule="auto"/>
              <w:jc w:val="center"/>
              <w:rPr>
                <w:sz w:val="22"/>
                <w:szCs w:val="22"/>
              </w:rPr>
            </w:pPr>
            <w:r w:rsidRPr="0016060D">
              <w:rPr>
                <w:sz w:val="22"/>
                <w:szCs w:val="22"/>
                <w:lang w:val="en"/>
              </w:rPr>
              <w:t>≤</w:t>
            </w:r>
            <w:r w:rsidRPr="0016060D">
              <w:rPr>
                <w:sz w:val="22"/>
                <w:szCs w:val="22"/>
              </w:rPr>
              <w:t>1 mM</w:t>
            </w:r>
          </w:p>
          <w:p w14:paraId="615703B3" w14:textId="77777777" w:rsidR="00891E49" w:rsidRPr="0016060D" w:rsidRDefault="00891E49" w:rsidP="000719C3">
            <w:pPr>
              <w:spacing w:line="360" w:lineRule="auto"/>
              <w:jc w:val="center"/>
              <w:rPr>
                <w:sz w:val="22"/>
                <w:szCs w:val="22"/>
                <w:lang w:val="en"/>
              </w:rPr>
            </w:pPr>
            <w:r w:rsidRPr="0016060D">
              <w:rPr>
                <w:sz w:val="22"/>
                <w:szCs w:val="22"/>
              </w:rPr>
              <w:t>&gt;1 mM</w:t>
            </w:r>
          </w:p>
        </w:tc>
        <w:tc>
          <w:tcPr>
            <w:tcW w:w="1710" w:type="dxa"/>
          </w:tcPr>
          <w:p w14:paraId="6235DDF1" w14:textId="77777777" w:rsidR="00891E49" w:rsidRPr="0016060D" w:rsidRDefault="00891E49" w:rsidP="000719C3">
            <w:pPr>
              <w:spacing w:line="360" w:lineRule="auto"/>
              <w:jc w:val="center"/>
              <w:rPr>
                <w:sz w:val="22"/>
                <w:szCs w:val="22"/>
              </w:rPr>
            </w:pPr>
            <w:r w:rsidRPr="0016060D">
              <w:rPr>
                <w:sz w:val="22"/>
                <w:szCs w:val="22"/>
              </w:rPr>
              <w:t>decreased motility</w:t>
            </w:r>
          </w:p>
          <w:p w14:paraId="47904051" w14:textId="77777777" w:rsidR="00891E49" w:rsidRPr="0016060D" w:rsidRDefault="00891E49" w:rsidP="000719C3">
            <w:pPr>
              <w:spacing w:line="360" w:lineRule="auto"/>
              <w:jc w:val="center"/>
              <w:rPr>
                <w:sz w:val="22"/>
                <w:szCs w:val="22"/>
              </w:rPr>
            </w:pPr>
            <w:r w:rsidRPr="0016060D">
              <w:rPr>
                <w:sz w:val="22"/>
                <w:szCs w:val="22"/>
              </w:rPr>
              <w:t>slower flagellar rotation</w:t>
            </w:r>
          </w:p>
        </w:tc>
        <w:tc>
          <w:tcPr>
            <w:tcW w:w="1980" w:type="dxa"/>
          </w:tcPr>
          <w:p w14:paraId="04002E22" w14:textId="77777777" w:rsidR="00891E49" w:rsidRPr="0016060D" w:rsidRDefault="00891E49" w:rsidP="000719C3">
            <w:pPr>
              <w:spacing w:line="360" w:lineRule="auto"/>
              <w:jc w:val="center"/>
              <w:rPr>
                <w:sz w:val="22"/>
                <w:szCs w:val="22"/>
              </w:rPr>
            </w:pPr>
            <w:r w:rsidRPr="0016060D">
              <w:rPr>
                <w:sz w:val="22"/>
                <w:szCs w:val="22"/>
              </w:rPr>
              <w:t xml:space="preserve">tethered cell assay </w:t>
            </w:r>
            <w:r w:rsidRPr="0016060D">
              <w:rPr>
                <w:sz w:val="22"/>
                <w:szCs w:val="22"/>
                <w:vertAlign w:val="superscript"/>
              </w:rPr>
              <w:t>c</w:t>
            </w:r>
          </w:p>
        </w:tc>
        <w:tc>
          <w:tcPr>
            <w:tcW w:w="1620" w:type="dxa"/>
          </w:tcPr>
          <w:p w14:paraId="15F68580" w14:textId="77777777" w:rsidR="00891E49" w:rsidRPr="0016060D" w:rsidRDefault="00891E49" w:rsidP="000719C3">
            <w:pPr>
              <w:spacing w:line="360" w:lineRule="auto"/>
              <w:jc w:val="center"/>
              <w:rPr>
                <w:sz w:val="22"/>
                <w:szCs w:val="22"/>
              </w:rPr>
            </w:pPr>
            <w:r w:rsidRPr="0016060D">
              <w:rPr>
                <w:sz w:val="22"/>
                <w:szCs w:val="22"/>
              </w:rPr>
              <w:t>Non-CheY dependent</w:t>
            </w:r>
          </w:p>
        </w:tc>
        <w:tc>
          <w:tcPr>
            <w:tcW w:w="810" w:type="dxa"/>
          </w:tcPr>
          <w:p w14:paraId="2D6C4D5A" w14:textId="77777777" w:rsidR="00891E49" w:rsidRPr="0016060D" w:rsidRDefault="00891E49" w:rsidP="000719C3">
            <w:pPr>
              <w:spacing w:line="360" w:lineRule="auto"/>
              <w:jc w:val="center"/>
              <w:rPr>
                <w:sz w:val="22"/>
                <w:szCs w:val="22"/>
                <w:vertAlign w:val="superscript"/>
              </w:rPr>
            </w:pPr>
            <w:r w:rsidRPr="0016060D">
              <w:rPr>
                <w:sz w:val="22"/>
                <w:szCs w:val="22"/>
                <w:vertAlign w:val="superscript"/>
              </w:rPr>
              <w:fldChar w:fldCharType="begin"/>
            </w:r>
            <w:r>
              <w:rPr>
                <w:sz w:val="22"/>
                <w:szCs w:val="22"/>
                <w:vertAlign w:val="superscript"/>
              </w:rPr>
              <w:instrText xml:space="preserve"> ADDIN ZOTERO_ITEM CSL_CITATION {"citationID":"LscrjYAC","properties":{"formattedCitation":"\\super 18\\nosupersub{}","plainCitation":"18","noteIndex":0},"citationItems":[{"id":94,"uris":["http://zotero.org/users/10130743/items/EX37D3KU"],"itemData":{"id":94,"type":"article-journal","abstract":"Abstract\n            Indole is a major component of the bacterial exometabolome, and the mechanisms for its wide-ranging effects on bacterial physiology are biomedically significant, although they remain poorly understood. Here, we determined how indole modulates the functions of a widely conserved motility apparatus, the bacterial flagellum. Our experiments in Escherichia coli revealed that indole influences the rotation rates and reversals in the flagellum's direction of rotation via multiple mechanisms. At concentrations higher than 1 mM, indole decreased the membrane potential to dissipate the power available for the rotation of the motor that operates the flagellum. Below 1 mM, indole did not dissipate the membrane potential. Instead, experiments and modeling indicated that indole weakens cooperative protein interactions within the flagellar complexes to inhibit motility. The metabolite also induced reversals in the rotational direction of the motor to promote a weak chemotactic response, even when the chemotaxis response regulator, CheY, was lacking. Experiments further revealed that indole does not require the transporter Mtr to cross the membrane and influence motor functions. Based on these findings, we propose that indole modulates intra- and inter-protein interactions in the cell to influence several physiological functions.","container-title":"PNAS Nexus","DOI":"10.1093/pnasnexus/pgac035","ISSN":"2752-6542","issue":"2","language":"en","license":"https://creativecommons.org/licenses/by/4.0/","page":"pgac035","source":"DOI.org (Crossref)","title":"Indole modulates cooperative protein–protein interactions in the flagellar motor","volume":"1","author":[{"family":"Gupta","given":"Rachit"},{"family":"Rhee","given":"Kathy Y"},{"family":"Beagle","given":"Sarah D"},{"family":"Chawla","given":"Ravi"},{"family":"Perdomo","given":"Nicolas"},{"family":"Lockless","given":"Steve W"},{"family":"Lele","given":"Pushkar P"}],"editor":[{"family":"Wilson","given":"Ian"}],"issued":{"date-parts":[["2022",5,26]]},"citation-key":"gupta.etal_2022"}}],"schema":"https://github.com/citation-style-language/schema/raw/master/csl-citation.json"} </w:instrText>
            </w:r>
            <w:r w:rsidRPr="0016060D">
              <w:rPr>
                <w:sz w:val="22"/>
                <w:szCs w:val="22"/>
                <w:vertAlign w:val="superscript"/>
              </w:rPr>
              <w:fldChar w:fldCharType="separate"/>
            </w:r>
            <w:r w:rsidRPr="00F263E8">
              <w:rPr>
                <w:sz w:val="22"/>
                <w:vertAlign w:val="superscript"/>
              </w:rPr>
              <w:t>18</w:t>
            </w:r>
            <w:r w:rsidRPr="0016060D">
              <w:rPr>
                <w:sz w:val="22"/>
                <w:szCs w:val="22"/>
                <w:vertAlign w:val="superscript"/>
              </w:rPr>
              <w:fldChar w:fldCharType="end"/>
            </w:r>
          </w:p>
        </w:tc>
      </w:tr>
      <w:tr w:rsidR="00891E49" w:rsidRPr="0016060D" w14:paraId="48BFBC7D" w14:textId="77777777" w:rsidTr="000719C3">
        <w:trPr>
          <w:jc w:val="center"/>
        </w:trPr>
        <w:tc>
          <w:tcPr>
            <w:tcW w:w="1795" w:type="dxa"/>
          </w:tcPr>
          <w:p w14:paraId="6CC2BEAD" w14:textId="77777777" w:rsidR="00891E49" w:rsidRPr="0016060D" w:rsidRDefault="00891E49" w:rsidP="000719C3">
            <w:pPr>
              <w:spacing w:line="360" w:lineRule="auto"/>
              <w:jc w:val="center"/>
              <w:rPr>
                <w:i/>
                <w:iCs/>
                <w:sz w:val="22"/>
                <w:szCs w:val="22"/>
              </w:rPr>
            </w:pPr>
            <w:r w:rsidRPr="0016060D">
              <w:rPr>
                <w:i/>
                <w:iCs/>
                <w:sz w:val="22"/>
                <w:szCs w:val="22"/>
              </w:rPr>
              <w:t>E. coli</w:t>
            </w:r>
            <w:r w:rsidRPr="0016060D">
              <w:rPr>
                <w:sz w:val="22"/>
                <w:szCs w:val="22"/>
              </w:rPr>
              <w:t>, strain O157:H7 CDC EDL933</w:t>
            </w:r>
          </w:p>
        </w:tc>
        <w:tc>
          <w:tcPr>
            <w:tcW w:w="1530" w:type="dxa"/>
          </w:tcPr>
          <w:p w14:paraId="0619D1DC" w14:textId="77777777" w:rsidR="00891E49" w:rsidRPr="0016060D" w:rsidRDefault="00891E49" w:rsidP="000719C3">
            <w:pPr>
              <w:spacing w:line="360" w:lineRule="auto"/>
              <w:jc w:val="center"/>
              <w:rPr>
                <w:sz w:val="22"/>
                <w:szCs w:val="22"/>
                <w:lang w:val="en"/>
              </w:rPr>
            </w:pPr>
            <w:r w:rsidRPr="0016060D">
              <w:rPr>
                <w:sz w:val="22"/>
                <w:szCs w:val="22"/>
              </w:rPr>
              <w:t>500 μM</w:t>
            </w:r>
          </w:p>
        </w:tc>
        <w:tc>
          <w:tcPr>
            <w:tcW w:w="1710" w:type="dxa"/>
          </w:tcPr>
          <w:p w14:paraId="2794A4B0" w14:textId="77777777" w:rsidR="00891E49" w:rsidRPr="0016060D" w:rsidRDefault="00891E49" w:rsidP="000719C3">
            <w:pPr>
              <w:spacing w:line="360" w:lineRule="auto"/>
              <w:jc w:val="center"/>
              <w:rPr>
                <w:sz w:val="22"/>
                <w:szCs w:val="22"/>
              </w:rPr>
            </w:pPr>
            <w:r w:rsidRPr="0016060D">
              <w:rPr>
                <w:sz w:val="22"/>
                <w:szCs w:val="22"/>
              </w:rPr>
              <w:t>chemorepulsion</w:t>
            </w:r>
          </w:p>
        </w:tc>
        <w:tc>
          <w:tcPr>
            <w:tcW w:w="1980" w:type="dxa"/>
          </w:tcPr>
          <w:p w14:paraId="0C7EBD85" w14:textId="77777777" w:rsidR="00891E49" w:rsidRPr="0016060D" w:rsidRDefault="00891E49" w:rsidP="000719C3">
            <w:pPr>
              <w:spacing w:line="360" w:lineRule="auto"/>
              <w:jc w:val="center"/>
              <w:rPr>
                <w:sz w:val="22"/>
                <w:szCs w:val="22"/>
              </w:rPr>
            </w:pPr>
            <w:r w:rsidRPr="0016060D">
              <w:rPr>
                <w:sz w:val="22"/>
                <w:szCs w:val="22"/>
              </w:rPr>
              <w:t>agarose plug chemotaxis assay imaged every 5 minutes for 30 minutes</w:t>
            </w:r>
          </w:p>
        </w:tc>
        <w:tc>
          <w:tcPr>
            <w:tcW w:w="1620" w:type="dxa"/>
          </w:tcPr>
          <w:p w14:paraId="75395907" w14:textId="77777777" w:rsidR="00891E49" w:rsidRPr="0016060D" w:rsidRDefault="00891E49" w:rsidP="000719C3">
            <w:pPr>
              <w:spacing w:line="360" w:lineRule="auto"/>
              <w:jc w:val="center"/>
              <w:rPr>
                <w:sz w:val="22"/>
                <w:szCs w:val="22"/>
              </w:rPr>
            </w:pPr>
            <w:r w:rsidRPr="0016060D">
              <w:rPr>
                <w:sz w:val="22"/>
                <w:szCs w:val="22"/>
              </w:rPr>
              <w:t>MotB and FliD</w:t>
            </w:r>
          </w:p>
        </w:tc>
        <w:tc>
          <w:tcPr>
            <w:tcW w:w="810" w:type="dxa"/>
          </w:tcPr>
          <w:p w14:paraId="341946D9" w14:textId="77777777" w:rsidR="00891E49" w:rsidRPr="0016060D" w:rsidRDefault="00891E49" w:rsidP="000719C3">
            <w:pPr>
              <w:spacing w:line="360" w:lineRule="auto"/>
              <w:jc w:val="center"/>
              <w:rPr>
                <w:sz w:val="22"/>
                <w:szCs w:val="22"/>
                <w:vertAlign w:val="superscript"/>
              </w:rPr>
            </w:pPr>
            <w:r>
              <w:rPr>
                <w:sz w:val="22"/>
                <w:szCs w:val="22"/>
                <w:vertAlign w:val="superscript"/>
              </w:rPr>
              <w:fldChar w:fldCharType="begin"/>
            </w:r>
            <w:r>
              <w:rPr>
                <w:sz w:val="22"/>
                <w:szCs w:val="22"/>
                <w:vertAlign w:val="superscript"/>
              </w:rPr>
              <w:instrText xml:space="preserve"> ADDIN ZOTERO_ITEM CSL_CITATION {"citationID":"fDzVkhMw","properties":{"formattedCitation":"\\super 25\\nosupersub{}","plainCitation":"25","noteIndex":0},"citationItems":[{"id":87,"uris":["http://zotero.org/users/10130743/items/DA5RHJ9A"],"itemData":{"id":87,"type":"article-journal","abstract":"ABSTRACT\n            \n              During infection in the gastrointestinal tract, enterohemorrhagic\n              Escherichia coli\n              (EHEC) O157:H7 is exposed to a wide range of signaling molecules, including the eukaryotic hormones epinephrine and norepinephrine, and bacterial signal molecules such as indole. Since these signaling molecules have been shown to be involved in the regulation of phenotypes such as motility and virulence that are crucial for EHEC infections, we hypothesized that these molecules also govern the initial recognition of the large intestine environment and attachment to the host cell surface. Here, we report that, compared to indole, epinephrine and norepinephrine exert divergent effects on EHEC chemotaxis, motility, biofilm formation, gene expression, and colonization of HeLa cells. Using a novel two-fluorophore chemotaxis assay, it was found that EHEC is attracted to epinephrine and norepinephrine while it is repelled by indole. In addition, epinephrine and norepinephrine also increased EHEC motility and biofilm formation while indole attenuated these phenotypes. DNA microarray analysis of surface-associated EHEC indicated that epinephrine/norepinephrine up-regulated the expression of genes involved in surface colonization and virulence while exposure to indole decreased their expression. The gene expression data also suggested that autoinducer 2 uptake was repressed upon exposure to epinephrine/norepinephrine but not indole. In vitro adherence experiments confirmed that epinephrine and norepinephrine increased attachment to epithelial cells while indole decreased adherence. Taken together, these results suggest that epinephrine and norepinephrine increase EHEC infection while indole attenuates the process.","container-title":"Infection and Immunity","DOI":"10.1128/IAI.00630-07","ISSN":"0019-9567, 1098-5522","issue":"9","journalAbbreviation":"Infect Immun","language":"en","page":"4597-4607","source":"DOI.org (Crossref)","title":"Differential Effects of Epinephrine, Norepinephrine, and Indole on &lt;i&gt;Escherichia coli&lt;/i&gt; O157:H7 Chemotaxis, Colonization, and Gene Expression","title-short":"Differential Effects of Epinephrine, Norepinephrine, and Indole on &lt;i&gt;Escherichia coli&lt;/i&gt; O157","volume":"75","author":[{"family":"Bansal","given":"Tarun"},{"family":"Englert","given":"Derek"},{"family":"Lee","given":"Jintae"},{"family":"Hegde","given":"Manjunath"},{"family":"Wood","given":"Thomas K."},{"family":"Jayaraman","given":"Arul"}],"issued":{"date-parts":[["2007",9]]},"citation-key":"bansal.etal_2007"}}],"schema":"https://github.com/citation-style-language/schema/raw/master/csl-citation.json"} </w:instrText>
            </w:r>
            <w:r>
              <w:rPr>
                <w:sz w:val="22"/>
                <w:szCs w:val="22"/>
                <w:vertAlign w:val="superscript"/>
              </w:rPr>
              <w:fldChar w:fldCharType="separate"/>
            </w:r>
            <w:r w:rsidRPr="00685ABA">
              <w:rPr>
                <w:sz w:val="22"/>
                <w:vertAlign w:val="superscript"/>
              </w:rPr>
              <w:t>25</w:t>
            </w:r>
            <w:r>
              <w:rPr>
                <w:sz w:val="22"/>
                <w:szCs w:val="22"/>
                <w:vertAlign w:val="superscript"/>
              </w:rPr>
              <w:fldChar w:fldCharType="end"/>
            </w:r>
          </w:p>
        </w:tc>
      </w:tr>
      <w:tr w:rsidR="00891E49" w:rsidRPr="0016060D" w14:paraId="153BFB7F" w14:textId="77777777" w:rsidTr="000719C3">
        <w:trPr>
          <w:jc w:val="center"/>
        </w:trPr>
        <w:tc>
          <w:tcPr>
            <w:tcW w:w="1795" w:type="dxa"/>
          </w:tcPr>
          <w:p w14:paraId="7EAED016" w14:textId="77777777" w:rsidR="00891E49" w:rsidRPr="0016060D" w:rsidRDefault="00891E49" w:rsidP="000719C3">
            <w:pPr>
              <w:spacing w:line="360" w:lineRule="auto"/>
              <w:jc w:val="center"/>
              <w:rPr>
                <w:sz w:val="22"/>
                <w:szCs w:val="22"/>
                <w:vertAlign w:val="superscript"/>
              </w:rPr>
            </w:pPr>
            <w:r w:rsidRPr="0016060D">
              <w:rPr>
                <w:i/>
                <w:iCs/>
                <w:sz w:val="22"/>
                <w:szCs w:val="22"/>
              </w:rPr>
              <w:t xml:space="preserve">S. </w:t>
            </w:r>
            <w:r w:rsidRPr="0016060D">
              <w:rPr>
                <w:sz w:val="22"/>
                <w:szCs w:val="22"/>
              </w:rPr>
              <w:t>Typhimurium, strain ATCC14028s</w:t>
            </w:r>
          </w:p>
        </w:tc>
        <w:tc>
          <w:tcPr>
            <w:tcW w:w="1530" w:type="dxa"/>
          </w:tcPr>
          <w:p w14:paraId="1371E38A" w14:textId="77777777" w:rsidR="00891E49" w:rsidRPr="0016060D" w:rsidRDefault="00891E49" w:rsidP="000719C3">
            <w:pPr>
              <w:spacing w:line="360" w:lineRule="auto"/>
              <w:jc w:val="center"/>
              <w:rPr>
                <w:sz w:val="22"/>
                <w:szCs w:val="22"/>
              </w:rPr>
            </w:pPr>
            <w:r w:rsidRPr="0016060D">
              <w:rPr>
                <w:sz w:val="22"/>
                <w:szCs w:val="22"/>
              </w:rPr>
              <w:t>1 mM</w:t>
            </w:r>
          </w:p>
        </w:tc>
        <w:tc>
          <w:tcPr>
            <w:tcW w:w="1710" w:type="dxa"/>
          </w:tcPr>
          <w:p w14:paraId="1332EF3D" w14:textId="77777777" w:rsidR="00891E49" w:rsidRPr="0016060D" w:rsidRDefault="00891E49" w:rsidP="000719C3">
            <w:pPr>
              <w:spacing w:line="360" w:lineRule="auto"/>
              <w:jc w:val="center"/>
              <w:rPr>
                <w:sz w:val="22"/>
                <w:szCs w:val="22"/>
              </w:rPr>
            </w:pPr>
            <w:r w:rsidRPr="0016060D">
              <w:rPr>
                <w:sz w:val="22"/>
                <w:szCs w:val="22"/>
              </w:rPr>
              <w:t>decreased motility</w:t>
            </w:r>
          </w:p>
        </w:tc>
        <w:tc>
          <w:tcPr>
            <w:tcW w:w="1980" w:type="dxa"/>
          </w:tcPr>
          <w:p w14:paraId="2410C34A" w14:textId="77777777" w:rsidR="00891E49" w:rsidRPr="0016060D" w:rsidRDefault="00891E49" w:rsidP="000719C3">
            <w:pPr>
              <w:spacing w:line="360" w:lineRule="auto"/>
              <w:jc w:val="center"/>
              <w:rPr>
                <w:sz w:val="22"/>
                <w:szCs w:val="22"/>
              </w:rPr>
            </w:pPr>
            <w:r w:rsidRPr="0016060D">
              <w:rPr>
                <w:sz w:val="22"/>
                <w:szCs w:val="22"/>
              </w:rPr>
              <w:t xml:space="preserve">swimming motility agar plates </w:t>
            </w:r>
            <w:r w:rsidRPr="0016060D">
              <w:rPr>
                <w:sz w:val="22"/>
                <w:szCs w:val="22"/>
                <w:vertAlign w:val="superscript"/>
              </w:rPr>
              <w:t>c</w:t>
            </w:r>
          </w:p>
        </w:tc>
        <w:tc>
          <w:tcPr>
            <w:tcW w:w="1620" w:type="dxa"/>
          </w:tcPr>
          <w:p w14:paraId="3220B657" w14:textId="77777777" w:rsidR="00891E49" w:rsidRPr="0016060D" w:rsidRDefault="00891E49" w:rsidP="000719C3">
            <w:pPr>
              <w:spacing w:line="360" w:lineRule="auto"/>
              <w:jc w:val="center"/>
              <w:rPr>
                <w:sz w:val="22"/>
                <w:szCs w:val="22"/>
              </w:rPr>
            </w:pPr>
            <w:r w:rsidRPr="0016060D">
              <w:rPr>
                <w:sz w:val="22"/>
                <w:szCs w:val="22"/>
              </w:rPr>
              <w:t>MotA</w:t>
            </w:r>
          </w:p>
        </w:tc>
        <w:tc>
          <w:tcPr>
            <w:tcW w:w="810" w:type="dxa"/>
          </w:tcPr>
          <w:p w14:paraId="2BFFF3E2" w14:textId="77777777" w:rsidR="00891E49" w:rsidRPr="0016060D" w:rsidRDefault="00891E49" w:rsidP="000719C3">
            <w:pPr>
              <w:spacing w:line="360" w:lineRule="auto"/>
              <w:jc w:val="center"/>
              <w:rPr>
                <w:sz w:val="22"/>
                <w:szCs w:val="22"/>
              </w:rPr>
            </w:pPr>
            <w:r>
              <w:rPr>
                <w:sz w:val="22"/>
                <w:szCs w:val="22"/>
              </w:rPr>
              <w:fldChar w:fldCharType="begin"/>
            </w:r>
            <w:r>
              <w:rPr>
                <w:sz w:val="22"/>
                <w:szCs w:val="22"/>
              </w:rPr>
              <w:instrText xml:space="preserve"> ADDIN ZOTERO_ITEM CSL_CITATION {"citationID":"WfnEJ8WN","properties":{"formattedCitation":"\\super 23\\nosupersub{}","plainCitation":"23","noteIndex":0},"citationItems":[{"id":"PHL7n1IB/heKWwJOV","uris":["http://zotero.org/users/local/IzaRRkMI/items/XZQYQP45"],"itemData":{"id":545,"type":"article-journal","abstract":"The microbial community present in the gastrointestinal tract is an important component of the host defense against pathogen infections. We previously demonstrated that indole, a microbial metabolite of tryptophan, reduces enterohemorrhagic Escherichia coli O157:H7 attachment to intestinal epithelial cells and biofilm formation, suggesting that indole may be an effector/attenuator of colonization for a number of enteric pathogens. Here, we report that indole attenuates Salmonella Typhimurium (Salmonella) virulence and invasion as well as increases resistance to colonization in host cells. Indole-exposed Salmonella colonized mice less effectively compared to solvent-treated controls, as evident by competitive index values less than 1 in multiple organs. Indole-exposed Salmonella demonstrated 160-fold less invasion of HeLa epithelial cells and 2-fold less invasion of J774A.1 macrophages compared to solvent-treated controls. However, indole did not affect Salmonella intracellular survival in J774A.1 macrophages suggesting that indole primarily affects Salmonella invasion. The decrease in invasion was corroborated by a decrease in expression of multiple Salmonella Pathogenicity Island-1 (SPI-1) genes. We also identified that the effect of indole was mediated by both PhoPQ-dependent and independent mechanisms. Indole also synergistically enhanced the inhibitory effect of a short chain fatty acid cocktail on SPI-1 gene expression. Lastly, indole-treated HeLa cells were 70% more resistant to Salmonella invasion suggesting that indole also increases resistance of epithelial cells to colonization. Our results demonstrate that indole is an important microbiota metabolite that has direct anti-infective effects on Salmonella and host cells, revealing novel mechanisms of pathogen colonization resistance.","container-title":"PLOS ONE","DOI":"10.1371/journal.pone.0190613","ISSN":"1932-6203","issue":"1","journalAbbreviation":"PLOS ONE","language":"en","note":"publisher: Public Library of Science","page":"e0190613","source":"PLoS Journals","title":"The microbiota metabolite indole inhibits Salmonella virulence: Involvement of the PhoPQ two-component system","title-short":"The microbiota metabolite indole inhibits Salmonella virulence","volume":"13","author":[{"family":"Kohli","given":"Nandita"},{"family":"Crisp","given":"Zeni"},{"family":"Riordan","given":"Rebekah"},{"family":"Li","given":"Michael"},{"family":"Alaniz","given":"Robert C."},{"family":"Jayaraman","given":"Arul"}],"issued":{"date-parts":[["2018",1,17]]}}}],"schema":"https://github.com/citation-style-language/schema/raw/master/csl-citation.json"} </w:instrText>
            </w:r>
            <w:r>
              <w:rPr>
                <w:sz w:val="22"/>
                <w:szCs w:val="22"/>
              </w:rPr>
              <w:fldChar w:fldCharType="separate"/>
            </w:r>
            <w:r w:rsidRPr="00685ABA">
              <w:rPr>
                <w:sz w:val="22"/>
                <w:vertAlign w:val="superscript"/>
              </w:rPr>
              <w:t>23</w:t>
            </w:r>
            <w:r>
              <w:rPr>
                <w:sz w:val="22"/>
                <w:szCs w:val="22"/>
              </w:rPr>
              <w:fldChar w:fldCharType="end"/>
            </w:r>
          </w:p>
        </w:tc>
      </w:tr>
      <w:tr w:rsidR="00891E49" w:rsidRPr="0016060D" w14:paraId="1E7DCD9B" w14:textId="77777777" w:rsidTr="000719C3">
        <w:trPr>
          <w:jc w:val="center"/>
        </w:trPr>
        <w:tc>
          <w:tcPr>
            <w:tcW w:w="1795" w:type="dxa"/>
          </w:tcPr>
          <w:p w14:paraId="392BFB2C" w14:textId="77777777" w:rsidR="00891E49" w:rsidRPr="0016060D" w:rsidRDefault="00891E49" w:rsidP="000719C3">
            <w:pPr>
              <w:spacing w:line="360" w:lineRule="auto"/>
              <w:jc w:val="center"/>
              <w:rPr>
                <w:i/>
                <w:iCs/>
                <w:sz w:val="22"/>
                <w:szCs w:val="22"/>
              </w:rPr>
            </w:pPr>
            <w:r w:rsidRPr="0016060D">
              <w:rPr>
                <w:i/>
                <w:iCs/>
                <w:sz w:val="22"/>
                <w:szCs w:val="22"/>
              </w:rPr>
              <w:t xml:space="preserve">S. </w:t>
            </w:r>
            <w:r w:rsidRPr="0016060D">
              <w:rPr>
                <w:sz w:val="22"/>
                <w:szCs w:val="22"/>
              </w:rPr>
              <w:t>Typhimurium, strain ATCC14028s</w:t>
            </w:r>
          </w:p>
        </w:tc>
        <w:tc>
          <w:tcPr>
            <w:tcW w:w="1530" w:type="dxa"/>
          </w:tcPr>
          <w:p w14:paraId="674F9E20" w14:textId="77777777" w:rsidR="00891E49" w:rsidRPr="0016060D" w:rsidRDefault="00891E49" w:rsidP="000719C3">
            <w:pPr>
              <w:spacing w:line="360" w:lineRule="auto"/>
              <w:jc w:val="center"/>
              <w:rPr>
                <w:sz w:val="22"/>
                <w:szCs w:val="22"/>
              </w:rPr>
            </w:pPr>
            <w:r w:rsidRPr="0016060D">
              <w:rPr>
                <w:sz w:val="22"/>
                <w:szCs w:val="22"/>
              </w:rPr>
              <w:t>1 mM</w:t>
            </w:r>
          </w:p>
        </w:tc>
        <w:tc>
          <w:tcPr>
            <w:tcW w:w="1710" w:type="dxa"/>
          </w:tcPr>
          <w:p w14:paraId="747214FA" w14:textId="77777777" w:rsidR="00891E49" w:rsidRPr="0016060D" w:rsidRDefault="00891E49" w:rsidP="000719C3">
            <w:pPr>
              <w:spacing w:line="360" w:lineRule="auto"/>
              <w:jc w:val="center"/>
              <w:rPr>
                <w:sz w:val="22"/>
                <w:szCs w:val="22"/>
              </w:rPr>
            </w:pPr>
            <w:r w:rsidRPr="0016060D">
              <w:rPr>
                <w:sz w:val="22"/>
                <w:szCs w:val="22"/>
              </w:rPr>
              <w:t>decreased motility</w:t>
            </w:r>
          </w:p>
        </w:tc>
        <w:tc>
          <w:tcPr>
            <w:tcW w:w="1980" w:type="dxa"/>
          </w:tcPr>
          <w:p w14:paraId="579BB57A" w14:textId="77777777" w:rsidR="00891E49" w:rsidRPr="0016060D" w:rsidRDefault="00891E49" w:rsidP="000719C3">
            <w:pPr>
              <w:spacing w:line="360" w:lineRule="auto"/>
              <w:jc w:val="center"/>
              <w:rPr>
                <w:sz w:val="22"/>
                <w:szCs w:val="22"/>
              </w:rPr>
            </w:pPr>
            <w:r w:rsidRPr="0016060D">
              <w:rPr>
                <w:sz w:val="22"/>
                <w:szCs w:val="22"/>
              </w:rPr>
              <w:t xml:space="preserve">swimming motility agar plates </w:t>
            </w:r>
            <w:r w:rsidRPr="0016060D">
              <w:rPr>
                <w:sz w:val="22"/>
                <w:szCs w:val="22"/>
                <w:vertAlign w:val="superscript"/>
              </w:rPr>
              <w:t>c</w:t>
            </w:r>
          </w:p>
        </w:tc>
        <w:tc>
          <w:tcPr>
            <w:tcW w:w="1620" w:type="dxa"/>
          </w:tcPr>
          <w:p w14:paraId="0B8DF080" w14:textId="77777777" w:rsidR="00891E49" w:rsidRPr="0016060D" w:rsidRDefault="00891E49" w:rsidP="000719C3">
            <w:pPr>
              <w:spacing w:line="360" w:lineRule="auto"/>
              <w:jc w:val="center"/>
              <w:rPr>
                <w:sz w:val="22"/>
                <w:szCs w:val="22"/>
              </w:rPr>
            </w:pPr>
            <w:r w:rsidRPr="0016060D">
              <w:rPr>
                <w:sz w:val="22"/>
                <w:szCs w:val="22"/>
              </w:rPr>
              <w:t>FlhC</w:t>
            </w:r>
          </w:p>
        </w:tc>
        <w:tc>
          <w:tcPr>
            <w:tcW w:w="810" w:type="dxa"/>
          </w:tcPr>
          <w:p w14:paraId="5F50168B" w14:textId="77777777" w:rsidR="00891E49" w:rsidRPr="0016060D" w:rsidRDefault="00891E49" w:rsidP="000719C3">
            <w:pPr>
              <w:spacing w:line="360" w:lineRule="auto"/>
              <w:jc w:val="center"/>
              <w:rPr>
                <w:sz w:val="22"/>
                <w:szCs w:val="22"/>
                <w:vertAlign w:val="superscript"/>
              </w:rPr>
            </w:pPr>
            <w:r>
              <w:rPr>
                <w:sz w:val="22"/>
                <w:szCs w:val="22"/>
                <w:vertAlign w:val="superscript"/>
              </w:rPr>
              <w:fldChar w:fldCharType="begin"/>
            </w:r>
            <w:r>
              <w:rPr>
                <w:sz w:val="22"/>
                <w:szCs w:val="22"/>
                <w:vertAlign w:val="superscript"/>
              </w:rPr>
              <w:instrText xml:space="preserve"> ADDIN ZOTERO_ITEM CSL_CITATION {"citationID":"DuuZXlYt","properties":{"formattedCitation":"\\super 24\\nosupersub{}","plainCitation":"24","noteIndex":0},"citationItems":[{"id":84,"uris":["http://zotero.org/users/10130743/items/BDUMGFAG"],"itemData":{"id":84,"type":"article-journal","abstract":"Abstract\n            \n              Background\n              \n                Many Gram-positive and Gram-negative bacteria produce large quantities of indole as an intercellular signal in microbial communities. Indole demonstrated to affect gene expression in\n                Escherichia coli\n                as an intra-species signaling molecule. In contrast to\n                E. coli\n                ,\n                Salmonella\n                does not produce indole because it does not harbor\n                tnaA\n                , which encodes the enzyme responsible for tryptophan metabolism. Our previous study demonstrated that\n                E. coli\n                -conditioned medium and indole induce expression of the AcrAB multidrug efflux pump in\n                Salmonella enterica\n                serovar Typhimurium for inter-species communication; however, the global effect of indole on genes in\n                Salmonella\n                remains unknown.\n              \n            \n            \n              Results\n              \n                To understand the complete picture of genes regulated by indole, we performed DNA microarray analysis of genes in the\n                S. enterica\n                serovar Typhimurium strain ATCC 14028s affected by indole. Predicted\n                Salmonella\n                phenotypes affected by indole based on the microarray data were also examined in this study. Indole induced expression of genes related to efflux-mediated multidrug resistance, including\n                ramA\n                and\n                acrAB\n                , and repressed those related to host cell invasion encoded in the\n                Salmonella\n                pathogenicity island 1, and flagella production. Reduction of invasive activity and motility of\n                Salmonella\n                by indole was also observed phenotypically.\n              \n            \n            \n              Conclusion\n              \n                Our results suggest that indole is an important signaling molecule for inter-species communication to control drug resistance and virulence of\n                S. enterica\n                .","container-title":"Gut Pathogens","DOI":"10.1186/1757-4749-4-5","ISSN":"1757-4749","issue":"1","journalAbbreviation":"Gut Pathog","language":"en","page":"5","source":"DOI.org (Crossref)","title":"Effects of indole on drug resistance and virulence of Salmonella enterica serovar Typhimurium revealed by genome-wide analyses","volume":"4","author":[{"family":"Nikaido","given":"Eiji"},{"family":"Giraud","given":"Etienne"},{"family":"Baucheron","given":"Sylvie"},{"family":"Yamasaki","given":"Suguru"},{"family":"Wiedemann","given":"Agnès"},{"family":"Okamoto","given":"Kousuke"},{"family":"Takagi","given":"Tatsuya"},{"family":"Yamaguchi","given":"Akihito"},{"family":"Cloeckaert","given":"Axel"},{"family":"Nishino","given":"Kunihiko"}],"issued":{"date-parts":[["2012",12]]},"citation-key":"nikaido.etal_2012"}}],"schema":"https://github.com/citation-style-language/schema/raw/master/csl-citation.json"} </w:instrText>
            </w:r>
            <w:r>
              <w:rPr>
                <w:sz w:val="22"/>
                <w:szCs w:val="22"/>
                <w:vertAlign w:val="superscript"/>
              </w:rPr>
              <w:fldChar w:fldCharType="separate"/>
            </w:r>
            <w:r w:rsidRPr="00685ABA">
              <w:rPr>
                <w:sz w:val="22"/>
                <w:vertAlign w:val="superscript"/>
              </w:rPr>
              <w:t>24</w:t>
            </w:r>
            <w:r>
              <w:rPr>
                <w:sz w:val="22"/>
                <w:szCs w:val="22"/>
                <w:vertAlign w:val="superscript"/>
              </w:rPr>
              <w:fldChar w:fldCharType="end"/>
            </w:r>
          </w:p>
        </w:tc>
      </w:tr>
    </w:tbl>
    <w:p w14:paraId="5B45777E" w14:textId="77777777" w:rsidR="00891E49" w:rsidRDefault="00891E49" w:rsidP="00891E49">
      <w:pPr>
        <w:keepLines/>
        <w:widowControl w:val="0"/>
        <w:autoSpaceDE w:val="0"/>
        <w:autoSpaceDN w:val="0"/>
        <w:adjustRightInd w:val="0"/>
        <w:spacing w:line="360" w:lineRule="auto"/>
        <w:jc w:val="both"/>
      </w:pPr>
      <w:r w:rsidRPr="0016060D">
        <w:rPr>
          <w:noProof/>
          <w:color w:val="000000" w:themeColor="text1"/>
          <w14:ligatures w14:val="standardContextual"/>
        </w:rPr>
        <w:drawing>
          <wp:anchor distT="0" distB="0" distL="114300" distR="114300" simplePos="0" relativeHeight="251659264" behindDoc="0" locked="0" layoutInCell="1" allowOverlap="1" wp14:anchorId="4ACA0139" wp14:editId="429DC465">
            <wp:simplePos x="0" y="0"/>
            <wp:positionH relativeFrom="margin">
              <wp:posOffset>326390</wp:posOffset>
            </wp:positionH>
            <wp:positionV relativeFrom="margin">
              <wp:posOffset>13407390</wp:posOffset>
            </wp:positionV>
            <wp:extent cx="3870325" cy="3870325"/>
            <wp:effectExtent l="0" t="0" r="3175" b="3175"/>
            <wp:wrapTopAndBottom/>
            <wp:docPr id="2106460555" name="Picture 3" descr="A diagram of a growth of salmon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89371" name="Picture 3" descr="A diagram of a growth of salmonella&#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70325" cy="3870325"/>
                    </a:xfrm>
                    <a:prstGeom prst="rect">
                      <a:avLst/>
                    </a:prstGeom>
                  </pic:spPr>
                </pic:pic>
              </a:graphicData>
            </a:graphic>
            <wp14:sizeRelH relativeFrom="page">
              <wp14:pctWidth>0</wp14:pctWidth>
            </wp14:sizeRelH>
            <wp14:sizeRelV relativeFrom="page">
              <wp14:pctHeight>0</wp14:pctHeight>
            </wp14:sizeRelV>
          </wp:anchor>
        </w:drawing>
      </w:r>
    </w:p>
    <w:p w14:paraId="130601DB" w14:textId="77777777" w:rsidR="00891E49" w:rsidRPr="0016060D" w:rsidRDefault="00891E49" w:rsidP="00891E49">
      <w:pPr>
        <w:keepLines/>
        <w:widowControl w:val="0"/>
        <w:autoSpaceDE w:val="0"/>
        <w:autoSpaceDN w:val="0"/>
        <w:adjustRightInd w:val="0"/>
        <w:spacing w:line="360" w:lineRule="auto"/>
        <w:jc w:val="both"/>
      </w:pPr>
      <w:r w:rsidRPr="0016060D">
        <w:rPr>
          <w:vertAlign w:val="superscript"/>
        </w:rPr>
        <w:lastRenderedPageBreak/>
        <w:t>a</w:t>
      </w:r>
      <w:r w:rsidRPr="0016060D">
        <w:t xml:space="preserve"> Source concentration, or ranges, used in experiment</w:t>
      </w:r>
      <w:r>
        <w:t>.</w:t>
      </w:r>
    </w:p>
    <w:p w14:paraId="6881E34E" w14:textId="77777777" w:rsidR="00891E49" w:rsidRPr="0016060D" w:rsidRDefault="00891E49" w:rsidP="00891E49">
      <w:pPr>
        <w:keepLines/>
        <w:widowControl w:val="0"/>
        <w:autoSpaceDE w:val="0"/>
        <w:autoSpaceDN w:val="0"/>
        <w:adjustRightInd w:val="0"/>
        <w:spacing w:line="360" w:lineRule="auto"/>
        <w:jc w:val="both"/>
      </w:pPr>
      <w:r w:rsidRPr="0016060D">
        <w:rPr>
          <w:vertAlign w:val="superscript"/>
        </w:rPr>
        <w:t xml:space="preserve">b </w:t>
      </w:r>
      <w:r w:rsidRPr="0016060D">
        <w:t>The motility or chemotactic response as reported by the study authors; note that some methods employed may not be able to distinguish between responses as a consequence bacterial growth versus chemotaxis.</w:t>
      </w:r>
    </w:p>
    <w:p w14:paraId="59FA22BE" w14:textId="77777777" w:rsidR="00891E49" w:rsidRPr="0016060D" w:rsidRDefault="00891E49" w:rsidP="00891E49">
      <w:pPr>
        <w:keepLines/>
        <w:widowControl w:val="0"/>
        <w:autoSpaceDE w:val="0"/>
        <w:autoSpaceDN w:val="0"/>
        <w:adjustRightInd w:val="0"/>
        <w:spacing w:line="360" w:lineRule="auto"/>
        <w:jc w:val="both"/>
      </w:pPr>
      <w:r w:rsidRPr="0016060D">
        <w:rPr>
          <w:vertAlign w:val="superscript"/>
        </w:rPr>
        <w:t xml:space="preserve">c </w:t>
      </w:r>
      <w:r w:rsidRPr="0016060D">
        <w:t xml:space="preserve">The assay may have limitations in its ability to report on either rapid temporal responses, or localization to or from an effector source. </w:t>
      </w:r>
    </w:p>
    <w:p w14:paraId="6C13B314" w14:textId="77777777" w:rsidR="00891E49" w:rsidRDefault="00891E49" w:rsidP="00891E49">
      <w:pPr>
        <w:keepLines/>
        <w:widowControl w:val="0"/>
        <w:autoSpaceDE w:val="0"/>
        <w:autoSpaceDN w:val="0"/>
        <w:adjustRightInd w:val="0"/>
        <w:spacing w:line="360" w:lineRule="auto"/>
        <w:jc w:val="both"/>
      </w:pPr>
      <w:r w:rsidRPr="0016060D">
        <w:rPr>
          <w:vertAlign w:val="superscript"/>
        </w:rPr>
        <w:t>d</w:t>
      </w:r>
      <w:r w:rsidRPr="0016060D">
        <w:t xml:space="preserve"> In this work, we refer to behaviors of this type as “chemohalation” to be similar to the widely-used terms chemoattraction and chemorepulsion.</w:t>
      </w:r>
    </w:p>
    <w:p w14:paraId="1F366981" w14:textId="77777777" w:rsidR="00F21E57" w:rsidRDefault="00F21E57"/>
    <w:sectPr w:rsidR="00F21E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49"/>
    <w:rsid w:val="00015ADA"/>
    <w:rsid w:val="005E7029"/>
    <w:rsid w:val="00645931"/>
    <w:rsid w:val="00891E49"/>
    <w:rsid w:val="00A56D10"/>
    <w:rsid w:val="00C0006E"/>
    <w:rsid w:val="00CD7762"/>
    <w:rsid w:val="00D91803"/>
    <w:rsid w:val="00F2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2839FD"/>
  <w15:chartTrackingRefBased/>
  <w15:docId w15:val="{6AABF91A-9300-BD46-AAC1-077B6C9E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E49"/>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91E4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91E4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91E4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91E49"/>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91E49"/>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91E49"/>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91E49"/>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91E49"/>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91E49"/>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E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1E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1E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1E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1E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1E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1E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1E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1E49"/>
    <w:rPr>
      <w:rFonts w:eastAsiaTheme="majorEastAsia" w:cstheme="majorBidi"/>
      <w:color w:val="272727" w:themeColor="text1" w:themeTint="D8"/>
    </w:rPr>
  </w:style>
  <w:style w:type="paragraph" w:styleId="Title">
    <w:name w:val="Title"/>
    <w:basedOn w:val="Normal"/>
    <w:next w:val="Normal"/>
    <w:link w:val="TitleChar"/>
    <w:uiPriority w:val="10"/>
    <w:qFormat/>
    <w:rsid w:val="00891E49"/>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91E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1E4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91E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1E49"/>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91E49"/>
    <w:rPr>
      <w:i/>
      <w:iCs/>
      <w:color w:val="404040" w:themeColor="text1" w:themeTint="BF"/>
    </w:rPr>
  </w:style>
  <w:style w:type="paragraph" w:styleId="ListParagraph">
    <w:name w:val="List Paragraph"/>
    <w:basedOn w:val="Normal"/>
    <w:uiPriority w:val="34"/>
    <w:qFormat/>
    <w:rsid w:val="00891E49"/>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891E49"/>
    <w:rPr>
      <w:i/>
      <w:iCs/>
      <w:color w:val="0F4761" w:themeColor="accent1" w:themeShade="BF"/>
    </w:rPr>
  </w:style>
  <w:style w:type="paragraph" w:styleId="IntenseQuote">
    <w:name w:val="Intense Quote"/>
    <w:basedOn w:val="Normal"/>
    <w:next w:val="Normal"/>
    <w:link w:val="IntenseQuoteChar"/>
    <w:uiPriority w:val="30"/>
    <w:qFormat/>
    <w:rsid w:val="00891E4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891E49"/>
    <w:rPr>
      <w:i/>
      <w:iCs/>
      <w:color w:val="0F4761" w:themeColor="accent1" w:themeShade="BF"/>
    </w:rPr>
  </w:style>
  <w:style w:type="character" w:styleId="IntenseReference">
    <w:name w:val="Intense Reference"/>
    <w:basedOn w:val="DefaultParagraphFont"/>
    <w:uiPriority w:val="32"/>
    <w:qFormat/>
    <w:rsid w:val="00891E49"/>
    <w:rPr>
      <w:b/>
      <w:bCs/>
      <w:smallCaps/>
      <w:color w:val="0F4761" w:themeColor="accent1" w:themeShade="BF"/>
      <w:spacing w:val="5"/>
    </w:rPr>
  </w:style>
  <w:style w:type="table" w:styleId="TableGrid">
    <w:name w:val="Table Grid"/>
    <w:basedOn w:val="TableNormal"/>
    <w:uiPriority w:val="39"/>
    <w:rsid w:val="00891E49"/>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3172</Words>
  <Characters>18081</Characters>
  <Application>Microsoft Office Word</Application>
  <DocSecurity>0</DocSecurity>
  <Lines>150</Lines>
  <Paragraphs>42</Paragraphs>
  <ScaleCrop>false</ScaleCrop>
  <Company/>
  <LinksUpToDate>false</LinksUpToDate>
  <CharactersWithSpaces>21211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Kailie Franco</dc:creator>
  <cp:keywords/>
  <dc:description/>
  <cp:lastModifiedBy>Kailie Franco</cp:lastModifiedBy>
  <cp:revision>2</cp:revision>
  <dcterms:created xsi:type="dcterms:W3CDTF">2025-07-03T19:18:00Z</dcterms:created>
  <dcterms:modified xsi:type="dcterms:W3CDTF">2025-07-03T19:31:00Z</dcterms:modified>
</cp:coreProperties>
</file>