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F209" w14:textId="18DC8A95" w:rsidR="008E72DB" w:rsidRDefault="008E72DB" w:rsidP="008E72DB">
      <w:pP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509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</w:t>
      </w:r>
      <w:r w:rsidR="004D0DE5">
        <w:rPr>
          <w:rFonts w:ascii="Arial" w:hAnsi="Arial" w:cs="Arial"/>
          <w:b/>
          <w:bCs/>
          <w:color w:val="000000" w:themeColor="text1"/>
          <w:sz w:val="22"/>
          <w:szCs w:val="22"/>
        </w:rPr>
        <w:t>File 1</w:t>
      </w:r>
      <w:r w:rsidR="00A50C8A">
        <w:rPr>
          <w:rFonts w:ascii="Arial" w:hAnsi="Arial" w:cs="Arial"/>
          <w:b/>
          <w:bCs/>
          <w:color w:val="000000" w:themeColor="text1"/>
          <w:sz w:val="22"/>
          <w:szCs w:val="22"/>
        </w:rPr>
        <w:t>a</w:t>
      </w:r>
      <w:r w:rsidRPr="001509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4D0DE5">
        <w:rPr>
          <w:rFonts w:ascii="Arial" w:hAnsi="Arial" w:cs="Arial"/>
          <w:color w:val="000000" w:themeColor="text1"/>
          <w:sz w:val="22"/>
          <w:szCs w:val="22"/>
        </w:rPr>
        <w:t xml:space="preserve">Table of the </w:t>
      </w:r>
      <w:r w:rsidRPr="00DB56F7">
        <w:rPr>
          <w:rFonts w:ascii="Arial" w:hAnsi="Arial" w:cs="Arial"/>
          <w:color w:val="000000" w:themeColor="text1"/>
          <w:sz w:val="22"/>
          <w:szCs w:val="22"/>
        </w:rPr>
        <w:t xml:space="preserve">Expected </w:t>
      </w:r>
      <w:r w:rsidRPr="00DB56F7">
        <w:rPr>
          <w:rFonts w:ascii="Arial" w:hAnsi="Arial" w:cs="Arial"/>
          <w:i/>
          <w:iCs/>
          <w:color w:val="000000" w:themeColor="text1"/>
          <w:sz w:val="22"/>
          <w:szCs w:val="22"/>
        </w:rPr>
        <w:t>vs.</w:t>
      </w:r>
      <w:r w:rsidRPr="00DB56F7">
        <w:rPr>
          <w:rFonts w:ascii="Arial" w:hAnsi="Arial" w:cs="Arial"/>
          <w:color w:val="000000" w:themeColor="text1"/>
          <w:sz w:val="22"/>
          <w:szCs w:val="22"/>
        </w:rPr>
        <w:t xml:space="preserve"> Observed Frequencies in the </w:t>
      </w:r>
      <w:r w:rsidRPr="006942A8">
        <w:rPr>
          <w:rFonts w:ascii="Arial" w:hAnsi="Arial" w:cs="Arial"/>
          <w:i/>
          <w:iCs/>
          <w:color w:val="000000" w:themeColor="text1"/>
          <w:sz w:val="22"/>
          <w:szCs w:val="22"/>
        </w:rPr>
        <w:t>Bicc1</w:t>
      </w:r>
      <w:r w:rsidRPr="006942A8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+/</w:t>
      </w:r>
      <w:proofErr w:type="gramStart"/>
      <w:r w:rsidRPr="006942A8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Bpk</w:t>
      </w:r>
      <w:r w:rsidRPr="006942A8">
        <w:rPr>
          <w:rFonts w:ascii="Arial" w:hAnsi="Arial" w:cs="Arial"/>
          <w:i/>
          <w:iCs/>
          <w:color w:val="000000" w:themeColor="text1"/>
          <w:sz w:val="22"/>
          <w:szCs w:val="22"/>
        </w:rPr>
        <w:t>:Pkd</w:t>
      </w:r>
      <w:proofErr w:type="gramEnd"/>
      <w:r w:rsidRPr="006942A8">
        <w:rPr>
          <w:rFonts w:ascii="Arial" w:hAnsi="Arial" w:cs="Arial"/>
          <w:i/>
          <w:iCs/>
          <w:color w:val="000000" w:themeColor="text1"/>
          <w:sz w:val="22"/>
          <w:szCs w:val="22"/>
        </w:rPr>
        <w:t>2</w:t>
      </w:r>
      <w:r w:rsidRPr="006942A8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+/+</w:t>
      </w:r>
      <w:r w:rsidRPr="00DB56F7">
        <w:rPr>
          <w:rFonts w:ascii="Arial" w:hAnsi="Arial" w:cs="Arial"/>
          <w:color w:val="000000" w:themeColor="text1"/>
          <w:sz w:val="22"/>
          <w:szCs w:val="22"/>
        </w:rPr>
        <w:t xml:space="preserve"> x </w:t>
      </w:r>
      <w:r w:rsidRPr="006942A8">
        <w:rPr>
          <w:rFonts w:ascii="Arial" w:hAnsi="Arial" w:cs="Arial"/>
          <w:i/>
          <w:iCs/>
          <w:color w:val="000000" w:themeColor="text1"/>
          <w:sz w:val="22"/>
          <w:szCs w:val="22"/>
        </w:rPr>
        <w:t>Bicc1</w:t>
      </w:r>
      <w:r w:rsidRPr="006942A8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+/</w:t>
      </w:r>
      <w:proofErr w:type="gramStart"/>
      <w:r w:rsidRPr="006942A8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Bpk</w:t>
      </w:r>
      <w:r w:rsidRPr="006942A8">
        <w:rPr>
          <w:rFonts w:ascii="Arial" w:hAnsi="Arial" w:cs="Arial"/>
          <w:i/>
          <w:iCs/>
          <w:color w:val="000000" w:themeColor="text1"/>
          <w:sz w:val="22"/>
          <w:szCs w:val="22"/>
        </w:rPr>
        <w:t>:Pkd</w:t>
      </w:r>
      <w:proofErr w:type="gramEnd"/>
      <w:r w:rsidRPr="006942A8">
        <w:rPr>
          <w:rFonts w:ascii="Arial" w:hAnsi="Arial" w:cs="Arial"/>
          <w:i/>
          <w:iCs/>
          <w:color w:val="000000" w:themeColor="text1"/>
          <w:sz w:val="22"/>
          <w:szCs w:val="22"/>
        </w:rPr>
        <w:t>2</w:t>
      </w:r>
      <w:r w:rsidRPr="006942A8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+/-</w:t>
      </w:r>
      <w:r w:rsidRPr="00DB56F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D0DE5">
        <w:rPr>
          <w:rFonts w:ascii="Arial" w:hAnsi="Arial" w:cs="Arial"/>
          <w:color w:val="000000" w:themeColor="text1"/>
          <w:sz w:val="22"/>
          <w:szCs w:val="22"/>
        </w:rPr>
        <w:t>C</w:t>
      </w:r>
      <w:r w:rsidRPr="00DB56F7">
        <w:rPr>
          <w:rFonts w:ascii="Arial" w:hAnsi="Arial" w:cs="Arial"/>
          <w:color w:val="000000" w:themeColor="text1"/>
          <w:sz w:val="22"/>
          <w:szCs w:val="22"/>
        </w:rPr>
        <w:t>rosses at P21.</w:t>
      </w:r>
    </w:p>
    <w:p w14:paraId="3B403FB9" w14:textId="737F4E4A" w:rsidR="001C5940" w:rsidRPr="006F4E40" w:rsidRDefault="001C5940" w:rsidP="006F4E40">
      <w:pPr>
        <w:spacing w:before="12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1158"/>
        <w:gridCol w:w="1231"/>
        <w:gridCol w:w="1370"/>
        <w:gridCol w:w="1345"/>
        <w:gridCol w:w="1484"/>
        <w:gridCol w:w="1602"/>
      </w:tblGrid>
      <w:tr w:rsidR="00DB7B7B" w:rsidRPr="00DB7B7B" w14:paraId="2BF979B7" w14:textId="77777777" w:rsidTr="00DB7B7B">
        <w:trPr>
          <w:trHeight w:val="288"/>
        </w:trPr>
        <w:tc>
          <w:tcPr>
            <w:tcW w:w="11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7577DE4" w14:textId="77777777" w:rsidR="00DB7B7B" w:rsidRPr="00DB7B7B" w:rsidRDefault="00DB7B7B" w:rsidP="00DB7B7B">
            <w:pPr>
              <w:ind w:right="-98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1158" w:type="dxa"/>
            <w:tcBorders>
              <w:top w:val="nil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28591B6" w14:textId="77777777" w:rsidR="00DB7B7B" w:rsidRPr="00DB7B7B" w:rsidRDefault="00DB7B7B" w:rsidP="00DB7B7B">
            <w:pPr>
              <w:ind w:left="-98" w:right="-154"/>
              <w:jc w:val="center"/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Bicc1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</w:t>
            </w:r>
            <w:proofErr w:type="gramStart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:Pkd</w:t>
            </w:r>
            <w:proofErr w:type="gramEnd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2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+/+</w:t>
            </w:r>
          </w:p>
        </w:tc>
        <w:tc>
          <w:tcPr>
            <w:tcW w:w="1231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7933AC96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Bicc1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</w:t>
            </w:r>
            <w:proofErr w:type="gramStart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:Pkd</w:t>
            </w:r>
            <w:proofErr w:type="gramEnd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2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+/-</w:t>
            </w:r>
          </w:p>
        </w:tc>
        <w:tc>
          <w:tcPr>
            <w:tcW w:w="1370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5AC9A978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Bicc1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</w:t>
            </w:r>
            <w:proofErr w:type="gramStart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Bpk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:Pkd</w:t>
            </w:r>
            <w:proofErr w:type="gramEnd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2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+/+</w:t>
            </w:r>
          </w:p>
        </w:tc>
        <w:tc>
          <w:tcPr>
            <w:tcW w:w="1345" w:type="dxa"/>
            <w:tcBorders>
              <w:top w:val="nil"/>
              <w:bottom w:val="single" w:sz="12" w:space="0" w:color="auto"/>
            </w:tcBorders>
            <w:noWrap/>
            <w:vAlign w:val="center"/>
            <w:hideMark/>
          </w:tcPr>
          <w:p w14:paraId="05774CCB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Bicc1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</w:t>
            </w:r>
            <w:proofErr w:type="gramStart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Bpk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:Pkd</w:t>
            </w:r>
            <w:proofErr w:type="gramEnd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2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+/-</w:t>
            </w:r>
          </w:p>
        </w:tc>
        <w:tc>
          <w:tcPr>
            <w:tcW w:w="1484" w:type="dxa"/>
            <w:tcBorders>
              <w:top w:val="nil"/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3C9B83C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Bicc1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Bpk/</w:t>
            </w:r>
            <w:proofErr w:type="gramStart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Bpk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:Pkd</w:t>
            </w:r>
            <w:proofErr w:type="gramEnd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2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+/+</w:t>
            </w:r>
          </w:p>
        </w:tc>
        <w:tc>
          <w:tcPr>
            <w:tcW w:w="1602" w:type="dxa"/>
            <w:tcBorders>
              <w:top w:val="nil"/>
              <w:bottom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ADD973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Bicc1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Bpk/</w:t>
            </w:r>
            <w:proofErr w:type="gramStart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Bpk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:Pkd</w:t>
            </w:r>
            <w:proofErr w:type="gramEnd"/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2</w:t>
            </w:r>
            <w:r w:rsidRPr="00DB7B7B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  <w:vertAlign w:val="superscript"/>
              </w:rPr>
              <w:t>+/-</w:t>
            </w:r>
          </w:p>
        </w:tc>
      </w:tr>
      <w:tr w:rsidR="00DB7B7B" w:rsidRPr="00DB7B7B" w14:paraId="5E241684" w14:textId="77777777" w:rsidTr="00DB7B7B">
        <w:trPr>
          <w:trHeight w:val="320"/>
        </w:trPr>
        <w:tc>
          <w:tcPr>
            <w:tcW w:w="116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1CBF3CD2" w14:textId="77777777" w:rsidR="00DB7B7B" w:rsidRPr="00DB7B7B" w:rsidRDefault="00DB7B7B" w:rsidP="00DB7B7B">
            <w:pPr>
              <w:ind w:left="-25" w:right="-98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Observed [N]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8D07DF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3F013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3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1256DE5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F5BBF1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148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7C8B2F6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8679DC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9</w:t>
            </w:r>
          </w:p>
        </w:tc>
      </w:tr>
      <w:tr w:rsidR="00DB7B7B" w:rsidRPr="00DB7B7B" w14:paraId="1A480354" w14:textId="77777777" w:rsidTr="00DB7B7B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  <w:hideMark/>
          </w:tcPr>
          <w:p w14:paraId="4E473018" w14:textId="77777777" w:rsidR="00DB7B7B" w:rsidRPr="00DB7B7B" w:rsidRDefault="00DB7B7B" w:rsidP="00DB7B7B">
            <w:pPr>
              <w:ind w:left="-25" w:right="-98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Observed [%]</w:t>
            </w:r>
          </w:p>
        </w:tc>
        <w:tc>
          <w:tcPr>
            <w:tcW w:w="11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0CFA63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17.2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EE707F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9.2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1600DF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33.3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2C55C8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16.1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D3DE945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13.8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B2AFB71" w14:textId="77777777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10.3</w:t>
            </w:r>
          </w:p>
        </w:tc>
      </w:tr>
      <w:tr w:rsidR="00DB7B7B" w:rsidRPr="00DB7B7B" w14:paraId="06D503DD" w14:textId="77777777" w:rsidTr="00DB7B7B">
        <w:trPr>
          <w:trHeight w:val="320"/>
        </w:trPr>
        <w:tc>
          <w:tcPr>
            <w:tcW w:w="1165" w:type="dxa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14:paraId="012FCB63" w14:textId="403032B5" w:rsidR="00DB7B7B" w:rsidRPr="00DB7B7B" w:rsidRDefault="00DB7B7B" w:rsidP="00DB7B7B">
            <w:pPr>
              <w:ind w:left="-25" w:right="-98"/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Expected [%]</w:t>
            </w:r>
          </w:p>
        </w:tc>
        <w:tc>
          <w:tcPr>
            <w:tcW w:w="115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19A3F74" w14:textId="14162206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12.5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80F83E" w14:textId="3023F29C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12.5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C04338" w14:textId="6E1F0783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25.0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DF91A8" w14:textId="37701950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25.0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4E3E3D4" w14:textId="6287DB1E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12.5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nil"/>
            </w:tcBorders>
            <w:shd w:val="clear" w:color="auto" w:fill="D0CECE" w:themeFill="background2" w:themeFillShade="E6"/>
            <w:noWrap/>
            <w:vAlign w:val="center"/>
          </w:tcPr>
          <w:p w14:paraId="35A7F0FE" w14:textId="10EDEB90" w:rsidR="00DB7B7B" w:rsidRPr="00DB7B7B" w:rsidRDefault="00DB7B7B" w:rsidP="00DB7B7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DB7B7B">
              <w:rPr>
                <w:rFonts w:ascii="Arial" w:hAnsi="Arial" w:cs="Arial"/>
                <w:color w:val="000000" w:themeColor="text1"/>
                <w:sz w:val="15"/>
                <w:szCs w:val="15"/>
              </w:rPr>
              <w:t>12.5</w:t>
            </w:r>
          </w:p>
        </w:tc>
      </w:tr>
    </w:tbl>
    <w:p w14:paraId="2E9F2E9C" w14:textId="4DE8018B" w:rsidR="008E72DB" w:rsidRDefault="00DB7B7B" w:rsidP="008E72DB">
      <w:pP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1C5940">
        <w:rPr>
          <w:rFonts w:ascii="Arial" w:eastAsia="Times New Roman" w:hAnsi="Arial" w:cs="Arial"/>
          <w:color w:val="000000"/>
          <w:sz w:val="20"/>
          <w:szCs w:val="20"/>
        </w:rPr>
        <w:t xml:space="preserve">The observed frequency distribution follows the expected Mendelian distribution; A non-Mendelian distribution is not supported by 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t>the Pearson’s χ2 test using the Mendel Excel workbook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instrText xml:space="preserve"> ADDIN EN.CITE &lt;EndNote&gt;&lt;Cite&gt;&lt;Author&gt;Montoliu&lt;/Author&gt;&lt;Year&gt;2012&lt;/Year&gt;&lt;RecNum&gt;6296&lt;/RecNum&gt;&lt;DisplayText&gt;&lt;style face="superscript"&gt;1&lt;/style&gt;&lt;/DisplayText&gt;&lt;record&gt;&lt;rec-number&gt;6296&lt;/rec-number&gt;&lt;foreign-keys&gt;&lt;key app="EN" db-id="ftep5tvxkxvtrdezzz1x92zjwvpw925fv9r9" timestamp="1736016543"&gt;6296&lt;/key&gt;&lt;/foreign-keys&gt;&lt;ref-type name="Journal Article"&gt;17&lt;/ref-type&gt;&lt;contributors&gt;&lt;authors&gt;&lt;author&gt;Montoliu, L.&lt;/author&gt;&lt;/authors&gt;&lt;/contributors&gt;&lt;auth-address&gt;Department of Molecular and Cellular Biology, Centro Nacional de Biotecnologia (CNB-CSIC), Campus de, Cantoblanco Darwin 3, 28049 Madrid, Spain. montoliu@cnb.csic.es&lt;/auth-address&gt;&lt;titles&gt;&lt;title&gt;Mendel: a simple excel workbook to compare the observed and expected distributions of genotypes/phenotypes in transgenic and knockout mouse crosses involving up to three unlinked loci by means of a chi2 test&lt;/title&gt;&lt;secondary-title&gt;Transgenic Res&lt;/secondary-title&gt;&lt;/titles&gt;&lt;pages&gt;677-81&lt;/pages&gt;&lt;volume&gt;21&lt;/volume&gt;&lt;number&gt;3&lt;/number&gt;&lt;edition&gt;20110819&lt;/edition&gt;&lt;dates&gt;&lt;year&gt;2012&lt;/year&gt;&lt;pub-dates&gt;&lt;date&gt;Jun&lt;/date&gt;&lt;/pub-dates&gt;&lt;/dates&gt;&lt;isbn&gt;1573-9368 (Electronic)&amp;#xD;0962-8819 (Linking)&lt;/isbn&gt;&lt;accession-num&gt;21853295&lt;/accession-num&gt;&lt;urls&gt;&lt;related-urls&gt;&lt;url&gt;https://www.ncbi.nlm.nih.gov/pubmed/21853295&lt;/url&gt;&lt;/related-urls&gt;&lt;/urls&gt;&lt;electronic-resource-num&gt;10.1007/s11248-011-9544-4&lt;/electronic-resource-num&gt;&lt;remote-database-name&gt;Medline&lt;/remote-database-name&gt;&lt;remote-database-provider&gt;NLM&lt;/remote-database-provider&gt;&lt;/record&gt;&lt;/Cite&gt;&lt;/EndNote&gt;</w:instrTex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6F4E40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</w:rPr>
        <w:t>1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C5940">
        <w:rPr>
          <w:rFonts w:ascii="Arial" w:eastAsia="Times New Roman" w:hAnsi="Arial" w:cs="Arial"/>
          <w:color w:val="000000"/>
          <w:sz w:val="20"/>
          <w:szCs w:val="20"/>
        </w:rPr>
        <w:t xml:space="preserve">(p=0.159 using a confidence interval of 0.05). Light gray column is the </w:t>
      </w:r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</w:rPr>
        <w:t>Bicc1</w:t>
      </w:r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Bpk/</w:t>
      </w:r>
      <w:proofErr w:type="spellStart"/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Bpk</w:t>
      </w:r>
      <w:proofErr w:type="spellEnd"/>
      <w:r w:rsidRPr="001C5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1C5940">
        <w:rPr>
          <w:rFonts w:ascii="Arial" w:eastAsia="Times New Roman" w:hAnsi="Arial" w:cs="Arial"/>
          <w:color w:val="000000"/>
          <w:sz w:val="20"/>
          <w:szCs w:val="20"/>
        </w:rPr>
        <w:t>phenotype,</w:t>
      </w:r>
      <w:r w:rsidRPr="001C5940">
        <w:rPr>
          <w:rFonts w:ascii="Arial" w:eastAsia="Times New Roman" w:hAnsi="Arial" w:cs="Arial"/>
          <w:color w:val="000000"/>
          <w:sz w:val="20"/>
          <w:szCs w:val="20"/>
        </w:rPr>
        <w:t xml:space="preserve"> and the dark grey column is the </w:t>
      </w:r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</w:rPr>
        <w:t>Bicc1</w:t>
      </w:r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Bpk/</w:t>
      </w:r>
      <w:proofErr w:type="gramStart"/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Bpk</w:t>
      </w:r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</w:rPr>
        <w:t>:Pkd</w:t>
      </w:r>
      <w:proofErr w:type="gramEnd"/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</w:rPr>
        <w:t>2</w:t>
      </w:r>
      <w:r w:rsidRPr="00DB7B7B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+/-</w:t>
      </w:r>
      <w:r w:rsidRPr="001C5940">
        <w:rPr>
          <w:rFonts w:ascii="Arial" w:eastAsia="Times New Roman" w:hAnsi="Arial" w:cs="Arial"/>
          <w:color w:val="000000"/>
          <w:sz w:val="20"/>
          <w:szCs w:val="20"/>
        </w:rPr>
        <w:t xml:space="preserve"> phenotype. Note that the compound mutants are at a lower than the expected 12.5% frequency.</w:t>
      </w:r>
    </w:p>
    <w:p w14:paraId="4D47CE90" w14:textId="77777777" w:rsidR="009E642E" w:rsidRDefault="009E642E" w:rsidP="008E72DB">
      <w:pP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5C6D92E" w14:textId="77777777" w:rsidR="009E642E" w:rsidRDefault="009E642E" w:rsidP="008E72DB">
      <w:pP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4F0147C" w14:textId="77777777" w:rsidR="00A50C8A" w:rsidRDefault="00A50C8A" w:rsidP="008E72DB">
      <w:pP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F5BF029" w14:textId="77777777" w:rsidR="00A50C8A" w:rsidRPr="005D2F84" w:rsidRDefault="00A50C8A" w:rsidP="008E72DB">
      <w:pP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56B1C49" w14:textId="6B544401" w:rsidR="008E72DB" w:rsidRDefault="008E72DB" w:rsidP="008E72DB">
      <w:pPr>
        <w:spacing w:before="24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Supplementary </w:t>
      </w:r>
      <w:r w:rsidR="004D0DE5">
        <w:rPr>
          <w:rFonts w:ascii="Arial" w:hAnsi="Arial" w:cs="Arial"/>
          <w:b/>
          <w:bCs/>
          <w:color w:val="000000" w:themeColor="text1"/>
          <w:sz w:val="22"/>
          <w:szCs w:val="22"/>
        </w:rPr>
        <w:t>File 1</w:t>
      </w:r>
      <w:r w:rsidR="00A50C8A">
        <w:rPr>
          <w:rFonts w:ascii="Arial" w:hAnsi="Arial" w:cs="Arial"/>
          <w:b/>
          <w:bCs/>
          <w:color w:val="000000" w:themeColor="text1"/>
          <w:sz w:val="22"/>
          <w:szCs w:val="22"/>
        </w:rPr>
        <w:t>b</w:t>
      </w:r>
      <w:r w:rsidRPr="00150917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: </w:t>
      </w:r>
      <w:r w:rsidR="004D0DE5" w:rsidRPr="004D0DE5">
        <w:rPr>
          <w:rFonts w:ascii="Arial" w:hAnsi="Arial" w:cs="Arial"/>
          <w:color w:val="000000" w:themeColor="text1"/>
          <w:sz w:val="22"/>
          <w:szCs w:val="22"/>
        </w:rPr>
        <w:t>Table of the</w:t>
      </w:r>
      <w:r w:rsidR="004D0DE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DB56F7">
        <w:rPr>
          <w:rFonts w:ascii="Arial" w:hAnsi="Arial" w:cs="Arial"/>
          <w:color w:val="000000" w:themeColor="text1"/>
          <w:sz w:val="22"/>
          <w:szCs w:val="22"/>
        </w:rPr>
        <w:t xml:space="preserve">Expected vs. Observed Frequencies in the 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>Bicc1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+/</w:t>
      </w:r>
      <w:proofErr w:type="gramStart"/>
      <w:r w:rsidRPr="00E97E79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Bpk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>:Pkd</w:t>
      </w:r>
      <w:proofErr w:type="gramEnd"/>
      <w:r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>1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+/+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>:</w:t>
      </w:r>
      <w:r w:rsidR="006F4E40"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>Pkhd1-Cre+</w:t>
      </w:r>
      <w:r w:rsidRPr="00DB56F7">
        <w:rPr>
          <w:rFonts w:ascii="Arial" w:hAnsi="Arial" w:cs="Arial"/>
          <w:color w:val="000000" w:themeColor="text1"/>
          <w:sz w:val="22"/>
          <w:szCs w:val="22"/>
        </w:rPr>
        <w:t xml:space="preserve"> x 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>Bicc1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+/</w:t>
      </w:r>
      <w:proofErr w:type="gramStart"/>
      <w:r w:rsidRPr="00E97E79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Bpk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>:Pkd</w:t>
      </w:r>
      <w:proofErr w:type="gramEnd"/>
      <w:r w:rsidRPr="00E97E79">
        <w:rPr>
          <w:rFonts w:ascii="Arial" w:hAnsi="Arial" w:cs="Arial"/>
          <w:i/>
          <w:iCs/>
          <w:color w:val="000000" w:themeColor="text1"/>
          <w:sz w:val="22"/>
          <w:szCs w:val="22"/>
        </w:rPr>
        <w:t>1</w:t>
      </w:r>
      <w:r w:rsidRPr="00E97E79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+/</w:t>
      </w:r>
      <w:proofErr w:type="spellStart"/>
      <w:r w:rsidRPr="00E97E79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fl</w:t>
      </w:r>
      <w:proofErr w:type="spellEnd"/>
      <w:r w:rsidRPr="00DB56F7">
        <w:rPr>
          <w:rFonts w:ascii="Arial" w:hAnsi="Arial" w:cs="Arial"/>
          <w:color w:val="000000" w:themeColor="text1"/>
          <w:sz w:val="22"/>
          <w:szCs w:val="22"/>
        </w:rPr>
        <w:t xml:space="preserve"> crosses at P14</w:t>
      </w:r>
    </w:p>
    <w:p w14:paraId="7CDF15DD" w14:textId="77777777" w:rsidR="00C1630E" w:rsidRDefault="00C1630E">
      <w:pPr>
        <w:rPr>
          <w:rFonts w:cs="Arial"/>
          <w:b/>
          <w:szCs w:val="22"/>
        </w:rPr>
      </w:pPr>
    </w:p>
    <w:tbl>
      <w:tblPr>
        <w:tblStyle w:val="TableGrid"/>
        <w:tblW w:w="9723" w:type="dxa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616"/>
        <w:gridCol w:w="705"/>
        <w:gridCol w:w="705"/>
        <w:gridCol w:w="706"/>
        <w:gridCol w:w="712"/>
        <w:gridCol w:w="712"/>
        <w:gridCol w:w="707"/>
        <w:gridCol w:w="707"/>
        <w:gridCol w:w="707"/>
        <w:gridCol w:w="707"/>
        <w:gridCol w:w="707"/>
        <w:gridCol w:w="777"/>
      </w:tblGrid>
      <w:tr w:rsidR="00A924E2" w:rsidRPr="00A924E2" w14:paraId="4CBB0A9C" w14:textId="77777777" w:rsidTr="00CC615A">
        <w:trPr>
          <w:trHeight w:val="377"/>
        </w:trPr>
        <w:tc>
          <w:tcPr>
            <w:tcW w:w="1255" w:type="dxa"/>
            <w:tcBorders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E4379A" w14:textId="4BB517CA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0"/>
                <w:szCs w:val="15"/>
              </w:rPr>
            </w:pPr>
          </w:p>
        </w:tc>
        <w:tc>
          <w:tcPr>
            <w:tcW w:w="616" w:type="dxa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235C126" w14:textId="27857213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Cre−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233F9D1B" w14:textId="5F33B6F4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Cre+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5A7AE787" w14:textId="09F19AE9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Cre−</w:t>
            </w:r>
          </w:p>
        </w:tc>
        <w:tc>
          <w:tcPr>
            <w:tcW w:w="706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8111443" w14:textId="1F279318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Cre+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2432F9A" w14:textId="5C780112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Cre−</w:t>
            </w:r>
          </w:p>
        </w:tc>
        <w:tc>
          <w:tcPr>
            <w:tcW w:w="712" w:type="dxa"/>
            <w:tcBorders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685D194" w14:textId="771785E1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Cre+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36C6022B" w14:textId="5A3EF931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fl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Cre−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654E0F93" w14:textId="10135E3F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+/+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fl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Cre+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7EB86014" w14:textId="200EE943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fl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Cre−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noWrap/>
            <w:vAlign w:val="center"/>
            <w:hideMark/>
          </w:tcPr>
          <w:p w14:paraId="024ACBC4" w14:textId="727C73C8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fl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Cre+</w:t>
            </w:r>
          </w:p>
        </w:tc>
        <w:tc>
          <w:tcPr>
            <w:tcW w:w="707" w:type="dxa"/>
            <w:tcBorders>
              <w:bottom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A77D248" w14:textId="609453B5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;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 xml:space="preserve">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fl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Cre−</w:t>
            </w:r>
          </w:p>
        </w:tc>
        <w:tc>
          <w:tcPr>
            <w:tcW w:w="777" w:type="dxa"/>
            <w:tcBorders>
              <w:bottom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CAD0DA" w14:textId="7404E454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i/>
                <w:iCs/>
                <w:sz w:val="9"/>
                <w:szCs w:val="9"/>
              </w:rPr>
            </w:pP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Bicc1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Bpk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Pkd1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+/</w:t>
            </w:r>
            <w:proofErr w:type="spellStart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  <w:vertAlign w:val="superscript"/>
              </w:rPr>
              <w:t>fl</w:t>
            </w:r>
            <w:proofErr w:type="spellEnd"/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; Pkhd1</w:t>
            </w:r>
            <w:r w:rsidR="00CC615A"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-</w:t>
            </w:r>
            <w:r w:rsidRPr="00CC615A">
              <w:rPr>
                <w:rFonts w:ascii="Arial" w:hAnsi="Arial" w:cs="Arial"/>
                <w:bCs/>
                <w:i/>
                <w:iCs/>
                <w:sz w:val="9"/>
                <w:szCs w:val="9"/>
              </w:rPr>
              <w:t>Cre+</w:t>
            </w:r>
          </w:p>
        </w:tc>
      </w:tr>
      <w:tr w:rsidR="00A924E2" w:rsidRPr="00A924E2" w14:paraId="6A1AFDBD" w14:textId="77777777" w:rsidTr="00CC615A">
        <w:trPr>
          <w:trHeight w:val="300"/>
        </w:trPr>
        <w:tc>
          <w:tcPr>
            <w:tcW w:w="1255" w:type="dxa"/>
            <w:tcBorders>
              <w:top w:val="single" w:sz="12" w:space="0" w:color="auto"/>
              <w:left w:val="nil"/>
              <w:right w:val="single" w:sz="12" w:space="0" w:color="auto"/>
            </w:tcBorders>
            <w:noWrap/>
            <w:vAlign w:val="center"/>
            <w:hideMark/>
          </w:tcPr>
          <w:p w14:paraId="3E92E1F2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Observed (N)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14:paraId="23F2C5ED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8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339FD3BD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2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158ACDCF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14</w:t>
            </w:r>
          </w:p>
        </w:tc>
        <w:tc>
          <w:tcPr>
            <w:tcW w:w="706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9063101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17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D92ACAF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4</w:t>
            </w:r>
          </w:p>
        </w:tc>
        <w:tc>
          <w:tcPr>
            <w:tcW w:w="712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EF78DB1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8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4A038A27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11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04D7E59E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18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990A401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17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noWrap/>
            <w:vAlign w:val="center"/>
            <w:hideMark/>
          </w:tcPr>
          <w:p w14:paraId="6CF0B0BF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1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8B98F4A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</w:t>
            </w:r>
          </w:p>
        </w:tc>
        <w:tc>
          <w:tcPr>
            <w:tcW w:w="777" w:type="dxa"/>
            <w:tcBorders>
              <w:top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1BAE61F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12</w:t>
            </w:r>
          </w:p>
        </w:tc>
      </w:tr>
      <w:tr w:rsidR="00A924E2" w:rsidRPr="00A924E2" w14:paraId="3D17CFB1" w14:textId="77777777" w:rsidTr="00CC615A">
        <w:trPr>
          <w:trHeight w:val="300"/>
        </w:trPr>
        <w:tc>
          <w:tcPr>
            <w:tcW w:w="1255" w:type="dxa"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28852AA1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Observed (%)</w:t>
            </w:r>
          </w:p>
        </w:tc>
        <w:tc>
          <w:tcPr>
            <w:tcW w:w="61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17C13CB4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5.71</w:t>
            </w:r>
          </w:p>
        </w:tc>
        <w:tc>
          <w:tcPr>
            <w:tcW w:w="705" w:type="dxa"/>
            <w:noWrap/>
            <w:vAlign w:val="center"/>
            <w:hideMark/>
          </w:tcPr>
          <w:p w14:paraId="6B42938A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1.43</w:t>
            </w:r>
          </w:p>
        </w:tc>
        <w:tc>
          <w:tcPr>
            <w:tcW w:w="705" w:type="dxa"/>
            <w:noWrap/>
            <w:vAlign w:val="center"/>
            <w:hideMark/>
          </w:tcPr>
          <w:p w14:paraId="74230047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10</w:t>
            </w:r>
          </w:p>
        </w:tc>
        <w:tc>
          <w:tcPr>
            <w:tcW w:w="706" w:type="dxa"/>
            <w:noWrap/>
            <w:vAlign w:val="center"/>
            <w:hideMark/>
          </w:tcPr>
          <w:p w14:paraId="7DCE9A40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12.14</w:t>
            </w:r>
          </w:p>
        </w:tc>
        <w:tc>
          <w:tcPr>
            <w:tcW w:w="712" w:type="dxa"/>
            <w:shd w:val="clear" w:color="auto" w:fill="E7E6E6" w:themeFill="background2"/>
            <w:noWrap/>
            <w:vAlign w:val="center"/>
            <w:hideMark/>
          </w:tcPr>
          <w:p w14:paraId="7A009031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2.86</w:t>
            </w:r>
          </w:p>
        </w:tc>
        <w:tc>
          <w:tcPr>
            <w:tcW w:w="712" w:type="dxa"/>
            <w:shd w:val="clear" w:color="auto" w:fill="E7E6E6" w:themeFill="background2"/>
            <w:noWrap/>
            <w:vAlign w:val="center"/>
            <w:hideMark/>
          </w:tcPr>
          <w:p w14:paraId="02A8AD41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5.71</w:t>
            </w:r>
          </w:p>
        </w:tc>
        <w:tc>
          <w:tcPr>
            <w:tcW w:w="707" w:type="dxa"/>
            <w:noWrap/>
            <w:vAlign w:val="center"/>
            <w:hideMark/>
          </w:tcPr>
          <w:p w14:paraId="1C0B370F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7.86</w:t>
            </w:r>
          </w:p>
        </w:tc>
        <w:tc>
          <w:tcPr>
            <w:tcW w:w="707" w:type="dxa"/>
            <w:noWrap/>
            <w:vAlign w:val="center"/>
            <w:hideMark/>
          </w:tcPr>
          <w:p w14:paraId="754C06E0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12.86</w:t>
            </w:r>
          </w:p>
        </w:tc>
        <w:tc>
          <w:tcPr>
            <w:tcW w:w="707" w:type="dxa"/>
            <w:noWrap/>
            <w:vAlign w:val="center"/>
            <w:hideMark/>
          </w:tcPr>
          <w:p w14:paraId="00B0BAB6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12.14</w:t>
            </w:r>
          </w:p>
        </w:tc>
        <w:tc>
          <w:tcPr>
            <w:tcW w:w="707" w:type="dxa"/>
            <w:noWrap/>
            <w:vAlign w:val="center"/>
            <w:hideMark/>
          </w:tcPr>
          <w:p w14:paraId="16F78AD9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16.43</w:t>
            </w:r>
          </w:p>
        </w:tc>
        <w:tc>
          <w:tcPr>
            <w:tcW w:w="707" w:type="dxa"/>
            <w:shd w:val="clear" w:color="auto" w:fill="E7E6E6" w:themeFill="background2"/>
            <w:noWrap/>
            <w:vAlign w:val="center"/>
            <w:hideMark/>
          </w:tcPr>
          <w:p w14:paraId="31965930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4.29</w:t>
            </w:r>
          </w:p>
        </w:tc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6FE847CF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8.57</w:t>
            </w:r>
          </w:p>
        </w:tc>
      </w:tr>
      <w:tr w:rsidR="00A924E2" w:rsidRPr="00A924E2" w14:paraId="79DE01AA" w14:textId="77777777" w:rsidTr="00CC615A">
        <w:trPr>
          <w:trHeight w:val="300"/>
        </w:trPr>
        <w:tc>
          <w:tcPr>
            <w:tcW w:w="1255" w:type="dxa"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5587825B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Expected (%)</w:t>
            </w:r>
          </w:p>
        </w:tc>
        <w:tc>
          <w:tcPr>
            <w:tcW w:w="61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4AA0BAB8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6.25</w:t>
            </w:r>
          </w:p>
        </w:tc>
        <w:tc>
          <w:tcPr>
            <w:tcW w:w="705" w:type="dxa"/>
            <w:noWrap/>
            <w:vAlign w:val="center"/>
            <w:hideMark/>
          </w:tcPr>
          <w:p w14:paraId="132800A2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6.25</w:t>
            </w:r>
          </w:p>
        </w:tc>
        <w:tc>
          <w:tcPr>
            <w:tcW w:w="705" w:type="dxa"/>
            <w:noWrap/>
            <w:vAlign w:val="center"/>
            <w:hideMark/>
          </w:tcPr>
          <w:p w14:paraId="00AD0DE3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12.5</w:t>
            </w:r>
          </w:p>
        </w:tc>
        <w:tc>
          <w:tcPr>
            <w:tcW w:w="706" w:type="dxa"/>
            <w:noWrap/>
            <w:vAlign w:val="center"/>
            <w:hideMark/>
          </w:tcPr>
          <w:p w14:paraId="09FA7870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12.5</w:t>
            </w:r>
          </w:p>
        </w:tc>
        <w:tc>
          <w:tcPr>
            <w:tcW w:w="712" w:type="dxa"/>
            <w:shd w:val="clear" w:color="auto" w:fill="E7E6E6" w:themeFill="background2"/>
            <w:noWrap/>
            <w:vAlign w:val="center"/>
            <w:hideMark/>
          </w:tcPr>
          <w:p w14:paraId="68EB124A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6.25</w:t>
            </w:r>
          </w:p>
        </w:tc>
        <w:tc>
          <w:tcPr>
            <w:tcW w:w="712" w:type="dxa"/>
            <w:shd w:val="clear" w:color="auto" w:fill="E7E6E6" w:themeFill="background2"/>
            <w:noWrap/>
            <w:vAlign w:val="center"/>
            <w:hideMark/>
          </w:tcPr>
          <w:p w14:paraId="1D298FAB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6.25</w:t>
            </w:r>
          </w:p>
        </w:tc>
        <w:tc>
          <w:tcPr>
            <w:tcW w:w="707" w:type="dxa"/>
            <w:noWrap/>
            <w:vAlign w:val="center"/>
            <w:hideMark/>
          </w:tcPr>
          <w:p w14:paraId="5E7948C5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6.25</w:t>
            </w:r>
          </w:p>
        </w:tc>
        <w:tc>
          <w:tcPr>
            <w:tcW w:w="707" w:type="dxa"/>
            <w:noWrap/>
            <w:vAlign w:val="center"/>
            <w:hideMark/>
          </w:tcPr>
          <w:p w14:paraId="6DE98980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6.25</w:t>
            </w:r>
          </w:p>
        </w:tc>
        <w:tc>
          <w:tcPr>
            <w:tcW w:w="707" w:type="dxa"/>
            <w:noWrap/>
            <w:vAlign w:val="center"/>
            <w:hideMark/>
          </w:tcPr>
          <w:p w14:paraId="334CEED5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12.5</w:t>
            </w:r>
          </w:p>
        </w:tc>
        <w:tc>
          <w:tcPr>
            <w:tcW w:w="707" w:type="dxa"/>
            <w:noWrap/>
            <w:vAlign w:val="center"/>
            <w:hideMark/>
          </w:tcPr>
          <w:p w14:paraId="29733A78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12.5</w:t>
            </w:r>
          </w:p>
        </w:tc>
        <w:tc>
          <w:tcPr>
            <w:tcW w:w="707" w:type="dxa"/>
            <w:shd w:val="clear" w:color="auto" w:fill="E7E6E6" w:themeFill="background2"/>
            <w:noWrap/>
            <w:vAlign w:val="center"/>
            <w:hideMark/>
          </w:tcPr>
          <w:p w14:paraId="4496E64F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6.25</w:t>
            </w:r>
          </w:p>
        </w:tc>
        <w:tc>
          <w:tcPr>
            <w:tcW w:w="777" w:type="dxa"/>
            <w:shd w:val="clear" w:color="auto" w:fill="D0CECE" w:themeFill="background2" w:themeFillShade="E6"/>
            <w:noWrap/>
            <w:vAlign w:val="center"/>
            <w:hideMark/>
          </w:tcPr>
          <w:p w14:paraId="6C0E40EF" w14:textId="77777777" w:rsidR="00A924E2" w:rsidRPr="00CC615A" w:rsidRDefault="00A924E2" w:rsidP="00CC615A">
            <w:pPr>
              <w:jc w:val="center"/>
              <w:rPr>
                <w:rFonts w:ascii="Arial" w:hAnsi="Arial" w:cs="Arial"/>
                <w:bCs/>
                <w:sz w:val="15"/>
                <w:szCs w:val="18"/>
              </w:rPr>
            </w:pPr>
            <w:r w:rsidRPr="00CC615A">
              <w:rPr>
                <w:rFonts w:ascii="Arial" w:hAnsi="Arial" w:cs="Arial"/>
                <w:bCs/>
                <w:sz w:val="15"/>
                <w:szCs w:val="18"/>
              </w:rPr>
              <w:t>6.25</w:t>
            </w:r>
          </w:p>
        </w:tc>
      </w:tr>
    </w:tbl>
    <w:p w14:paraId="49C01FC5" w14:textId="3416D84E" w:rsidR="00E97E79" w:rsidRPr="009E642E" w:rsidRDefault="00E97E79" w:rsidP="00E97E79">
      <w:pPr>
        <w:spacing w:before="120"/>
        <w:rPr>
          <w:rFonts w:ascii="Arial" w:eastAsia="Times New Roman" w:hAnsi="Arial" w:cs="Arial"/>
          <w:color w:val="000000"/>
          <w:sz w:val="20"/>
          <w:szCs w:val="20"/>
        </w:rPr>
      </w:pPr>
      <w:r w:rsidRPr="006F4E40">
        <w:rPr>
          <w:rFonts w:ascii="Arial" w:eastAsia="Times New Roman" w:hAnsi="Arial" w:cs="Arial"/>
          <w:color w:val="000000"/>
          <w:sz w:val="20"/>
          <w:szCs w:val="20"/>
        </w:rPr>
        <w:t xml:space="preserve">The observed frequency distribution does not follow the expected Mendelian distribution; A non-Mendelian distribution is supported by </w:t>
      </w:r>
      <w:proofErr w:type="spellStart"/>
      <w:r w:rsidRPr="001C5940">
        <w:rPr>
          <w:rFonts w:ascii="Arial" w:eastAsia="Times New Roman" w:hAnsi="Arial" w:cs="Arial"/>
          <w:color w:val="000000"/>
          <w:sz w:val="20"/>
          <w:szCs w:val="20"/>
        </w:rPr>
        <w:t>by</w:t>
      </w:r>
      <w:proofErr w:type="spellEnd"/>
      <w:r w:rsidRPr="001C5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t>the Pearson’s χ2 test using the Mendel Excel workbook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fldChar w:fldCharType="begin"/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instrText xml:space="preserve"> ADDIN EN.CITE &lt;EndNote&gt;&lt;Cite&gt;&lt;Author&gt;Montoliu&lt;/Author&gt;&lt;Year&gt;2012&lt;/Year&gt;&lt;RecNum&gt;6296&lt;/RecNum&gt;&lt;DisplayText&gt;&lt;style face="superscript"&gt;1&lt;/style&gt;&lt;/DisplayText&gt;&lt;record&gt;&lt;rec-number&gt;6296&lt;/rec-number&gt;&lt;foreign-keys&gt;&lt;key app="EN" db-id="ftep5tvxkxvtrdezzz1x92zjwvpw925fv9r9" timestamp="1736016543"&gt;6296&lt;/key&gt;&lt;/foreign-keys&gt;&lt;ref-type name="Journal Article"&gt;17&lt;/ref-type&gt;&lt;contributors&gt;&lt;authors&gt;&lt;author&gt;Montoliu, L.&lt;/author&gt;&lt;/authors&gt;&lt;/contributors&gt;&lt;auth-address&gt;Department of Molecular and Cellular Biology, Centro Nacional de Biotecnologia (CNB-CSIC), Campus de, Cantoblanco Darwin 3, 28049 Madrid, Spain. montoliu@cnb.csic.es&lt;/auth-address&gt;&lt;titles&gt;&lt;title&gt;Mendel: a simple excel workbook to compare the observed and expected distributions of genotypes/phenotypes in transgenic and knockout mouse crosses involving up to three unlinked loci by means of a chi2 test&lt;/title&gt;&lt;secondary-title&gt;Transgenic Res&lt;/secondary-title&gt;&lt;/titles&gt;&lt;pages&gt;677-81&lt;/pages&gt;&lt;volume&gt;21&lt;/volume&gt;&lt;number&gt;3&lt;/number&gt;&lt;edition&gt;20110819&lt;/edition&gt;&lt;dates&gt;&lt;year&gt;2012&lt;/year&gt;&lt;pub-dates&gt;&lt;date&gt;Jun&lt;/date&gt;&lt;/pub-dates&gt;&lt;/dates&gt;&lt;isbn&gt;1573-9368 (Electronic)&amp;#xD;0962-8819 (Linking)&lt;/isbn&gt;&lt;accession-num&gt;21853295&lt;/accession-num&gt;&lt;urls&gt;&lt;related-urls&gt;&lt;url&gt;https://www.ncbi.nlm.nih.gov/pubmed/21853295&lt;/url&gt;&lt;/related-urls&gt;&lt;/urls&gt;&lt;electronic-resource-num&gt;10.1007/s11248-011-9544-4&lt;/electronic-resource-num&gt;&lt;remote-database-name&gt;Medline&lt;/remote-database-name&gt;&lt;remote-database-provider&gt;NLM&lt;/remote-database-provider&gt;&lt;/record&gt;&lt;/Cite&gt;&lt;/EndNote&gt;</w:instrTex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fldChar w:fldCharType="separate"/>
      </w:r>
      <w:r w:rsidRPr="006F4E40">
        <w:rPr>
          <w:rFonts w:ascii="Arial" w:eastAsia="Times New Roman" w:hAnsi="Arial" w:cs="Arial"/>
          <w:noProof/>
          <w:color w:val="000000"/>
          <w:sz w:val="20"/>
          <w:szCs w:val="20"/>
          <w:vertAlign w:val="superscript"/>
        </w:rPr>
        <w:t>1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fldChar w:fldCharType="end"/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t xml:space="preserve"> (p=0.019 using a confidence interval of 0.05). Light gray columns are the genotypes </w:t>
      </w:r>
      <w:r w:rsidR="00341D46">
        <w:rPr>
          <w:rFonts w:ascii="Arial" w:eastAsia="Times New Roman" w:hAnsi="Arial" w:cs="Arial"/>
          <w:color w:val="000000"/>
          <w:sz w:val="20"/>
          <w:szCs w:val="20"/>
        </w:rPr>
        <w:t>resulting in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ab/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41D46" w:rsidRPr="00DB7B7B">
        <w:rPr>
          <w:rFonts w:ascii="Arial" w:eastAsia="Times New Roman" w:hAnsi="Arial" w:cs="Arial"/>
          <w:i/>
          <w:iCs/>
          <w:color w:val="000000"/>
          <w:sz w:val="20"/>
          <w:szCs w:val="20"/>
        </w:rPr>
        <w:t>Bicc1</w:t>
      </w:r>
      <w:r w:rsidR="00341D46" w:rsidRPr="00DB7B7B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Bpk/</w:t>
      </w:r>
      <w:proofErr w:type="spellStart"/>
      <w:r w:rsidR="00341D46" w:rsidRPr="00DB7B7B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Bpk</w:t>
      </w:r>
      <w:proofErr w:type="spellEnd"/>
      <w:r w:rsidR="00341D46" w:rsidRPr="001C594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t xml:space="preserve">phenotype and the dark grey column is the </w:t>
      </w:r>
      <w:r w:rsidRPr="00E97E79">
        <w:rPr>
          <w:rFonts w:ascii="Arial" w:eastAsia="Times New Roman" w:hAnsi="Arial" w:cs="Arial"/>
          <w:i/>
          <w:iCs/>
          <w:color w:val="000000"/>
          <w:sz w:val="20"/>
          <w:szCs w:val="20"/>
        </w:rPr>
        <w:t>Bicc1</w:t>
      </w:r>
      <w:r w:rsidRPr="00E97E79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Bpk/</w:t>
      </w:r>
      <w:proofErr w:type="gramStart"/>
      <w:r w:rsidRPr="00E97E79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Bpk</w:t>
      </w:r>
      <w:r w:rsidRPr="00E97E79">
        <w:rPr>
          <w:rFonts w:ascii="Arial" w:eastAsia="Times New Roman" w:hAnsi="Arial" w:cs="Arial"/>
          <w:i/>
          <w:iCs/>
          <w:color w:val="000000"/>
          <w:sz w:val="20"/>
          <w:szCs w:val="20"/>
        </w:rPr>
        <w:t>:Pkd</w:t>
      </w:r>
      <w:proofErr w:type="gramEnd"/>
      <w:r w:rsidRPr="00E97E79">
        <w:rPr>
          <w:rFonts w:ascii="Arial" w:eastAsia="Times New Roman" w:hAnsi="Arial" w:cs="Arial"/>
          <w:i/>
          <w:iCs/>
          <w:color w:val="000000"/>
          <w:sz w:val="20"/>
          <w:szCs w:val="20"/>
        </w:rPr>
        <w:t>1</w:t>
      </w:r>
      <w:r w:rsidRPr="00E97E79">
        <w:rPr>
          <w:rFonts w:ascii="Arial" w:eastAsia="Times New Roman" w:hAnsi="Arial" w:cs="Arial"/>
          <w:i/>
          <w:iCs/>
          <w:color w:val="000000"/>
          <w:sz w:val="20"/>
          <w:szCs w:val="20"/>
          <w:vertAlign w:val="superscript"/>
        </w:rPr>
        <w:t>+/CD</w:t>
      </w:r>
      <w:r w:rsidRPr="006F4E40">
        <w:rPr>
          <w:rFonts w:ascii="Arial" w:eastAsia="Times New Roman" w:hAnsi="Arial" w:cs="Arial"/>
          <w:color w:val="000000"/>
          <w:sz w:val="20"/>
          <w:szCs w:val="20"/>
        </w:rPr>
        <w:t xml:space="preserve"> phenotype. Note that the mutant phenotype is in line with the expected 6.25% frequency.</w:t>
      </w:r>
    </w:p>
    <w:p w14:paraId="07E2A9AF" w14:textId="77777777" w:rsidR="00C1630E" w:rsidRDefault="00C1630E">
      <w:pPr>
        <w:rPr>
          <w:rFonts w:cs="Arial"/>
          <w:b/>
          <w:szCs w:val="22"/>
        </w:rPr>
      </w:pPr>
    </w:p>
    <w:p w14:paraId="4D294D42" w14:textId="77777777" w:rsidR="00A50C8A" w:rsidRDefault="00A50C8A">
      <w:pPr>
        <w:rPr>
          <w:rFonts w:ascii="Arial" w:hAnsi="Arial" w:cs="Arial"/>
          <w:b/>
          <w:sz w:val="20"/>
          <w:szCs w:val="20"/>
        </w:rPr>
      </w:pPr>
    </w:p>
    <w:p w14:paraId="5C133B72" w14:textId="77777777" w:rsidR="00A50C8A" w:rsidRDefault="00A50C8A">
      <w:pPr>
        <w:rPr>
          <w:rFonts w:ascii="Arial" w:hAnsi="Arial" w:cs="Arial"/>
          <w:b/>
          <w:sz w:val="20"/>
          <w:szCs w:val="20"/>
        </w:rPr>
      </w:pPr>
    </w:p>
    <w:p w14:paraId="6AD0817F" w14:textId="77777777" w:rsidR="00A50C8A" w:rsidRDefault="00A50C8A">
      <w:pPr>
        <w:rPr>
          <w:rFonts w:ascii="Arial" w:hAnsi="Arial" w:cs="Arial"/>
          <w:b/>
          <w:sz w:val="20"/>
          <w:szCs w:val="20"/>
        </w:rPr>
      </w:pPr>
    </w:p>
    <w:p w14:paraId="11177D6D" w14:textId="68DC69B7" w:rsidR="00C1630E" w:rsidRPr="00C1630E" w:rsidRDefault="00C1630E">
      <w:pPr>
        <w:rPr>
          <w:rFonts w:ascii="Arial" w:hAnsi="Arial" w:cs="Arial"/>
          <w:b/>
          <w:sz w:val="20"/>
          <w:szCs w:val="20"/>
        </w:rPr>
      </w:pPr>
      <w:r w:rsidRPr="00C1630E">
        <w:rPr>
          <w:rFonts w:ascii="Arial" w:hAnsi="Arial" w:cs="Arial"/>
          <w:b/>
          <w:sz w:val="20"/>
          <w:szCs w:val="20"/>
        </w:rPr>
        <w:t>Reference:</w:t>
      </w:r>
    </w:p>
    <w:p w14:paraId="4D337C57" w14:textId="77777777" w:rsidR="00C1630E" w:rsidRPr="00C1630E" w:rsidRDefault="00C1630E" w:rsidP="00C1630E">
      <w:pPr>
        <w:pStyle w:val="EndNoteBibliography"/>
        <w:spacing w:before="120"/>
        <w:rPr>
          <w:noProof/>
          <w:sz w:val="20"/>
          <w:szCs w:val="20"/>
        </w:rPr>
      </w:pPr>
      <w:r w:rsidRPr="00C1630E">
        <w:rPr>
          <w:rFonts w:eastAsia="Times New Roman"/>
          <w:b/>
          <w:sz w:val="20"/>
          <w:szCs w:val="20"/>
          <w:lang w:eastAsia="de-DE"/>
        </w:rPr>
        <w:fldChar w:fldCharType="begin"/>
      </w:r>
      <w:r w:rsidRPr="00C1630E">
        <w:rPr>
          <w:rFonts w:eastAsia="Times New Roman"/>
          <w:b/>
          <w:sz w:val="20"/>
          <w:szCs w:val="20"/>
          <w:lang w:eastAsia="de-DE"/>
        </w:rPr>
        <w:instrText xml:space="preserve"> ADDIN EN.REFLIST </w:instrText>
      </w:r>
      <w:r w:rsidRPr="00C1630E">
        <w:rPr>
          <w:rFonts w:eastAsia="Times New Roman"/>
          <w:b/>
          <w:sz w:val="20"/>
          <w:szCs w:val="20"/>
          <w:lang w:eastAsia="de-DE"/>
        </w:rPr>
        <w:fldChar w:fldCharType="separate"/>
      </w:r>
      <w:r w:rsidRPr="00C1630E">
        <w:rPr>
          <w:noProof/>
          <w:sz w:val="20"/>
          <w:szCs w:val="20"/>
        </w:rPr>
        <w:t>1.</w:t>
      </w:r>
      <w:r w:rsidRPr="00C1630E">
        <w:rPr>
          <w:noProof/>
          <w:sz w:val="20"/>
          <w:szCs w:val="20"/>
        </w:rPr>
        <w:tab/>
        <w:t xml:space="preserve">Montoliu L. Mendel: a simple excel workbook to compare the observed and expected distributions of genotypes/phenotypes in transgenic and knockout mouse crosses involving up to three unlinked loci by means of a chi2 test. </w:t>
      </w:r>
      <w:r w:rsidRPr="00C1630E">
        <w:rPr>
          <w:i/>
          <w:noProof/>
          <w:sz w:val="20"/>
          <w:szCs w:val="20"/>
        </w:rPr>
        <w:t>Transgenic Res</w:t>
      </w:r>
      <w:r w:rsidRPr="00C1630E">
        <w:rPr>
          <w:noProof/>
          <w:sz w:val="20"/>
          <w:szCs w:val="20"/>
        </w:rPr>
        <w:t>. Jun 2012;21(3):677–681. doi:10.1007/s11248-011-9544-4</w:t>
      </w:r>
    </w:p>
    <w:p w14:paraId="44CF41AB" w14:textId="4B35E2DB" w:rsidR="008E72DB" w:rsidRDefault="00C1630E" w:rsidP="00C1630E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 w:rsidRPr="00C1630E">
        <w:rPr>
          <w:rFonts w:ascii="Arial" w:eastAsia="Times New Roman" w:hAnsi="Arial" w:cs="Arial"/>
          <w:b/>
          <w:sz w:val="20"/>
          <w:szCs w:val="20"/>
          <w:lang w:eastAsia="de-DE"/>
        </w:rPr>
        <w:fldChar w:fldCharType="end"/>
      </w:r>
      <w:r w:rsidR="008E72DB">
        <w:rPr>
          <w:rFonts w:cs="Arial"/>
          <w:b/>
          <w:szCs w:val="22"/>
        </w:rPr>
        <w:br w:type="page"/>
      </w:r>
    </w:p>
    <w:p w14:paraId="5C7972F7" w14:textId="092679AC" w:rsidR="005558D6" w:rsidRDefault="00617148" w:rsidP="00DB56F7">
      <w:pPr>
        <w:pStyle w:val="Formatvorlage1"/>
        <w:widowControl/>
        <w:spacing w:after="120" w:line="240" w:lineRule="auto"/>
        <w:ind w:left="360" w:right="360"/>
        <w:jc w:val="left"/>
        <w:rPr>
          <w:rFonts w:cs="Arial"/>
          <w:b/>
          <w:i/>
          <w:iCs/>
          <w:szCs w:val="22"/>
        </w:rPr>
      </w:pPr>
      <w:r>
        <w:rPr>
          <w:rFonts w:cs="Arial"/>
          <w:b/>
          <w:szCs w:val="22"/>
        </w:rPr>
        <w:lastRenderedPageBreak/>
        <w:t>Supplementary</w:t>
      </w:r>
      <w:r w:rsidRPr="00CB7C58">
        <w:rPr>
          <w:rFonts w:cs="Arial"/>
          <w:b/>
          <w:szCs w:val="22"/>
        </w:rPr>
        <w:t xml:space="preserve"> </w:t>
      </w:r>
      <w:r w:rsidR="004D0DE5">
        <w:rPr>
          <w:rFonts w:cs="Arial"/>
          <w:b/>
          <w:szCs w:val="22"/>
        </w:rPr>
        <w:t>File 1</w:t>
      </w:r>
      <w:r w:rsidR="00A50C8A">
        <w:rPr>
          <w:rFonts w:cs="Arial"/>
          <w:b/>
          <w:szCs w:val="22"/>
        </w:rPr>
        <w:t>c</w:t>
      </w:r>
      <w:r w:rsidR="00DB56F7">
        <w:rPr>
          <w:rFonts w:cs="Arial"/>
          <w:b/>
          <w:szCs w:val="22"/>
        </w:rPr>
        <w:t>:</w:t>
      </w:r>
      <w:r w:rsidRPr="00CB7C58">
        <w:rPr>
          <w:rFonts w:cs="Arial"/>
          <w:b/>
          <w:szCs w:val="22"/>
        </w:rPr>
        <w:t xml:space="preserve"> </w:t>
      </w:r>
      <w:r w:rsidR="004D0DE5">
        <w:rPr>
          <w:rFonts w:cs="Arial"/>
          <w:bCs/>
          <w:szCs w:val="22"/>
        </w:rPr>
        <w:t xml:space="preserve">Table of the </w:t>
      </w:r>
      <w:r w:rsidR="00A50C8A">
        <w:rPr>
          <w:rFonts w:cs="Arial"/>
          <w:bCs/>
          <w:i/>
          <w:iCs/>
          <w:szCs w:val="22"/>
        </w:rPr>
        <w:t>i</w:t>
      </w:r>
      <w:r w:rsidR="00A50C8A" w:rsidRPr="00DB56F7">
        <w:rPr>
          <w:rFonts w:cs="Arial"/>
          <w:bCs/>
          <w:i/>
          <w:iCs/>
          <w:szCs w:val="22"/>
        </w:rPr>
        <w:t>n-silico</w:t>
      </w:r>
      <w:r w:rsidRPr="00DB56F7">
        <w:rPr>
          <w:rFonts w:cs="Arial"/>
          <w:bCs/>
          <w:i/>
          <w:iCs/>
          <w:szCs w:val="22"/>
        </w:rPr>
        <w:t xml:space="preserve"> Analysis of the PKD1 and PKD2 Variants Identified in VEO-ADPKD Patients</w:t>
      </w:r>
      <w:r w:rsidR="00C62128" w:rsidRPr="00DB56F7">
        <w:rPr>
          <w:rFonts w:cs="Arial"/>
          <w:bCs/>
          <w:i/>
          <w:iCs/>
          <w:szCs w:val="22"/>
        </w:rPr>
        <w:t>.</w:t>
      </w:r>
    </w:p>
    <w:tbl>
      <w:tblPr>
        <w:tblpPr w:leftFromText="180" w:rightFromText="180" w:vertAnchor="page" w:horzAnchor="margin" w:tblpXSpec="center" w:tblpY="2262"/>
        <w:tblW w:w="860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27"/>
        <w:gridCol w:w="1884"/>
        <w:gridCol w:w="1945"/>
        <w:gridCol w:w="1945"/>
      </w:tblGrid>
      <w:tr w:rsidR="005558D6" w:rsidRPr="000D2341" w14:paraId="02004B86" w14:textId="77777777" w:rsidTr="00005714">
        <w:trPr>
          <w:trHeight w:val="144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C6218" w14:textId="77777777" w:rsidR="005558D6" w:rsidRPr="000D2341" w:rsidRDefault="005558D6" w:rsidP="00005714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Gene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0FEE" w14:textId="77777777" w:rsidR="005558D6" w:rsidRPr="000D2341" w:rsidRDefault="005558D6" w:rsidP="00005714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PKD2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bottom"/>
          </w:tcPr>
          <w:p w14:paraId="4D4BF5CD" w14:textId="77777777" w:rsidR="005558D6" w:rsidRPr="000D2341" w:rsidRDefault="005558D6" w:rsidP="00005714">
            <w:pPr>
              <w:jc w:val="center"/>
              <w:textAlignment w:val="bottom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PKD1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21993A" w14:textId="77777777" w:rsidR="005558D6" w:rsidRPr="000D2341" w:rsidRDefault="005558D6" w:rsidP="00005714">
            <w:pPr>
              <w:jc w:val="center"/>
              <w:textAlignment w:val="bottom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24"/>
                <w:sz w:val="16"/>
                <w:szCs w:val="16"/>
                <w:lang w:val="en-GB"/>
              </w:rPr>
              <w:t>PKD2</w:t>
            </w:r>
          </w:p>
        </w:tc>
      </w:tr>
      <w:tr w:rsidR="005558D6" w:rsidRPr="000D2341" w14:paraId="05D48B11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DF41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Chromosomal position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B3C0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4:88046767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EBBA0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16:2090945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4D842D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4:88056263</w:t>
            </w:r>
          </w:p>
        </w:tc>
      </w:tr>
      <w:tr w:rsidR="005558D6" w:rsidRPr="000D2341" w14:paraId="14B711D9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7C10D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HGVSc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5DA33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c.1445T&gt;G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F0C580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c.11942C&gt;T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5735A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c.1894T&gt;C</w:t>
            </w:r>
          </w:p>
        </w:tc>
      </w:tr>
      <w:tr w:rsidR="005558D6" w:rsidRPr="000D2341" w14:paraId="4260236F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4769E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HGVSp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75B7F" w14:textId="470803E5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p.Phe</w:t>
            </w:r>
            <w:proofErr w:type="gramEnd"/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482Cys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E3DF7A6" w14:textId="730EF031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</w:pPr>
            <w:proofErr w:type="gramStart"/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p.Ala</w:t>
            </w:r>
            <w:proofErr w:type="gramEnd"/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3981Val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24CFB" w14:textId="18718918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p.Cys</w:t>
            </w:r>
            <w:proofErr w:type="gramEnd"/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632Arg</w:t>
            </w:r>
          </w:p>
        </w:tc>
      </w:tr>
      <w:tr w:rsidR="005558D6" w:rsidRPr="000D2341" w14:paraId="41D53612" w14:textId="77777777" w:rsidTr="00005714">
        <w:trPr>
          <w:trHeight w:val="432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C2287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Protein Region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580A5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TRANSMEM-Helical; Range:469-489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24E71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TOPO_DOM-Extracellular; Range:3957-3984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37E6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INTRAMEM-Pore-forming; Range:632-646</w:t>
            </w:r>
          </w:p>
        </w:tc>
      </w:tr>
      <w:tr w:rsidR="005558D6" w:rsidRPr="000D2341" w14:paraId="6696EEB7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825A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SIFT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9850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B1260EB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0.005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D1AB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0.002</w:t>
            </w:r>
          </w:p>
        </w:tc>
      </w:tr>
      <w:tr w:rsidR="005558D6" w:rsidRPr="000D2341" w14:paraId="71FEA5FF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0D592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Polyphen2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E1BE2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0.519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20586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C8D8A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0.839</w:t>
            </w:r>
          </w:p>
        </w:tc>
      </w:tr>
      <w:tr w:rsidR="005558D6" w:rsidRPr="000D2341" w14:paraId="0E5B6135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310A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CADD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3FCBE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24.9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3BF78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25.9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52C25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27</w:t>
            </w:r>
          </w:p>
        </w:tc>
      </w:tr>
      <w:tr w:rsidR="005558D6" w:rsidRPr="000D2341" w14:paraId="61EFA1C1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CF8F5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FATHMM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7AC84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-0.47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0211C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-0.83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1DB1D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-4.45</w:t>
            </w:r>
          </w:p>
        </w:tc>
      </w:tr>
      <w:tr w:rsidR="005558D6" w:rsidRPr="000D2341" w14:paraId="1102305E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D481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Eigen-PC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4B364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0.450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2CCE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0.356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BC85A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0.538</w:t>
            </w:r>
          </w:p>
        </w:tc>
      </w:tr>
      <w:tr w:rsidR="005558D6" w:rsidRPr="000D2341" w14:paraId="6BA49171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0634FB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GERP++ RS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B48D1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5.61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58954647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3.12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5EF27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5.36</w:t>
            </w:r>
          </w:p>
        </w:tc>
      </w:tr>
      <w:tr w:rsidR="005558D6" w:rsidRPr="000D2341" w14:paraId="3BF119E6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C9A02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EVE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CFF3E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0.240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vAlign w:val="center"/>
          </w:tcPr>
          <w:p w14:paraId="42B8B00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0.706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CE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714AD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0.875</w:t>
            </w:r>
          </w:p>
        </w:tc>
      </w:tr>
      <w:tr w:rsidR="005558D6" w:rsidRPr="000D2341" w14:paraId="3C1327F3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B595C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REVEL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FD8DE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0.185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ECF8A32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0.668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5A04A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0.831</w:t>
            </w:r>
          </w:p>
        </w:tc>
      </w:tr>
      <w:tr w:rsidR="005558D6" w:rsidRPr="000D2341" w14:paraId="047E28A5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72DD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MetaSVM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35D1B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-0.359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8C79FF6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-0.033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8153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0.980</w:t>
            </w:r>
          </w:p>
        </w:tc>
      </w:tr>
      <w:tr w:rsidR="005558D6" w:rsidRPr="000D2341" w14:paraId="507CBFFC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9ED1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MetaLR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9C9E7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0.340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F03531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0.495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7B80E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0.904</w:t>
            </w:r>
          </w:p>
        </w:tc>
      </w:tr>
      <w:tr w:rsidR="005558D6" w:rsidRPr="000D2341" w14:paraId="55ADB613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E0AA6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PrimateAI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B75EB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0.429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62F79CA0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0.897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08150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0.714</w:t>
            </w:r>
          </w:p>
        </w:tc>
      </w:tr>
      <w:tr w:rsidR="005558D6" w:rsidRPr="000D2341" w14:paraId="60E0BA25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ED2D8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Alphamissense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B5714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0.088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32284CFE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0.503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E84FD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0.993</w:t>
            </w:r>
          </w:p>
        </w:tc>
      </w:tr>
      <w:tr w:rsidR="005558D6" w:rsidRPr="000D2341" w14:paraId="459F6EC3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20E4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ESM1b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ACF1F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-7.82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6E8D8D7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-7.96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37E41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-18.21</w:t>
            </w:r>
          </w:p>
        </w:tc>
      </w:tr>
      <w:tr w:rsidR="005558D6" w:rsidRPr="000D2341" w14:paraId="27A508C9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8FEF1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ProtVar</w:t>
            </w:r>
            <w:proofErr w:type="spellEnd"/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91DB2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1.089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3C50DB5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-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B9CA3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23.0107</w:t>
            </w:r>
          </w:p>
        </w:tc>
      </w:tr>
      <w:tr w:rsidR="005558D6" w:rsidRPr="000D2341" w14:paraId="7AA2D80B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ECC42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gnomAD</w:t>
            </w:r>
            <w:proofErr w:type="spellEnd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 xml:space="preserve"> exomes AF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EAD29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0.00204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3345C5AE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0.00001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D639A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-</w:t>
            </w:r>
          </w:p>
        </w:tc>
      </w:tr>
      <w:tr w:rsidR="005558D6" w:rsidRPr="000D2341" w14:paraId="7BE2F0FD" w14:textId="77777777" w:rsidTr="00005714">
        <w:trPr>
          <w:trHeight w:hRule="exact" w:val="288"/>
        </w:trPr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71AAD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proofErr w:type="spellStart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>gnomAD</w:t>
            </w:r>
            <w:proofErr w:type="spellEnd"/>
            <w:r w:rsidRPr="000D2341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16"/>
                <w:szCs w:val="16"/>
                <w:lang w:val="en-GB"/>
              </w:rPr>
              <w:t xml:space="preserve"> genomes AF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74247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0.00185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B16790E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0.00001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EF111" w14:textId="77777777" w:rsidR="005558D6" w:rsidRPr="000D2341" w:rsidRDefault="005558D6" w:rsidP="00005714">
            <w:pPr>
              <w:jc w:val="center"/>
              <w:textAlignment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D2341">
              <w:rPr>
                <w:rFonts w:ascii="Arial" w:eastAsia="Times New Roman" w:hAnsi="Arial" w:cs="Arial"/>
                <w:color w:val="000000"/>
                <w:kern w:val="24"/>
                <w:sz w:val="16"/>
                <w:szCs w:val="16"/>
                <w:lang w:val="en-GB"/>
              </w:rPr>
              <w:t>-</w:t>
            </w:r>
          </w:p>
        </w:tc>
      </w:tr>
    </w:tbl>
    <w:p w14:paraId="0C9C5333" w14:textId="6B19EBD6" w:rsidR="00617148" w:rsidRDefault="00617148" w:rsidP="00617148">
      <w:pPr>
        <w:pStyle w:val="Formatvorlage1"/>
        <w:widowControl/>
        <w:spacing w:after="120" w:line="240" w:lineRule="auto"/>
        <w:ind w:left="720" w:right="360" w:hanging="270"/>
        <w:jc w:val="left"/>
        <w:rPr>
          <w:rFonts w:cs="Arial"/>
          <w:b/>
          <w:i/>
          <w:iCs/>
          <w:szCs w:val="22"/>
        </w:rPr>
      </w:pPr>
    </w:p>
    <w:p w14:paraId="1F58C570" w14:textId="339C7DB1" w:rsidR="00FE0DC6" w:rsidRDefault="00FE0DC6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  <w:r>
        <w:rPr>
          <w:rFonts w:cs="Arial"/>
          <w:b/>
          <w:szCs w:val="22"/>
        </w:rPr>
        <w:br w:type="page"/>
      </w:r>
    </w:p>
    <w:p w14:paraId="680605E3" w14:textId="551601E3" w:rsidR="006A4EB8" w:rsidRDefault="00D86C56" w:rsidP="004C5C81">
      <w:pPr>
        <w:pStyle w:val="Formatvorlage1"/>
        <w:widowControl/>
        <w:spacing w:before="120" w:after="40" w:line="240" w:lineRule="auto"/>
        <w:ind w:left="720"/>
        <w:jc w:val="left"/>
        <w:rPr>
          <w:rFonts w:cs="Arial"/>
          <w:bCs/>
          <w:szCs w:val="22"/>
        </w:rPr>
      </w:pPr>
      <w:r>
        <w:rPr>
          <w:rFonts w:cs="Arial"/>
          <w:b/>
          <w:szCs w:val="22"/>
        </w:rPr>
        <w:lastRenderedPageBreak/>
        <w:t>Supplementary</w:t>
      </w:r>
      <w:r w:rsidR="00250105" w:rsidRPr="00CB7C58">
        <w:rPr>
          <w:rFonts w:cs="Arial"/>
          <w:b/>
          <w:szCs w:val="22"/>
        </w:rPr>
        <w:t xml:space="preserve"> </w:t>
      </w:r>
      <w:r w:rsidR="004D0DE5">
        <w:rPr>
          <w:rFonts w:cs="Arial"/>
          <w:b/>
          <w:szCs w:val="22"/>
        </w:rPr>
        <w:t>File 1</w:t>
      </w:r>
      <w:r w:rsidR="00A50C8A">
        <w:rPr>
          <w:rFonts w:cs="Arial"/>
          <w:b/>
          <w:szCs w:val="22"/>
        </w:rPr>
        <w:t>d</w:t>
      </w:r>
      <w:r w:rsidR="00DB56F7">
        <w:rPr>
          <w:rFonts w:cs="Arial"/>
          <w:b/>
          <w:szCs w:val="22"/>
        </w:rPr>
        <w:t>:</w:t>
      </w:r>
      <w:r w:rsidR="00250105" w:rsidRPr="00CB7C58">
        <w:rPr>
          <w:rFonts w:cs="Arial"/>
          <w:b/>
          <w:szCs w:val="22"/>
        </w:rPr>
        <w:t xml:space="preserve"> </w:t>
      </w:r>
      <w:r w:rsidR="004D0DE5">
        <w:rPr>
          <w:rFonts w:cs="Arial"/>
          <w:bCs/>
          <w:szCs w:val="22"/>
        </w:rPr>
        <w:t xml:space="preserve">Table of the </w:t>
      </w:r>
      <w:r w:rsidR="00A50C8A">
        <w:rPr>
          <w:rFonts w:cs="Arial"/>
          <w:bCs/>
          <w:i/>
          <w:iCs/>
          <w:szCs w:val="22"/>
        </w:rPr>
        <w:t>i</w:t>
      </w:r>
      <w:r w:rsidR="00A50C8A" w:rsidRPr="00DB56F7">
        <w:rPr>
          <w:rFonts w:cs="Arial"/>
          <w:bCs/>
          <w:i/>
          <w:iCs/>
          <w:szCs w:val="22"/>
        </w:rPr>
        <w:t>n-silico</w:t>
      </w:r>
      <w:r w:rsidR="00250105" w:rsidRPr="00DB56F7">
        <w:rPr>
          <w:rFonts w:cs="Arial"/>
          <w:bCs/>
          <w:szCs w:val="22"/>
        </w:rPr>
        <w:t xml:space="preserve"> Analysis of</w:t>
      </w:r>
      <w:r w:rsidR="00073283" w:rsidRPr="00DB56F7">
        <w:rPr>
          <w:rFonts w:cs="Arial"/>
          <w:bCs/>
          <w:szCs w:val="22"/>
        </w:rPr>
        <w:t xml:space="preserve"> the</w:t>
      </w:r>
      <w:r w:rsidR="00250105" w:rsidRPr="00DB56F7">
        <w:rPr>
          <w:rFonts w:cs="Arial"/>
          <w:bCs/>
          <w:i/>
          <w:iCs/>
          <w:szCs w:val="22"/>
        </w:rPr>
        <w:t xml:space="preserve"> BICC1</w:t>
      </w:r>
      <w:r w:rsidR="00250105" w:rsidRPr="00DB56F7">
        <w:rPr>
          <w:rFonts w:cs="Arial"/>
          <w:bCs/>
          <w:szCs w:val="22"/>
        </w:rPr>
        <w:t xml:space="preserve"> </w:t>
      </w:r>
      <w:proofErr w:type="gramStart"/>
      <w:r w:rsidR="00085BD8" w:rsidRPr="00DB56F7">
        <w:rPr>
          <w:rFonts w:cs="Arial"/>
          <w:bCs/>
          <w:szCs w:val="22"/>
        </w:rPr>
        <w:t>p.Ser</w:t>
      </w:r>
      <w:proofErr w:type="gramEnd"/>
      <w:r w:rsidR="00085BD8" w:rsidRPr="00DB56F7">
        <w:rPr>
          <w:rFonts w:cs="Arial"/>
          <w:bCs/>
          <w:szCs w:val="22"/>
        </w:rPr>
        <w:t>240Pro</w:t>
      </w:r>
      <w:r w:rsidR="00085BD8" w:rsidRPr="00DB56F7" w:rsidDel="008D7C33">
        <w:rPr>
          <w:rFonts w:cs="Arial"/>
          <w:bCs/>
          <w:szCs w:val="22"/>
        </w:rPr>
        <w:t xml:space="preserve"> </w:t>
      </w:r>
      <w:r w:rsidR="00694737" w:rsidRPr="00DB56F7">
        <w:rPr>
          <w:rFonts w:cs="Arial"/>
          <w:bCs/>
          <w:szCs w:val="22"/>
        </w:rPr>
        <w:t xml:space="preserve">(S240P) </w:t>
      </w:r>
      <w:r w:rsidR="00250105" w:rsidRPr="00DB56F7">
        <w:rPr>
          <w:rFonts w:cs="Arial"/>
          <w:bCs/>
          <w:szCs w:val="22"/>
        </w:rPr>
        <w:t>Variant.</w:t>
      </w:r>
    </w:p>
    <w:p w14:paraId="6FE4BB9E" w14:textId="77777777" w:rsidR="00E633F5" w:rsidRDefault="00E633F5" w:rsidP="004C5C81">
      <w:pPr>
        <w:pStyle w:val="Formatvorlage1"/>
        <w:widowControl/>
        <w:spacing w:before="120" w:after="40" w:line="240" w:lineRule="auto"/>
        <w:ind w:left="720"/>
        <w:jc w:val="left"/>
        <w:rPr>
          <w:rFonts w:cs="Arial"/>
          <w:bCs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2"/>
        <w:gridCol w:w="893"/>
        <w:gridCol w:w="730"/>
        <w:gridCol w:w="699"/>
        <w:gridCol w:w="1630"/>
        <w:gridCol w:w="672"/>
        <w:gridCol w:w="808"/>
        <w:gridCol w:w="493"/>
        <w:gridCol w:w="901"/>
      </w:tblGrid>
      <w:tr w:rsidR="00412966" w14:paraId="601C2A65" w14:textId="77777777" w:rsidTr="00E633F5">
        <w:trPr>
          <w:trHeight w:val="295"/>
        </w:trPr>
        <w:tc>
          <w:tcPr>
            <w:tcW w:w="992" w:type="dxa"/>
            <w:vMerge w:val="restart"/>
            <w:vAlign w:val="center"/>
          </w:tcPr>
          <w:p w14:paraId="0A2BE909" w14:textId="27D14232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cs="Arial"/>
                <w:b/>
                <w:kern w:val="0"/>
                <w:sz w:val="14"/>
                <w:szCs w:val="14"/>
                <w14:ligatures w14:val="none"/>
              </w:rPr>
              <w:t>p/Change (Domain)</w:t>
            </w:r>
          </w:p>
        </w:tc>
        <w:tc>
          <w:tcPr>
            <w:tcW w:w="893" w:type="dxa"/>
            <w:vMerge w:val="restart"/>
            <w:vAlign w:val="center"/>
          </w:tcPr>
          <w:p w14:paraId="5197AFF2" w14:textId="365FFA5B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proofErr w:type="spellStart"/>
            <w:r w:rsidRPr="00E633F5">
              <w:rPr>
                <w:rFonts w:cs="Arial"/>
                <w:b/>
                <w:sz w:val="14"/>
                <w:szCs w:val="14"/>
              </w:rPr>
              <w:t>Consurf</w:t>
            </w:r>
            <w:proofErr w:type="spellEnd"/>
          </w:p>
        </w:tc>
        <w:tc>
          <w:tcPr>
            <w:tcW w:w="3591" w:type="dxa"/>
            <w:gridSpan w:val="4"/>
            <w:vAlign w:val="center"/>
          </w:tcPr>
          <w:p w14:paraId="25FC13C7" w14:textId="29FF5E72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cs="Arial"/>
                <w:b/>
                <w:sz w:val="14"/>
                <w:szCs w:val="14"/>
              </w:rPr>
              <w:t>Amino acid (REF/ALT)</w:t>
            </w:r>
          </w:p>
        </w:tc>
        <w:tc>
          <w:tcPr>
            <w:tcW w:w="808" w:type="dxa"/>
            <w:vMerge w:val="restart"/>
            <w:vAlign w:val="center"/>
          </w:tcPr>
          <w:p w14:paraId="20440D03" w14:textId="6897EEBA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proofErr w:type="spellStart"/>
            <w:r w:rsidRPr="00E633F5">
              <w:rPr>
                <w:rFonts w:cs="Arial"/>
                <w:b/>
                <w:sz w:val="14"/>
                <w:szCs w:val="14"/>
              </w:rPr>
              <w:t>DynaMu</w:t>
            </w:r>
            <w:r w:rsidR="00E633F5">
              <w:rPr>
                <w:rFonts w:cs="Arial"/>
                <w:b/>
                <w:sz w:val="14"/>
                <w:szCs w:val="14"/>
              </w:rPr>
              <w:t>t</w:t>
            </w:r>
            <w:proofErr w:type="spellEnd"/>
          </w:p>
          <w:p w14:paraId="528F8113" w14:textId="57BD9D30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ascii="Symbol" w:hAnsi="Symbol" w:cs="Arial"/>
                <w:b/>
                <w:sz w:val="14"/>
                <w:szCs w:val="14"/>
              </w:rPr>
              <w:t>DD</w:t>
            </w:r>
            <w:r w:rsidRPr="00E633F5">
              <w:rPr>
                <w:rFonts w:cs="Arial"/>
                <w:b/>
                <w:sz w:val="14"/>
                <w:szCs w:val="14"/>
              </w:rPr>
              <w:t>G</w:t>
            </w:r>
          </w:p>
        </w:tc>
        <w:tc>
          <w:tcPr>
            <w:tcW w:w="1394" w:type="dxa"/>
            <w:gridSpan w:val="2"/>
            <w:vAlign w:val="center"/>
          </w:tcPr>
          <w:p w14:paraId="48437CEB" w14:textId="7E11421C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proofErr w:type="spellStart"/>
            <w:r w:rsidRPr="00E633F5">
              <w:rPr>
                <w:rFonts w:cs="Arial"/>
                <w:b/>
                <w:sz w:val="14"/>
                <w:szCs w:val="14"/>
              </w:rPr>
              <w:t>Varsite</w:t>
            </w:r>
            <w:proofErr w:type="spellEnd"/>
          </w:p>
        </w:tc>
      </w:tr>
      <w:tr w:rsidR="00412966" w14:paraId="11F06E57" w14:textId="77777777" w:rsidTr="00E633F5">
        <w:trPr>
          <w:trHeight w:val="295"/>
        </w:trPr>
        <w:tc>
          <w:tcPr>
            <w:tcW w:w="992" w:type="dxa"/>
            <w:vMerge/>
            <w:vAlign w:val="center"/>
          </w:tcPr>
          <w:p w14:paraId="4F8E9403" w14:textId="77777777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893" w:type="dxa"/>
            <w:vMerge/>
            <w:vAlign w:val="center"/>
          </w:tcPr>
          <w:p w14:paraId="2BD12828" w14:textId="77777777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590" w:type="dxa"/>
            <w:vAlign w:val="center"/>
          </w:tcPr>
          <w:p w14:paraId="3733936A" w14:textId="6CC17BC7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cs="Arial"/>
                <w:b/>
                <w:sz w:val="14"/>
                <w:szCs w:val="14"/>
              </w:rPr>
              <w:t>Polarity</w:t>
            </w:r>
          </w:p>
        </w:tc>
        <w:tc>
          <w:tcPr>
            <w:tcW w:w="699" w:type="dxa"/>
            <w:vAlign w:val="center"/>
          </w:tcPr>
          <w:p w14:paraId="50AB2179" w14:textId="214937D1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cs="Arial"/>
                <w:b/>
                <w:sz w:val="14"/>
                <w:szCs w:val="14"/>
              </w:rPr>
              <w:t>Charge</w:t>
            </w:r>
          </w:p>
        </w:tc>
        <w:tc>
          <w:tcPr>
            <w:tcW w:w="1630" w:type="dxa"/>
            <w:vAlign w:val="center"/>
          </w:tcPr>
          <w:p w14:paraId="5030023D" w14:textId="36AF2A76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cs="Arial"/>
                <w:b/>
                <w:sz w:val="14"/>
                <w:szCs w:val="14"/>
              </w:rPr>
              <w:t>Chemical</w:t>
            </w:r>
          </w:p>
        </w:tc>
        <w:tc>
          <w:tcPr>
            <w:tcW w:w="672" w:type="dxa"/>
            <w:vAlign w:val="center"/>
          </w:tcPr>
          <w:p w14:paraId="11FE640B" w14:textId="1EAD95F3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cs="Arial"/>
                <w:b/>
                <w:sz w:val="14"/>
                <w:szCs w:val="14"/>
              </w:rPr>
              <w:t>HI</w:t>
            </w:r>
          </w:p>
        </w:tc>
        <w:tc>
          <w:tcPr>
            <w:tcW w:w="808" w:type="dxa"/>
            <w:vMerge/>
            <w:vAlign w:val="center"/>
          </w:tcPr>
          <w:p w14:paraId="6750C7D8" w14:textId="77777777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493" w:type="dxa"/>
            <w:vAlign w:val="center"/>
          </w:tcPr>
          <w:p w14:paraId="192B5CD4" w14:textId="76748061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cs="Arial"/>
                <w:b/>
                <w:sz w:val="14"/>
                <w:szCs w:val="14"/>
              </w:rPr>
              <w:t>DP</w:t>
            </w:r>
          </w:p>
        </w:tc>
        <w:tc>
          <w:tcPr>
            <w:tcW w:w="901" w:type="dxa"/>
            <w:vAlign w:val="center"/>
          </w:tcPr>
          <w:p w14:paraId="6F57AF63" w14:textId="5C1740E4" w:rsidR="00412966" w:rsidRPr="00E633F5" w:rsidRDefault="00412966" w:rsidP="00E633F5">
            <w:pPr>
              <w:pStyle w:val="Formatvorlage1"/>
              <w:widowControl/>
              <w:spacing w:line="240" w:lineRule="auto"/>
              <w:jc w:val="center"/>
              <w:rPr>
                <w:rFonts w:cs="Arial"/>
                <w:b/>
                <w:sz w:val="14"/>
                <w:szCs w:val="14"/>
              </w:rPr>
            </w:pPr>
            <w:r w:rsidRPr="00E633F5">
              <w:rPr>
                <w:rFonts w:cs="Arial"/>
                <w:b/>
                <w:sz w:val="14"/>
                <w:szCs w:val="14"/>
              </w:rPr>
              <w:t>Prediction</w:t>
            </w:r>
          </w:p>
        </w:tc>
      </w:tr>
      <w:tr w:rsidR="00412966" w14:paraId="5D42B910" w14:textId="77777777" w:rsidTr="00E633F5">
        <w:trPr>
          <w:trHeight w:val="692"/>
        </w:trPr>
        <w:tc>
          <w:tcPr>
            <w:tcW w:w="992" w:type="dxa"/>
            <w:vAlign w:val="center"/>
          </w:tcPr>
          <w:p w14:paraId="33935B87" w14:textId="75918CDE" w:rsidR="00412966" w:rsidRPr="00412966" w:rsidRDefault="00412966" w:rsidP="00E633F5">
            <w:pPr>
              <w:pStyle w:val="Formatvorlage1"/>
              <w:widowControl/>
              <w:spacing w:before="120" w:after="40" w:line="240" w:lineRule="auto"/>
              <w:ind w:left="-110" w:right="-100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S240P (KHL1)</w:t>
            </w:r>
          </w:p>
        </w:tc>
        <w:tc>
          <w:tcPr>
            <w:tcW w:w="893" w:type="dxa"/>
            <w:vAlign w:val="center"/>
          </w:tcPr>
          <w:p w14:paraId="372B2708" w14:textId="6BD62A24" w:rsidR="00412966" w:rsidRPr="00412966" w:rsidRDefault="00412966" w:rsidP="00412966">
            <w:pPr>
              <w:pStyle w:val="Formatvorlage1"/>
              <w:widowControl/>
              <w:spacing w:before="120" w:after="40" w:line="240" w:lineRule="auto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6</w:t>
            </w:r>
          </w:p>
        </w:tc>
        <w:tc>
          <w:tcPr>
            <w:tcW w:w="590" w:type="dxa"/>
            <w:vAlign w:val="center"/>
          </w:tcPr>
          <w:p w14:paraId="0D852158" w14:textId="60325066" w:rsidR="00412966" w:rsidRPr="00412966" w:rsidRDefault="00412966" w:rsidP="00412966">
            <w:pPr>
              <w:pStyle w:val="Formatvorlage1"/>
              <w:widowControl/>
              <w:spacing w:before="120" w:after="40" w:line="240" w:lineRule="auto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P/NP</w:t>
            </w:r>
          </w:p>
        </w:tc>
        <w:tc>
          <w:tcPr>
            <w:tcW w:w="699" w:type="dxa"/>
            <w:vAlign w:val="center"/>
          </w:tcPr>
          <w:p w14:paraId="475CF2BA" w14:textId="457EB9E2" w:rsidR="00412966" w:rsidRPr="00412966" w:rsidRDefault="00412966" w:rsidP="00412966">
            <w:pPr>
              <w:pStyle w:val="Formatvorlage1"/>
              <w:widowControl/>
              <w:spacing w:before="120" w:after="40" w:line="240" w:lineRule="auto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N/N</w:t>
            </w:r>
          </w:p>
        </w:tc>
        <w:tc>
          <w:tcPr>
            <w:tcW w:w="1630" w:type="dxa"/>
            <w:vAlign w:val="center"/>
          </w:tcPr>
          <w:p w14:paraId="53D8A788" w14:textId="3C27D3AF" w:rsidR="00412966" w:rsidRPr="00412966" w:rsidRDefault="00412966" w:rsidP="00412966">
            <w:pPr>
              <w:pStyle w:val="Formatvorlage1"/>
              <w:widowControl/>
              <w:spacing w:before="120" w:after="40" w:line="240" w:lineRule="auto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HYDROXYL/ALIPHATIC</w:t>
            </w:r>
          </w:p>
        </w:tc>
        <w:tc>
          <w:tcPr>
            <w:tcW w:w="672" w:type="dxa"/>
            <w:vAlign w:val="center"/>
          </w:tcPr>
          <w:p w14:paraId="399FDDB4" w14:textId="5F91FDC8" w:rsidR="00412966" w:rsidRPr="00412966" w:rsidRDefault="00412966" w:rsidP="00412966">
            <w:pPr>
              <w:pStyle w:val="Formatvorlage1"/>
              <w:widowControl/>
              <w:spacing w:before="120" w:after="40" w:line="240" w:lineRule="auto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-0.8/1.6</w:t>
            </w:r>
          </w:p>
        </w:tc>
        <w:tc>
          <w:tcPr>
            <w:tcW w:w="808" w:type="dxa"/>
            <w:vAlign w:val="center"/>
          </w:tcPr>
          <w:p w14:paraId="45091F4D" w14:textId="02AEE477" w:rsidR="00412966" w:rsidRPr="00412966" w:rsidRDefault="00412966" w:rsidP="00412966">
            <w:pPr>
              <w:pStyle w:val="Formatvorlage1"/>
              <w:widowControl/>
              <w:spacing w:before="120" w:after="40" w:line="240" w:lineRule="auto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-0.293</w:t>
            </w:r>
          </w:p>
        </w:tc>
        <w:tc>
          <w:tcPr>
            <w:tcW w:w="493" w:type="dxa"/>
            <w:vAlign w:val="center"/>
          </w:tcPr>
          <w:p w14:paraId="0A02AFCF" w14:textId="40916F56" w:rsidR="00412966" w:rsidRPr="00412966" w:rsidRDefault="00412966" w:rsidP="00412966">
            <w:pPr>
              <w:pStyle w:val="Formatvorlage1"/>
              <w:widowControl/>
              <w:spacing w:before="120" w:after="40" w:line="240" w:lineRule="auto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1.32</w:t>
            </w:r>
          </w:p>
        </w:tc>
        <w:tc>
          <w:tcPr>
            <w:tcW w:w="901" w:type="dxa"/>
            <w:vAlign w:val="center"/>
          </w:tcPr>
          <w:p w14:paraId="241F3BB8" w14:textId="54B0803B" w:rsidR="00412966" w:rsidRPr="00412966" w:rsidRDefault="00412966" w:rsidP="00412966">
            <w:pPr>
              <w:pStyle w:val="Formatvorlage1"/>
              <w:widowControl/>
              <w:spacing w:before="120" w:after="40" w:line="240" w:lineRule="auto"/>
              <w:jc w:val="center"/>
              <w:rPr>
                <w:rFonts w:cs="Arial"/>
                <w:bCs/>
                <w:sz w:val="13"/>
                <w:szCs w:val="13"/>
              </w:rPr>
            </w:pPr>
            <w:r w:rsidRPr="00412966">
              <w:rPr>
                <w:rFonts w:cs="Arial"/>
                <w:bCs/>
                <w:sz w:val="13"/>
                <w:szCs w:val="13"/>
              </w:rPr>
              <w:t>unfavored</w:t>
            </w:r>
          </w:p>
        </w:tc>
      </w:tr>
    </w:tbl>
    <w:p w14:paraId="789685E0" w14:textId="0A6CA4D2" w:rsidR="006A4EB8" w:rsidRDefault="006A4EB8" w:rsidP="00E633F5">
      <w:pPr>
        <w:spacing w:before="120" w:line="276" w:lineRule="auto"/>
        <w:ind w:left="720" w:right="720"/>
        <w:rPr>
          <w:rFonts w:ascii="Arial" w:hAnsi="Arial" w:cs="Arial"/>
          <w:sz w:val="16"/>
          <w:szCs w:val="16"/>
        </w:rPr>
      </w:pPr>
      <w:r w:rsidRPr="006A4EB8">
        <w:rPr>
          <w:rFonts w:ascii="Arial" w:hAnsi="Arial" w:cs="Arial"/>
          <w:sz w:val="16"/>
          <w:szCs w:val="16"/>
        </w:rPr>
        <w:t xml:space="preserve">NP </w:t>
      </w:r>
      <w:r>
        <w:rPr>
          <w:rFonts w:ascii="Arial" w:hAnsi="Arial" w:cs="Arial"/>
          <w:sz w:val="16"/>
          <w:szCs w:val="16"/>
        </w:rPr>
        <w:t xml:space="preserve">- </w:t>
      </w:r>
      <w:r w:rsidRPr="006A4EB8">
        <w:rPr>
          <w:rFonts w:ascii="Arial" w:hAnsi="Arial" w:cs="Arial"/>
          <w:sz w:val="16"/>
          <w:szCs w:val="16"/>
        </w:rPr>
        <w:t>nonpolar</w:t>
      </w:r>
      <w:r>
        <w:rPr>
          <w:rFonts w:ascii="Arial" w:hAnsi="Arial" w:cs="Arial"/>
          <w:sz w:val="16"/>
          <w:szCs w:val="16"/>
        </w:rPr>
        <w:t>;</w:t>
      </w:r>
      <w:r w:rsidRPr="006A4EB8">
        <w:rPr>
          <w:rFonts w:ascii="Arial" w:hAnsi="Arial" w:cs="Arial"/>
          <w:sz w:val="16"/>
          <w:szCs w:val="16"/>
        </w:rPr>
        <w:t xml:space="preserve"> P </w:t>
      </w:r>
      <w:r>
        <w:rPr>
          <w:rFonts w:ascii="Arial" w:hAnsi="Arial" w:cs="Arial"/>
          <w:sz w:val="16"/>
          <w:szCs w:val="16"/>
        </w:rPr>
        <w:t xml:space="preserve">- </w:t>
      </w:r>
      <w:r w:rsidRPr="006A4EB8">
        <w:rPr>
          <w:rFonts w:ascii="Arial" w:hAnsi="Arial" w:cs="Arial"/>
          <w:sz w:val="16"/>
          <w:szCs w:val="16"/>
        </w:rPr>
        <w:t>polar</w:t>
      </w:r>
      <w:r>
        <w:rPr>
          <w:rFonts w:ascii="Arial" w:hAnsi="Arial" w:cs="Arial"/>
          <w:sz w:val="16"/>
          <w:szCs w:val="16"/>
        </w:rPr>
        <w:t>;</w:t>
      </w:r>
      <w:r w:rsidRPr="006A4EB8">
        <w:rPr>
          <w:rFonts w:ascii="Arial" w:hAnsi="Arial" w:cs="Arial"/>
          <w:sz w:val="16"/>
          <w:szCs w:val="16"/>
        </w:rPr>
        <w:t xml:space="preserve"> N </w:t>
      </w:r>
      <w:r>
        <w:rPr>
          <w:rFonts w:ascii="Arial" w:hAnsi="Arial" w:cs="Arial"/>
          <w:sz w:val="16"/>
          <w:szCs w:val="16"/>
        </w:rPr>
        <w:t xml:space="preserve">– </w:t>
      </w:r>
      <w:r w:rsidRPr="006A4EB8">
        <w:rPr>
          <w:rFonts w:ascii="Arial" w:hAnsi="Arial" w:cs="Arial"/>
          <w:sz w:val="16"/>
          <w:szCs w:val="16"/>
        </w:rPr>
        <w:t>neutral</w:t>
      </w:r>
      <w:r>
        <w:rPr>
          <w:rFonts w:ascii="Arial" w:hAnsi="Arial" w:cs="Arial"/>
          <w:sz w:val="16"/>
          <w:szCs w:val="16"/>
        </w:rPr>
        <w:t>;</w:t>
      </w:r>
      <w:r w:rsidRPr="006A4EB8">
        <w:rPr>
          <w:rFonts w:ascii="Arial" w:hAnsi="Arial" w:cs="Arial"/>
          <w:sz w:val="16"/>
          <w:szCs w:val="16"/>
        </w:rPr>
        <w:t xml:space="preserve"> HI</w:t>
      </w:r>
      <w:r>
        <w:rPr>
          <w:rFonts w:ascii="Arial" w:hAnsi="Arial" w:cs="Arial"/>
          <w:sz w:val="16"/>
          <w:szCs w:val="16"/>
        </w:rPr>
        <w:t xml:space="preserve"> - </w:t>
      </w:r>
      <w:r w:rsidRPr="006A4EB8">
        <w:rPr>
          <w:rFonts w:ascii="Arial" w:hAnsi="Arial" w:cs="Arial"/>
          <w:sz w:val="16"/>
          <w:szCs w:val="16"/>
        </w:rPr>
        <w:t>Hydropathy index</w:t>
      </w:r>
      <w:r>
        <w:rPr>
          <w:rFonts w:ascii="Arial" w:hAnsi="Arial" w:cs="Arial"/>
          <w:sz w:val="16"/>
          <w:szCs w:val="16"/>
        </w:rPr>
        <w:t>;</w:t>
      </w:r>
      <w:r w:rsidRPr="006A4EB8">
        <w:rPr>
          <w:rFonts w:ascii="Arial" w:hAnsi="Arial" w:cs="Arial"/>
          <w:sz w:val="16"/>
          <w:szCs w:val="16"/>
        </w:rPr>
        <w:t xml:space="preserve"> ConSurf </w:t>
      </w:r>
      <w:r>
        <w:rPr>
          <w:rFonts w:ascii="Arial" w:hAnsi="Arial" w:cs="Arial"/>
          <w:sz w:val="16"/>
          <w:szCs w:val="16"/>
        </w:rPr>
        <w:t xml:space="preserve">- </w:t>
      </w:r>
      <w:r w:rsidRPr="006A4EB8">
        <w:rPr>
          <w:rFonts w:ascii="Arial" w:hAnsi="Arial" w:cs="Arial"/>
          <w:sz w:val="16"/>
          <w:szCs w:val="16"/>
        </w:rPr>
        <w:t>conservation scores (9 - conserved, 1 - varia</w:t>
      </w:r>
      <w:r w:rsidRPr="006A4EB8">
        <w:rPr>
          <w:rFonts w:ascii="Arial" w:hAnsi="Arial" w:cs="Arial"/>
          <w:sz w:val="16"/>
          <w:szCs w:val="16"/>
        </w:rPr>
        <w:softHyphen/>
        <w:t>ble),</w:t>
      </w:r>
      <w:r>
        <w:rPr>
          <w:rFonts w:ascii="Arial" w:hAnsi="Arial" w:cs="Arial"/>
          <w:sz w:val="16"/>
          <w:szCs w:val="16"/>
        </w:rPr>
        <w:t>;</w:t>
      </w:r>
      <w:r w:rsidRPr="006A4EB8">
        <w:rPr>
          <w:rFonts w:ascii="Arial" w:hAnsi="Arial" w:cs="Arial"/>
          <w:sz w:val="16"/>
          <w:szCs w:val="16"/>
        </w:rPr>
        <w:t xml:space="preserve"> ΔΔG in kcal/mol (change in folding free energy between wild-type and mutant structures, ΔΔG ≥ 0 as stabilizing and ΔΔG &lt; 0 as destabilizing)</w:t>
      </w:r>
      <w:r>
        <w:rPr>
          <w:rFonts w:ascii="Arial" w:hAnsi="Arial" w:cs="Arial"/>
          <w:sz w:val="16"/>
          <w:szCs w:val="16"/>
        </w:rPr>
        <w:t>;</w:t>
      </w:r>
      <w:r w:rsidRPr="006A4EB8">
        <w:rPr>
          <w:rFonts w:ascii="Arial" w:hAnsi="Arial" w:cs="Arial"/>
          <w:sz w:val="16"/>
          <w:szCs w:val="16"/>
        </w:rPr>
        <w:t xml:space="preserve"> DP </w:t>
      </w:r>
      <w:r>
        <w:rPr>
          <w:rFonts w:ascii="Arial" w:hAnsi="Arial" w:cs="Arial"/>
          <w:sz w:val="16"/>
          <w:szCs w:val="16"/>
        </w:rPr>
        <w:t xml:space="preserve">- </w:t>
      </w:r>
      <w:r w:rsidRPr="006A4EB8">
        <w:rPr>
          <w:rFonts w:ascii="Arial" w:hAnsi="Arial" w:cs="Arial"/>
          <w:sz w:val="16"/>
          <w:szCs w:val="16"/>
        </w:rPr>
        <w:t>Disease propensity value (normalized ratio of the number of disease</w:t>
      </w:r>
      <w:r w:rsidRPr="006A4EB8">
        <w:rPr>
          <w:rFonts w:ascii="Cambria Math" w:hAnsi="Cambria Math" w:cs="Cambria Math"/>
          <w:sz w:val="16"/>
          <w:szCs w:val="16"/>
        </w:rPr>
        <w:t>‐</w:t>
      </w:r>
      <w:r w:rsidRPr="006A4EB8">
        <w:rPr>
          <w:rFonts w:ascii="Arial" w:hAnsi="Arial" w:cs="Arial"/>
          <w:sz w:val="16"/>
          <w:szCs w:val="16"/>
        </w:rPr>
        <w:t>to</w:t>
      </w:r>
      <w:r w:rsidRPr="006A4EB8">
        <w:rPr>
          <w:rFonts w:ascii="Cambria Math" w:hAnsi="Cambria Math" w:cs="Cambria Math"/>
          <w:sz w:val="16"/>
          <w:szCs w:val="16"/>
        </w:rPr>
        <w:t>‐</w:t>
      </w:r>
      <w:r w:rsidRPr="006A4EB8">
        <w:rPr>
          <w:rFonts w:ascii="Arial" w:hAnsi="Arial" w:cs="Arial"/>
          <w:sz w:val="16"/>
          <w:szCs w:val="16"/>
        </w:rPr>
        <w:t>natural variants of a given type).</w:t>
      </w:r>
    </w:p>
    <w:p w14:paraId="0EBED17E" w14:textId="77777777" w:rsidR="00412966" w:rsidRDefault="00412966" w:rsidP="006A4EB8">
      <w:pPr>
        <w:spacing w:line="276" w:lineRule="auto"/>
        <w:ind w:left="720" w:right="720"/>
        <w:rPr>
          <w:rFonts w:ascii="Arial" w:hAnsi="Arial" w:cs="Arial"/>
          <w:sz w:val="16"/>
          <w:szCs w:val="16"/>
        </w:rPr>
      </w:pPr>
    </w:p>
    <w:p w14:paraId="083A0985" w14:textId="77777777" w:rsidR="00412966" w:rsidRDefault="00412966" w:rsidP="006A4EB8">
      <w:pPr>
        <w:spacing w:line="276" w:lineRule="auto"/>
        <w:ind w:left="720" w:right="720"/>
        <w:rPr>
          <w:rFonts w:ascii="Arial" w:hAnsi="Arial" w:cs="Arial"/>
          <w:sz w:val="16"/>
          <w:szCs w:val="16"/>
        </w:rPr>
      </w:pPr>
    </w:p>
    <w:p w14:paraId="4CF6CE88" w14:textId="77777777" w:rsidR="00442A6D" w:rsidRDefault="00442A6D" w:rsidP="006A4EB8">
      <w:pPr>
        <w:spacing w:line="276" w:lineRule="auto"/>
        <w:ind w:left="720" w:right="720"/>
        <w:rPr>
          <w:rFonts w:ascii="Arial" w:hAnsi="Arial" w:cs="Arial"/>
          <w:sz w:val="16"/>
          <w:szCs w:val="16"/>
        </w:rPr>
      </w:pPr>
    </w:p>
    <w:p w14:paraId="6BFDCD9C" w14:textId="77777777" w:rsidR="00442A6D" w:rsidRDefault="00442A6D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br w:type="page"/>
      </w:r>
    </w:p>
    <w:p w14:paraId="5AC1FADC" w14:textId="6DEB562B" w:rsidR="00442A6D" w:rsidRDefault="00D86C56" w:rsidP="00442A6D">
      <w:pPr>
        <w:ind w:right="-1531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lastRenderedPageBreak/>
        <w:t>Supplementary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A50C8A">
        <w:rPr>
          <w:rFonts w:ascii="Arial" w:eastAsia="Times New Roman" w:hAnsi="Arial" w:cs="Arial"/>
          <w:b/>
          <w:bCs/>
          <w:color w:val="000000"/>
          <w:sz w:val="22"/>
          <w:szCs w:val="22"/>
        </w:rPr>
        <w:t>File 1e</w:t>
      </w:r>
      <w:r w:rsidR="00DB56F7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="00A50C8A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Table of the 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Gene </w:t>
      </w:r>
      <w:r w:rsidR="005558D6">
        <w:rPr>
          <w:rFonts w:ascii="Arial" w:eastAsia="Times New Roman" w:hAnsi="Arial" w:cs="Arial"/>
          <w:b/>
          <w:bCs/>
          <w:color w:val="000000"/>
          <w:sz w:val="22"/>
          <w:szCs w:val="22"/>
        </w:rPr>
        <w:t>S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ets </w:t>
      </w:r>
      <w:r w:rsidR="005558D6">
        <w:rPr>
          <w:rFonts w:ascii="Arial" w:eastAsia="Times New Roman" w:hAnsi="Arial" w:cs="Arial"/>
          <w:b/>
          <w:bCs/>
          <w:color w:val="000000"/>
          <w:sz w:val="22"/>
          <w:szCs w:val="22"/>
        </w:rPr>
        <w:t>E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>nriched in BICC1</w:t>
      </w:r>
      <w:r w:rsidR="00085BD8">
        <w:rPr>
          <w:rFonts w:ascii="Arial" w:eastAsia="Times New Roman" w:hAnsi="Arial" w:cs="Arial"/>
          <w:b/>
          <w:bCs/>
          <w:color w:val="000000"/>
          <w:sz w:val="22"/>
          <w:szCs w:val="22"/>
        </w:rPr>
        <w:t>-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KO </w:t>
      </w:r>
      <w:r w:rsidR="00442A6D" w:rsidRPr="000C0BF9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 xml:space="preserve">vs. 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>BICC1</w:t>
      </w:r>
      <w:r w:rsidR="00085BD8">
        <w:rPr>
          <w:rFonts w:ascii="Arial" w:eastAsia="Times New Roman" w:hAnsi="Arial" w:cs="Arial"/>
          <w:b/>
          <w:bCs/>
          <w:color w:val="000000"/>
          <w:sz w:val="22"/>
          <w:szCs w:val="22"/>
        </w:rPr>
        <w:t>-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S240P HEK293T </w:t>
      </w:r>
      <w:r w:rsidR="00442A6D">
        <w:rPr>
          <w:rFonts w:ascii="Arial" w:eastAsia="Times New Roman" w:hAnsi="Arial" w:cs="Arial"/>
          <w:b/>
          <w:bCs/>
          <w:color w:val="000000"/>
          <w:sz w:val="22"/>
          <w:szCs w:val="22"/>
        </w:rPr>
        <w:t>C</w:t>
      </w:r>
      <w:r w:rsidR="00442A6D" w:rsidRPr="000C0BF9">
        <w:rPr>
          <w:rFonts w:ascii="Arial" w:eastAsia="Times New Roman" w:hAnsi="Arial" w:cs="Arial"/>
          <w:b/>
          <w:bCs/>
          <w:color w:val="000000"/>
          <w:sz w:val="22"/>
          <w:szCs w:val="22"/>
        </w:rPr>
        <w:t>ells</w:t>
      </w:r>
      <w:r w:rsidR="00442A6D">
        <w:rPr>
          <w:rFonts w:ascii="Arial" w:eastAsia="Times New Roman" w:hAnsi="Arial" w:cs="Arial"/>
          <w:b/>
          <w:bCs/>
          <w:color w:val="000000"/>
          <w:sz w:val="22"/>
          <w:szCs w:val="22"/>
        </w:rPr>
        <w:t>.</w:t>
      </w:r>
    </w:p>
    <w:p w14:paraId="72DB6897" w14:textId="0CDE8268" w:rsidR="00C474E2" w:rsidRPr="00C474E2" w:rsidRDefault="00442A6D" w:rsidP="00C474E2">
      <w:pPr>
        <w:ind w:right="-1531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fldChar w:fldCharType="begin"/>
      </w:r>
      <w:r>
        <w:instrText xml:space="preserve"> LINK </w:instrText>
      </w:r>
      <w:r w:rsidR="00C474E2">
        <w:instrText xml:space="preserve">Excel.Sheet.12 "/Users/wesselo/Library/CloudStorage/Box-Box/Internal - WESSELO/Manuscripts/Bicc1 - Albert &amp; Carsten/Revision KI/GSEA KO-S240P.xlsx" Sheet1!R2C1:R25C3 </w:instrText>
      </w:r>
      <w:r>
        <w:instrText xml:space="preserve">\a \f 4 \h  \* MERGEFORMAT </w:instrText>
      </w:r>
      <w:r>
        <w:fldChar w:fldCharType="separate"/>
      </w:r>
    </w:p>
    <w:tbl>
      <w:tblPr>
        <w:tblW w:w="7200" w:type="dxa"/>
        <w:jc w:val="center"/>
        <w:tblLook w:val="04A0" w:firstRow="1" w:lastRow="0" w:firstColumn="1" w:lastColumn="0" w:noHBand="0" w:noVBand="1"/>
      </w:tblPr>
      <w:tblGrid>
        <w:gridCol w:w="810"/>
        <w:gridCol w:w="5220"/>
        <w:gridCol w:w="1170"/>
      </w:tblGrid>
      <w:tr w:rsidR="00C474E2" w:rsidRPr="00C474E2" w14:paraId="4F2B8A52" w14:textId="77777777" w:rsidTr="00C474E2">
        <w:trPr>
          <w:divId w:val="1116557709"/>
          <w:trHeight w:val="340"/>
          <w:jc w:val="center"/>
        </w:trPr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205CE376" w14:textId="1B99B5AD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Rank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8EECFA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74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Geneset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hideMark/>
          </w:tcPr>
          <w:p w14:paraId="5425F4C2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NOM p-</w:t>
            </w:r>
            <w:proofErr w:type="spellStart"/>
            <w:r w:rsidRPr="00C474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val</w:t>
            </w:r>
            <w:proofErr w:type="spellEnd"/>
          </w:p>
        </w:tc>
      </w:tr>
      <w:tr w:rsidR="00C474E2" w:rsidRPr="00C474E2" w14:paraId="02526A50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64F71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029237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HALLMARK_EPITHELIAL_MESENCHYMAL_TRANSITION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044F7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C474E2" w:rsidRPr="00C474E2" w14:paraId="5BC887D6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C5237B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EEE3CD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HALLMARK_UV_RESPONSE_DN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61034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0.345</w:t>
            </w:r>
          </w:p>
        </w:tc>
      </w:tr>
      <w:tr w:rsidR="00C474E2" w:rsidRPr="00C474E2" w14:paraId="4D095F89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FFAA1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0EBCD0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HALLMARK_ANGIOGENESIS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E7EF4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5213040C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2DF36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5A0FA8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HALLMARK_KRAS_SIGNALING_DN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176F3B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0.357</w:t>
            </w:r>
          </w:p>
        </w:tc>
      </w:tr>
      <w:tr w:rsidR="00C474E2" w:rsidRPr="00C474E2" w14:paraId="70706FBD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F237D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51582A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HALLMARK_MITOTIC_SPINDLE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B0105D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0.345</w:t>
            </w:r>
          </w:p>
        </w:tc>
      </w:tr>
      <w:tr w:rsidR="00C474E2" w:rsidRPr="00C474E2" w14:paraId="33213CF2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7B8918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24712B2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HALLMARK_FATTY_ACID_METABOLISM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A4FA3F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0.718</w:t>
            </w:r>
          </w:p>
        </w:tc>
      </w:tr>
      <w:tr w:rsidR="00C474E2" w:rsidRPr="00C474E2" w14:paraId="3AA1A96C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BE5B6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1829C5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HALLMARK_IL6_JAK_STAT3_SIGNALING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073C51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3FDE6F64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D5E56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48FBBC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HALLMARK_APICAL_SURFACE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EE23C0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1206381E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425B8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07EE3E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HALLMARK_TNFA_SIGNALING_VIA_NFKB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4B97A9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158AC07A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A384D5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2BA01F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HALLMARK_NOTCH_SIGNALING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AA7657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400A5939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6BCC6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84B11A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HALLMARK_INTERFERON_GAMMA_RESPONSE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AFCA1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633D5124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0DA40A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5B06A5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HALLMARK_INTERFERON_ALPHA_RESPONSE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AE12D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2ABFBCF6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EAB18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D68977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HALLMARK_P53_PATHWAY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47A96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64E1AEBB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C0F592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D99B177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HALLMARK_COAGULATION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9EA63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2C1DDBC0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922CF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B9481A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HALLMARK_MYOGENESIS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FCC4F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29BE9945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4218E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07FF08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HALLMARK_IL2_STAT5_SIGNALING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FA375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7501102B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0AB6C6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128115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HALLMARK_APICAL_JUNCTION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EAA1F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4DCCF8DC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64891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AAC1C2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HALLMARK_HYPOXIA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81C93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30EB3BF3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73F85F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B0C364B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HALLMARK_KRAS_SIGNALING_UP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BB6A8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19063F69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67A8DA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C58949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HALLMARK_ANDROGEN_RESPONSE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30AA68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3B549667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B5AA4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1910198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HALLMARK_APOPTOSIS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F71103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68DA4C38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1ABFFD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442D32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HALLMARK_INFLAMMATORY_RESPONSE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869A4E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  <w:tr w:rsidR="00C474E2" w:rsidRPr="00C474E2" w14:paraId="64AF5E47" w14:textId="77777777" w:rsidTr="00C474E2">
        <w:trPr>
          <w:divId w:val="1116557709"/>
          <w:trHeight w:val="320"/>
          <w:jc w:val="center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AEECA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978B2E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HALLMARK_ESTROGEN_RESPONSE_EARLY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34EB5" w14:textId="77777777" w:rsidR="00C474E2" w:rsidRPr="00C474E2" w:rsidRDefault="00C474E2" w:rsidP="00C474E2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474E2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0.704</w:t>
            </w:r>
          </w:p>
        </w:tc>
      </w:tr>
    </w:tbl>
    <w:p w14:paraId="23522D94" w14:textId="59A99BE8" w:rsidR="000C0BF9" w:rsidRPr="006A4EB8" w:rsidRDefault="00442A6D" w:rsidP="006A4EB8">
      <w:pPr>
        <w:spacing w:line="276" w:lineRule="auto"/>
        <w:ind w:left="720" w:righ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end"/>
      </w:r>
    </w:p>
    <w:p w14:paraId="7D7A8AAB" w14:textId="5DC776FC" w:rsidR="00230397" w:rsidRDefault="00230397">
      <w:pPr>
        <w:rPr>
          <w:rFonts w:ascii="Arial" w:eastAsia="Times New Roman" w:hAnsi="Arial" w:cs="Arial"/>
          <w:b/>
          <w:sz w:val="22"/>
          <w:szCs w:val="22"/>
          <w:lang w:eastAsia="de-DE"/>
        </w:rPr>
      </w:pPr>
    </w:p>
    <w:sectPr w:rsidR="00230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36F29"/>
    <w:multiLevelType w:val="hybridMultilevel"/>
    <w:tmpl w:val="4A90C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26AF"/>
    <w:multiLevelType w:val="hybridMultilevel"/>
    <w:tmpl w:val="0F56C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325415">
    <w:abstractNumId w:val="1"/>
  </w:num>
  <w:num w:numId="2" w16cid:durableId="47606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Amer Soc Nephrology&lt;/Style&gt;&lt;LeftDelim&gt;{&lt;/LeftDelim&gt;&lt;RightDelim&gt;}&lt;/RightDelim&gt;&lt;FontName&gt;Arial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1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  <w:docVar w:name="EN.UseJSCitationFormat" w:val="False"/>
  </w:docVars>
  <w:rsids>
    <w:rsidRoot w:val="00250105"/>
    <w:rsid w:val="00005714"/>
    <w:rsid w:val="000060D8"/>
    <w:rsid w:val="000124DA"/>
    <w:rsid w:val="00012FBA"/>
    <w:rsid w:val="000220A7"/>
    <w:rsid w:val="000237D6"/>
    <w:rsid w:val="00023BCD"/>
    <w:rsid w:val="000245D0"/>
    <w:rsid w:val="000269B3"/>
    <w:rsid w:val="00030BD6"/>
    <w:rsid w:val="0003321D"/>
    <w:rsid w:val="000338A9"/>
    <w:rsid w:val="00040BD6"/>
    <w:rsid w:val="0004140D"/>
    <w:rsid w:val="00042E38"/>
    <w:rsid w:val="00044EAB"/>
    <w:rsid w:val="000457AB"/>
    <w:rsid w:val="0004598B"/>
    <w:rsid w:val="0004650E"/>
    <w:rsid w:val="000503CD"/>
    <w:rsid w:val="000510B7"/>
    <w:rsid w:val="00056035"/>
    <w:rsid w:val="000573A6"/>
    <w:rsid w:val="000600AB"/>
    <w:rsid w:val="00062BA3"/>
    <w:rsid w:val="00063D15"/>
    <w:rsid w:val="00065492"/>
    <w:rsid w:val="00065DDF"/>
    <w:rsid w:val="00066A92"/>
    <w:rsid w:val="00066E98"/>
    <w:rsid w:val="00071BD7"/>
    <w:rsid w:val="00072131"/>
    <w:rsid w:val="00073283"/>
    <w:rsid w:val="0007355F"/>
    <w:rsid w:val="00084FA4"/>
    <w:rsid w:val="00085BD8"/>
    <w:rsid w:val="00096034"/>
    <w:rsid w:val="000969AC"/>
    <w:rsid w:val="000A73EF"/>
    <w:rsid w:val="000A740C"/>
    <w:rsid w:val="000B109E"/>
    <w:rsid w:val="000B166E"/>
    <w:rsid w:val="000B483D"/>
    <w:rsid w:val="000B704F"/>
    <w:rsid w:val="000B7C0F"/>
    <w:rsid w:val="000C0296"/>
    <w:rsid w:val="000C0BF9"/>
    <w:rsid w:val="000C1B4E"/>
    <w:rsid w:val="000C2E40"/>
    <w:rsid w:val="000D2341"/>
    <w:rsid w:val="000D2AAF"/>
    <w:rsid w:val="000D7746"/>
    <w:rsid w:val="000E2675"/>
    <w:rsid w:val="000F3210"/>
    <w:rsid w:val="000F32EA"/>
    <w:rsid w:val="000F5383"/>
    <w:rsid w:val="000F7809"/>
    <w:rsid w:val="001004EF"/>
    <w:rsid w:val="00103CA1"/>
    <w:rsid w:val="001040BE"/>
    <w:rsid w:val="001063B9"/>
    <w:rsid w:val="0010693A"/>
    <w:rsid w:val="00106C1F"/>
    <w:rsid w:val="001206F6"/>
    <w:rsid w:val="00121BAE"/>
    <w:rsid w:val="001229CF"/>
    <w:rsid w:val="001253DD"/>
    <w:rsid w:val="00126C65"/>
    <w:rsid w:val="00131C07"/>
    <w:rsid w:val="00133457"/>
    <w:rsid w:val="00133BC9"/>
    <w:rsid w:val="001346EB"/>
    <w:rsid w:val="00146D3D"/>
    <w:rsid w:val="001470BD"/>
    <w:rsid w:val="00147711"/>
    <w:rsid w:val="0014785B"/>
    <w:rsid w:val="001509B6"/>
    <w:rsid w:val="001572A7"/>
    <w:rsid w:val="001602D5"/>
    <w:rsid w:val="001607DE"/>
    <w:rsid w:val="0016582B"/>
    <w:rsid w:val="001676C2"/>
    <w:rsid w:val="00170523"/>
    <w:rsid w:val="001708B9"/>
    <w:rsid w:val="0017102C"/>
    <w:rsid w:val="00176746"/>
    <w:rsid w:val="001858A8"/>
    <w:rsid w:val="00187936"/>
    <w:rsid w:val="00187E87"/>
    <w:rsid w:val="00192B28"/>
    <w:rsid w:val="00193FD8"/>
    <w:rsid w:val="00195C3E"/>
    <w:rsid w:val="001A5106"/>
    <w:rsid w:val="001A5515"/>
    <w:rsid w:val="001A5A42"/>
    <w:rsid w:val="001A663D"/>
    <w:rsid w:val="001A7888"/>
    <w:rsid w:val="001B61D4"/>
    <w:rsid w:val="001B61FE"/>
    <w:rsid w:val="001B7413"/>
    <w:rsid w:val="001B7BC5"/>
    <w:rsid w:val="001C0C6E"/>
    <w:rsid w:val="001C323C"/>
    <w:rsid w:val="001C32CB"/>
    <w:rsid w:val="001C330C"/>
    <w:rsid w:val="001C523B"/>
    <w:rsid w:val="001C58A9"/>
    <w:rsid w:val="001C5940"/>
    <w:rsid w:val="001C643B"/>
    <w:rsid w:val="001C67A0"/>
    <w:rsid w:val="001D3FB1"/>
    <w:rsid w:val="001D44AC"/>
    <w:rsid w:val="001D65C9"/>
    <w:rsid w:val="001D7C35"/>
    <w:rsid w:val="001E7800"/>
    <w:rsid w:val="001E7DB7"/>
    <w:rsid w:val="001F4D0B"/>
    <w:rsid w:val="00200A3B"/>
    <w:rsid w:val="0020586C"/>
    <w:rsid w:val="002175F0"/>
    <w:rsid w:val="00225F53"/>
    <w:rsid w:val="002264A0"/>
    <w:rsid w:val="00227C93"/>
    <w:rsid w:val="00230397"/>
    <w:rsid w:val="002315A3"/>
    <w:rsid w:val="0024095C"/>
    <w:rsid w:val="00242FDB"/>
    <w:rsid w:val="0024363E"/>
    <w:rsid w:val="00244571"/>
    <w:rsid w:val="00250105"/>
    <w:rsid w:val="002512ED"/>
    <w:rsid w:val="00251D6F"/>
    <w:rsid w:val="002673EF"/>
    <w:rsid w:val="00273F30"/>
    <w:rsid w:val="00274BFF"/>
    <w:rsid w:val="00274D8A"/>
    <w:rsid w:val="00280C94"/>
    <w:rsid w:val="00286BCC"/>
    <w:rsid w:val="00291687"/>
    <w:rsid w:val="00297D97"/>
    <w:rsid w:val="002A6890"/>
    <w:rsid w:val="002B5D92"/>
    <w:rsid w:val="002C09D7"/>
    <w:rsid w:val="002C1FBE"/>
    <w:rsid w:val="002C5326"/>
    <w:rsid w:val="002C5669"/>
    <w:rsid w:val="002C6342"/>
    <w:rsid w:val="002D4661"/>
    <w:rsid w:val="002D701C"/>
    <w:rsid w:val="002E0D47"/>
    <w:rsid w:val="002E2373"/>
    <w:rsid w:val="002F1CE4"/>
    <w:rsid w:val="002F73E1"/>
    <w:rsid w:val="00311FB9"/>
    <w:rsid w:val="00314640"/>
    <w:rsid w:val="00326E20"/>
    <w:rsid w:val="00331988"/>
    <w:rsid w:val="00337DD6"/>
    <w:rsid w:val="0034180F"/>
    <w:rsid w:val="003418ED"/>
    <w:rsid w:val="00341D46"/>
    <w:rsid w:val="003438AE"/>
    <w:rsid w:val="00343F2B"/>
    <w:rsid w:val="003458D1"/>
    <w:rsid w:val="00347839"/>
    <w:rsid w:val="003538CE"/>
    <w:rsid w:val="00377F89"/>
    <w:rsid w:val="003803C7"/>
    <w:rsid w:val="003834F8"/>
    <w:rsid w:val="00385314"/>
    <w:rsid w:val="00386C0B"/>
    <w:rsid w:val="00387663"/>
    <w:rsid w:val="00391A93"/>
    <w:rsid w:val="00392209"/>
    <w:rsid w:val="00394D78"/>
    <w:rsid w:val="00397B0D"/>
    <w:rsid w:val="003A07EB"/>
    <w:rsid w:val="003A0B3F"/>
    <w:rsid w:val="003A0EE2"/>
    <w:rsid w:val="003A37D6"/>
    <w:rsid w:val="003A431B"/>
    <w:rsid w:val="003B15CC"/>
    <w:rsid w:val="003B5FDF"/>
    <w:rsid w:val="003C1902"/>
    <w:rsid w:val="003C2EB4"/>
    <w:rsid w:val="003C5170"/>
    <w:rsid w:val="003C6625"/>
    <w:rsid w:val="003C6752"/>
    <w:rsid w:val="003D0DA5"/>
    <w:rsid w:val="003E3B89"/>
    <w:rsid w:val="003E673D"/>
    <w:rsid w:val="003F04A5"/>
    <w:rsid w:val="003F2FDE"/>
    <w:rsid w:val="003F3524"/>
    <w:rsid w:val="003F5BC7"/>
    <w:rsid w:val="003F6393"/>
    <w:rsid w:val="00400E6D"/>
    <w:rsid w:val="00407F40"/>
    <w:rsid w:val="00412966"/>
    <w:rsid w:val="004148C3"/>
    <w:rsid w:val="00416746"/>
    <w:rsid w:val="004222D5"/>
    <w:rsid w:val="00424075"/>
    <w:rsid w:val="00427906"/>
    <w:rsid w:val="00442A6D"/>
    <w:rsid w:val="00446887"/>
    <w:rsid w:val="00452834"/>
    <w:rsid w:val="00455942"/>
    <w:rsid w:val="0046064F"/>
    <w:rsid w:val="00461563"/>
    <w:rsid w:val="00461FB4"/>
    <w:rsid w:val="004638F6"/>
    <w:rsid w:val="00466201"/>
    <w:rsid w:val="00466A4A"/>
    <w:rsid w:val="00472D9F"/>
    <w:rsid w:val="00477B19"/>
    <w:rsid w:val="004808FD"/>
    <w:rsid w:val="00482A7B"/>
    <w:rsid w:val="0048590A"/>
    <w:rsid w:val="004937B0"/>
    <w:rsid w:val="00494764"/>
    <w:rsid w:val="00495DAB"/>
    <w:rsid w:val="004A6D33"/>
    <w:rsid w:val="004B14B1"/>
    <w:rsid w:val="004B2572"/>
    <w:rsid w:val="004B2999"/>
    <w:rsid w:val="004B2ED1"/>
    <w:rsid w:val="004B4052"/>
    <w:rsid w:val="004C5C81"/>
    <w:rsid w:val="004D0DE5"/>
    <w:rsid w:val="004D5F0D"/>
    <w:rsid w:val="004D60E9"/>
    <w:rsid w:val="004E0105"/>
    <w:rsid w:val="004F1876"/>
    <w:rsid w:val="004F1990"/>
    <w:rsid w:val="004F2D79"/>
    <w:rsid w:val="004F669D"/>
    <w:rsid w:val="005035A3"/>
    <w:rsid w:val="00504A35"/>
    <w:rsid w:val="005127F0"/>
    <w:rsid w:val="00513B70"/>
    <w:rsid w:val="0051726C"/>
    <w:rsid w:val="00522636"/>
    <w:rsid w:val="00530BB1"/>
    <w:rsid w:val="0054654C"/>
    <w:rsid w:val="005518F1"/>
    <w:rsid w:val="00551D68"/>
    <w:rsid w:val="005558D6"/>
    <w:rsid w:val="005568C9"/>
    <w:rsid w:val="00557DD7"/>
    <w:rsid w:val="005648AF"/>
    <w:rsid w:val="005701FE"/>
    <w:rsid w:val="00575C68"/>
    <w:rsid w:val="005841CA"/>
    <w:rsid w:val="005A0CB3"/>
    <w:rsid w:val="005A13F9"/>
    <w:rsid w:val="005A45D9"/>
    <w:rsid w:val="005B216D"/>
    <w:rsid w:val="005C272D"/>
    <w:rsid w:val="005C495E"/>
    <w:rsid w:val="005C4B79"/>
    <w:rsid w:val="005C75C2"/>
    <w:rsid w:val="005D6421"/>
    <w:rsid w:val="005D6E04"/>
    <w:rsid w:val="005E3C85"/>
    <w:rsid w:val="005E49FB"/>
    <w:rsid w:val="005E54AD"/>
    <w:rsid w:val="005F1803"/>
    <w:rsid w:val="005F3544"/>
    <w:rsid w:val="00601CFF"/>
    <w:rsid w:val="00607127"/>
    <w:rsid w:val="00614460"/>
    <w:rsid w:val="00617148"/>
    <w:rsid w:val="006179F5"/>
    <w:rsid w:val="006221CE"/>
    <w:rsid w:val="00630654"/>
    <w:rsid w:val="0063532D"/>
    <w:rsid w:val="00642D92"/>
    <w:rsid w:val="0064722F"/>
    <w:rsid w:val="00650C37"/>
    <w:rsid w:val="00665002"/>
    <w:rsid w:val="0066548E"/>
    <w:rsid w:val="00666454"/>
    <w:rsid w:val="00676AB6"/>
    <w:rsid w:val="0067730C"/>
    <w:rsid w:val="0068034A"/>
    <w:rsid w:val="00680799"/>
    <w:rsid w:val="006825D4"/>
    <w:rsid w:val="0068420F"/>
    <w:rsid w:val="006855A4"/>
    <w:rsid w:val="00685909"/>
    <w:rsid w:val="006871E3"/>
    <w:rsid w:val="00690EC4"/>
    <w:rsid w:val="00693010"/>
    <w:rsid w:val="00694090"/>
    <w:rsid w:val="006942A8"/>
    <w:rsid w:val="00694737"/>
    <w:rsid w:val="006A3AF9"/>
    <w:rsid w:val="006A4EB8"/>
    <w:rsid w:val="006B39E4"/>
    <w:rsid w:val="006C16C3"/>
    <w:rsid w:val="006C2253"/>
    <w:rsid w:val="006C25B2"/>
    <w:rsid w:val="006D025F"/>
    <w:rsid w:val="006E1B5A"/>
    <w:rsid w:val="006E3E3D"/>
    <w:rsid w:val="006E7489"/>
    <w:rsid w:val="006F34F3"/>
    <w:rsid w:val="006F43C7"/>
    <w:rsid w:val="006F4E40"/>
    <w:rsid w:val="00701BDA"/>
    <w:rsid w:val="00703444"/>
    <w:rsid w:val="00710BE7"/>
    <w:rsid w:val="00712DBD"/>
    <w:rsid w:val="007130F6"/>
    <w:rsid w:val="007170CE"/>
    <w:rsid w:val="0072119B"/>
    <w:rsid w:val="007249C8"/>
    <w:rsid w:val="00731345"/>
    <w:rsid w:val="007348E9"/>
    <w:rsid w:val="00737483"/>
    <w:rsid w:val="00741CB6"/>
    <w:rsid w:val="0074278A"/>
    <w:rsid w:val="00743311"/>
    <w:rsid w:val="0074433D"/>
    <w:rsid w:val="007466B0"/>
    <w:rsid w:val="0075293C"/>
    <w:rsid w:val="00753649"/>
    <w:rsid w:val="00761095"/>
    <w:rsid w:val="00765E30"/>
    <w:rsid w:val="00774740"/>
    <w:rsid w:val="00775B50"/>
    <w:rsid w:val="00776BD5"/>
    <w:rsid w:val="00777830"/>
    <w:rsid w:val="00780958"/>
    <w:rsid w:val="00795379"/>
    <w:rsid w:val="007A19D7"/>
    <w:rsid w:val="007A1A20"/>
    <w:rsid w:val="007A1BBB"/>
    <w:rsid w:val="007B29EC"/>
    <w:rsid w:val="007C258D"/>
    <w:rsid w:val="007D100E"/>
    <w:rsid w:val="007D382E"/>
    <w:rsid w:val="007D3F5B"/>
    <w:rsid w:val="007E3C9F"/>
    <w:rsid w:val="007E5F0C"/>
    <w:rsid w:val="007E6516"/>
    <w:rsid w:val="007E6E4A"/>
    <w:rsid w:val="007E7E62"/>
    <w:rsid w:val="007E7F8F"/>
    <w:rsid w:val="007F2703"/>
    <w:rsid w:val="007F653A"/>
    <w:rsid w:val="007F68F9"/>
    <w:rsid w:val="008023F4"/>
    <w:rsid w:val="0081565C"/>
    <w:rsid w:val="008156D4"/>
    <w:rsid w:val="00825FE8"/>
    <w:rsid w:val="00827392"/>
    <w:rsid w:val="00837846"/>
    <w:rsid w:val="008416B7"/>
    <w:rsid w:val="008473C7"/>
    <w:rsid w:val="008474E8"/>
    <w:rsid w:val="008518FE"/>
    <w:rsid w:val="00851A35"/>
    <w:rsid w:val="00851E2A"/>
    <w:rsid w:val="008523F2"/>
    <w:rsid w:val="0085290C"/>
    <w:rsid w:val="00852A97"/>
    <w:rsid w:val="008540FD"/>
    <w:rsid w:val="00860AE3"/>
    <w:rsid w:val="00862678"/>
    <w:rsid w:val="00863695"/>
    <w:rsid w:val="008753C2"/>
    <w:rsid w:val="00880EE8"/>
    <w:rsid w:val="008839A4"/>
    <w:rsid w:val="00894EA6"/>
    <w:rsid w:val="0089758E"/>
    <w:rsid w:val="008A6C4A"/>
    <w:rsid w:val="008D46E5"/>
    <w:rsid w:val="008E0221"/>
    <w:rsid w:val="008E6726"/>
    <w:rsid w:val="008E72DB"/>
    <w:rsid w:val="008E75B5"/>
    <w:rsid w:val="008F1F5D"/>
    <w:rsid w:val="008F6FAC"/>
    <w:rsid w:val="008F721F"/>
    <w:rsid w:val="00900124"/>
    <w:rsid w:val="00904411"/>
    <w:rsid w:val="00915F71"/>
    <w:rsid w:val="00916B8B"/>
    <w:rsid w:val="009204CA"/>
    <w:rsid w:val="009211A2"/>
    <w:rsid w:val="00926207"/>
    <w:rsid w:val="009321A6"/>
    <w:rsid w:val="00932716"/>
    <w:rsid w:val="00935476"/>
    <w:rsid w:val="0093716C"/>
    <w:rsid w:val="00957C0F"/>
    <w:rsid w:val="00965E70"/>
    <w:rsid w:val="00972DA6"/>
    <w:rsid w:val="00985B78"/>
    <w:rsid w:val="0098693D"/>
    <w:rsid w:val="00990732"/>
    <w:rsid w:val="009921E6"/>
    <w:rsid w:val="00994AB7"/>
    <w:rsid w:val="009A232D"/>
    <w:rsid w:val="009A265B"/>
    <w:rsid w:val="009B0895"/>
    <w:rsid w:val="009B41BA"/>
    <w:rsid w:val="009B4356"/>
    <w:rsid w:val="009B5939"/>
    <w:rsid w:val="009B6022"/>
    <w:rsid w:val="009C22E8"/>
    <w:rsid w:val="009C6BBD"/>
    <w:rsid w:val="009D0A32"/>
    <w:rsid w:val="009D10BB"/>
    <w:rsid w:val="009D1850"/>
    <w:rsid w:val="009E0767"/>
    <w:rsid w:val="009E0B43"/>
    <w:rsid w:val="009E1C5C"/>
    <w:rsid w:val="009E3301"/>
    <w:rsid w:val="009E59A0"/>
    <w:rsid w:val="009E642E"/>
    <w:rsid w:val="009E6C62"/>
    <w:rsid w:val="009E768C"/>
    <w:rsid w:val="009F17EB"/>
    <w:rsid w:val="009F5DB5"/>
    <w:rsid w:val="00A01CBB"/>
    <w:rsid w:val="00A02598"/>
    <w:rsid w:val="00A031E4"/>
    <w:rsid w:val="00A04CEB"/>
    <w:rsid w:val="00A04E50"/>
    <w:rsid w:val="00A06B7B"/>
    <w:rsid w:val="00A07703"/>
    <w:rsid w:val="00A16D6D"/>
    <w:rsid w:val="00A17B8F"/>
    <w:rsid w:val="00A2136A"/>
    <w:rsid w:val="00A21A16"/>
    <w:rsid w:val="00A22ADC"/>
    <w:rsid w:val="00A30AB3"/>
    <w:rsid w:val="00A374FF"/>
    <w:rsid w:val="00A422E9"/>
    <w:rsid w:val="00A42EE6"/>
    <w:rsid w:val="00A4629B"/>
    <w:rsid w:val="00A46892"/>
    <w:rsid w:val="00A50C8A"/>
    <w:rsid w:val="00A51F72"/>
    <w:rsid w:val="00A52BEB"/>
    <w:rsid w:val="00A548C3"/>
    <w:rsid w:val="00A5658F"/>
    <w:rsid w:val="00A65D79"/>
    <w:rsid w:val="00A701AF"/>
    <w:rsid w:val="00A70D84"/>
    <w:rsid w:val="00A711FC"/>
    <w:rsid w:val="00A80B76"/>
    <w:rsid w:val="00A81249"/>
    <w:rsid w:val="00A8737E"/>
    <w:rsid w:val="00A9084F"/>
    <w:rsid w:val="00A91F4B"/>
    <w:rsid w:val="00A924E2"/>
    <w:rsid w:val="00AA210D"/>
    <w:rsid w:val="00AA238E"/>
    <w:rsid w:val="00AB1428"/>
    <w:rsid w:val="00AB1EB2"/>
    <w:rsid w:val="00AB493A"/>
    <w:rsid w:val="00AC021B"/>
    <w:rsid w:val="00AC096F"/>
    <w:rsid w:val="00AC0BFB"/>
    <w:rsid w:val="00AD0F13"/>
    <w:rsid w:val="00AD46F2"/>
    <w:rsid w:val="00AD6267"/>
    <w:rsid w:val="00AD6785"/>
    <w:rsid w:val="00AD779F"/>
    <w:rsid w:val="00AF02FE"/>
    <w:rsid w:val="00B05435"/>
    <w:rsid w:val="00B05EE0"/>
    <w:rsid w:val="00B06079"/>
    <w:rsid w:val="00B17FA5"/>
    <w:rsid w:val="00B229E7"/>
    <w:rsid w:val="00B25CF0"/>
    <w:rsid w:val="00B266DE"/>
    <w:rsid w:val="00B26A31"/>
    <w:rsid w:val="00B36793"/>
    <w:rsid w:val="00B36C25"/>
    <w:rsid w:val="00B41C96"/>
    <w:rsid w:val="00B4390F"/>
    <w:rsid w:val="00B45BBD"/>
    <w:rsid w:val="00B46A16"/>
    <w:rsid w:val="00B51217"/>
    <w:rsid w:val="00B529AC"/>
    <w:rsid w:val="00B530C1"/>
    <w:rsid w:val="00B6467F"/>
    <w:rsid w:val="00B65E57"/>
    <w:rsid w:val="00B723D4"/>
    <w:rsid w:val="00B74074"/>
    <w:rsid w:val="00B75D2D"/>
    <w:rsid w:val="00B77A9F"/>
    <w:rsid w:val="00B803CB"/>
    <w:rsid w:val="00B8172F"/>
    <w:rsid w:val="00B8474E"/>
    <w:rsid w:val="00BA3C3C"/>
    <w:rsid w:val="00BB0195"/>
    <w:rsid w:val="00BB4DE0"/>
    <w:rsid w:val="00BB51EB"/>
    <w:rsid w:val="00BC1286"/>
    <w:rsid w:val="00BC134C"/>
    <w:rsid w:val="00BC1C8A"/>
    <w:rsid w:val="00BC5248"/>
    <w:rsid w:val="00BC5815"/>
    <w:rsid w:val="00BC7BA2"/>
    <w:rsid w:val="00BD1A84"/>
    <w:rsid w:val="00BD2477"/>
    <w:rsid w:val="00BE1FE2"/>
    <w:rsid w:val="00BE2395"/>
    <w:rsid w:val="00BE3341"/>
    <w:rsid w:val="00BE3C66"/>
    <w:rsid w:val="00BE4362"/>
    <w:rsid w:val="00BE47F4"/>
    <w:rsid w:val="00BE61A9"/>
    <w:rsid w:val="00BF4917"/>
    <w:rsid w:val="00BF5980"/>
    <w:rsid w:val="00BF6CB4"/>
    <w:rsid w:val="00BF789E"/>
    <w:rsid w:val="00C0311B"/>
    <w:rsid w:val="00C031F6"/>
    <w:rsid w:val="00C108C1"/>
    <w:rsid w:val="00C11C6D"/>
    <w:rsid w:val="00C127DF"/>
    <w:rsid w:val="00C1630E"/>
    <w:rsid w:val="00C21510"/>
    <w:rsid w:val="00C24DD9"/>
    <w:rsid w:val="00C31BD1"/>
    <w:rsid w:val="00C330EF"/>
    <w:rsid w:val="00C37EEA"/>
    <w:rsid w:val="00C40028"/>
    <w:rsid w:val="00C44CA3"/>
    <w:rsid w:val="00C473ED"/>
    <w:rsid w:val="00C474E2"/>
    <w:rsid w:val="00C62128"/>
    <w:rsid w:val="00C628F8"/>
    <w:rsid w:val="00C63807"/>
    <w:rsid w:val="00C6403C"/>
    <w:rsid w:val="00C66D06"/>
    <w:rsid w:val="00C66F7E"/>
    <w:rsid w:val="00C755A3"/>
    <w:rsid w:val="00C8121C"/>
    <w:rsid w:val="00C82F99"/>
    <w:rsid w:val="00C91556"/>
    <w:rsid w:val="00C92F30"/>
    <w:rsid w:val="00C94C3E"/>
    <w:rsid w:val="00CC2E20"/>
    <w:rsid w:val="00CC47F5"/>
    <w:rsid w:val="00CC55CE"/>
    <w:rsid w:val="00CC615A"/>
    <w:rsid w:val="00CC7856"/>
    <w:rsid w:val="00CD122C"/>
    <w:rsid w:val="00CD4B17"/>
    <w:rsid w:val="00CD54D9"/>
    <w:rsid w:val="00CD5765"/>
    <w:rsid w:val="00CD79BB"/>
    <w:rsid w:val="00CE1520"/>
    <w:rsid w:val="00CE4C11"/>
    <w:rsid w:val="00CF569C"/>
    <w:rsid w:val="00CF5B8D"/>
    <w:rsid w:val="00CF60EC"/>
    <w:rsid w:val="00CF6D5D"/>
    <w:rsid w:val="00CF7EB9"/>
    <w:rsid w:val="00D02649"/>
    <w:rsid w:val="00D10F60"/>
    <w:rsid w:val="00D20BF0"/>
    <w:rsid w:val="00D275F0"/>
    <w:rsid w:val="00D30E09"/>
    <w:rsid w:val="00D31069"/>
    <w:rsid w:val="00D33AAD"/>
    <w:rsid w:val="00D33C43"/>
    <w:rsid w:val="00D344DE"/>
    <w:rsid w:val="00D35E6E"/>
    <w:rsid w:val="00D415A9"/>
    <w:rsid w:val="00D43294"/>
    <w:rsid w:val="00D508A0"/>
    <w:rsid w:val="00D51AD6"/>
    <w:rsid w:val="00D53A69"/>
    <w:rsid w:val="00D560AE"/>
    <w:rsid w:val="00D60185"/>
    <w:rsid w:val="00D62E36"/>
    <w:rsid w:val="00D63418"/>
    <w:rsid w:val="00D635FA"/>
    <w:rsid w:val="00D64C56"/>
    <w:rsid w:val="00D67AE1"/>
    <w:rsid w:val="00D7303F"/>
    <w:rsid w:val="00D84EA2"/>
    <w:rsid w:val="00D86C56"/>
    <w:rsid w:val="00D93690"/>
    <w:rsid w:val="00DB56F7"/>
    <w:rsid w:val="00DB7A9C"/>
    <w:rsid w:val="00DB7B7B"/>
    <w:rsid w:val="00DD506A"/>
    <w:rsid w:val="00DD710F"/>
    <w:rsid w:val="00DE0CCF"/>
    <w:rsid w:val="00DE3AE6"/>
    <w:rsid w:val="00DF0058"/>
    <w:rsid w:val="00DF5512"/>
    <w:rsid w:val="00DF56EF"/>
    <w:rsid w:val="00E02CCF"/>
    <w:rsid w:val="00E0311F"/>
    <w:rsid w:val="00E11BE2"/>
    <w:rsid w:val="00E15E32"/>
    <w:rsid w:val="00E173B0"/>
    <w:rsid w:val="00E1794D"/>
    <w:rsid w:val="00E23C63"/>
    <w:rsid w:val="00E24293"/>
    <w:rsid w:val="00E2629B"/>
    <w:rsid w:val="00E27880"/>
    <w:rsid w:val="00E3379F"/>
    <w:rsid w:val="00E352C2"/>
    <w:rsid w:val="00E42172"/>
    <w:rsid w:val="00E42BC7"/>
    <w:rsid w:val="00E4325F"/>
    <w:rsid w:val="00E436EF"/>
    <w:rsid w:val="00E46A09"/>
    <w:rsid w:val="00E510B5"/>
    <w:rsid w:val="00E51DA7"/>
    <w:rsid w:val="00E52431"/>
    <w:rsid w:val="00E61F3B"/>
    <w:rsid w:val="00E633F5"/>
    <w:rsid w:val="00E6531C"/>
    <w:rsid w:val="00E65B1A"/>
    <w:rsid w:val="00E66F62"/>
    <w:rsid w:val="00E67542"/>
    <w:rsid w:val="00E76FA4"/>
    <w:rsid w:val="00E80740"/>
    <w:rsid w:val="00E8612B"/>
    <w:rsid w:val="00E87315"/>
    <w:rsid w:val="00E87817"/>
    <w:rsid w:val="00E87972"/>
    <w:rsid w:val="00E97E79"/>
    <w:rsid w:val="00EA1FD9"/>
    <w:rsid w:val="00EA2C1C"/>
    <w:rsid w:val="00EA2FFB"/>
    <w:rsid w:val="00EA6BD7"/>
    <w:rsid w:val="00EB00FC"/>
    <w:rsid w:val="00EB1619"/>
    <w:rsid w:val="00EB192A"/>
    <w:rsid w:val="00EB6069"/>
    <w:rsid w:val="00EC06FF"/>
    <w:rsid w:val="00ED1423"/>
    <w:rsid w:val="00EE2352"/>
    <w:rsid w:val="00EE3B39"/>
    <w:rsid w:val="00EE436F"/>
    <w:rsid w:val="00EF35B8"/>
    <w:rsid w:val="00EF654A"/>
    <w:rsid w:val="00F00717"/>
    <w:rsid w:val="00F02664"/>
    <w:rsid w:val="00F042FC"/>
    <w:rsid w:val="00F05189"/>
    <w:rsid w:val="00F05EDC"/>
    <w:rsid w:val="00F07FFE"/>
    <w:rsid w:val="00F13FA5"/>
    <w:rsid w:val="00F24AE7"/>
    <w:rsid w:val="00F25B48"/>
    <w:rsid w:val="00F262FA"/>
    <w:rsid w:val="00F31FC5"/>
    <w:rsid w:val="00F34F9B"/>
    <w:rsid w:val="00F353AC"/>
    <w:rsid w:val="00F3540C"/>
    <w:rsid w:val="00F3578A"/>
    <w:rsid w:val="00F468C7"/>
    <w:rsid w:val="00F564EB"/>
    <w:rsid w:val="00F57273"/>
    <w:rsid w:val="00F63493"/>
    <w:rsid w:val="00F63968"/>
    <w:rsid w:val="00F66BCF"/>
    <w:rsid w:val="00F67B21"/>
    <w:rsid w:val="00F67FBD"/>
    <w:rsid w:val="00F71582"/>
    <w:rsid w:val="00F72D9A"/>
    <w:rsid w:val="00F932E3"/>
    <w:rsid w:val="00F96329"/>
    <w:rsid w:val="00FA6E27"/>
    <w:rsid w:val="00FB1567"/>
    <w:rsid w:val="00FB1CAE"/>
    <w:rsid w:val="00FB7BC3"/>
    <w:rsid w:val="00FC3573"/>
    <w:rsid w:val="00FC43FA"/>
    <w:rsid w:val="00FC6E7C"/>
    <w:rsid w:val="00FE0DC6"/>
    <w:rsid w:val="00FF0749"/>
    <w:rsid w:val="00FF0FC6"/>
    <w:rsid w:val="00FF170C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4F35"/>
  <w15:chartTrackingRefBased/>
  <w15:docId w15:val="{5E595635-06C2-084B-9754-902F84B7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tvorlage1">
    <w:name w:val="Formatvorlage1"/>
    <w:basedOn w:val="Normal"/>
    <w:link w:val="Formatvorlage1Zchn"/>
    <w:uiPriority w:val="99"/>
    <w:rsid w:val="00250105"/>
    <w:pPr>
      <w:widowControl w:val="0"/>
      <w:spacing w:line="360" w:lineRule="auto"/>
      <w:jc w:val="both"/>
    </w:pPr>
    <w:rPr>
      <w:rFonts w:ascii="Arial" w:eastAsia="Times New Roman" w:hAnsi="Arial" w:cs="Times New Roman"/>
      <w:sz w:val="22"/>
      <w:szCs w:val="20"/>
      <w:lang w:eastAsia="de-DE"/>
    </w:rPr>
  </w:style>
  <w:style w:type="character" w:customStyle="1" w:styleId="Formatvorlage1Zchn">
    <w:name w:val="Formatvorlage1 Zchn"/>
    <w:basedOn w:val="DefaultParagraphFont"/>
    <w:link w:val="Formatvorlage1"/>
    <w:uiPriority w:val="99"/>
    <w:rsid w:val="00250105"/>
    <w:rPr>
      <w:rFonts w:ascii="Arial" w:eastAsia="Times New Roman" w:hAnsi="Arial" w:cs="Times New Roman"/>
      <w:sz w:val="22"/>
      <w:szCs w:val="20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0C0296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30397"/>
    <w:pPr>
      <w:ind w:left="720"/>
      <w:contextualSpacing/>
    </w:pPr>
    <w:rPr>
      <w:kern w:val="2"/>
      <w14:ligatures w14:val="standardContextual"/>
    </w:rPr>
  </w:style>
  <w:style w:type="table" w:styleId="TableGrid">
    <w:name w:val="Table Grid"/>
    <w:basedOn w:val="TableNormal"/>
    <w:uiPriority w:val="39"/>
    <w:rsid w:val="00230397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825D4"/>
    <w:pPr>
      <w:jc w:val="center"/>
    </w:pPr>
    <w:rPr>
      <w:rFonts w:ascii="Arial" w:hAnsi="Arial" w:cs="Arial"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825D4"/>
    <w:rPr>
      <w:rFonts w:ascii="Arial" w:hAnsi="Arial" w:cs="Arial"/>
      <w:sz w:val="22"/>
    </w:rPr>
  </w:style>
  <w:style w:type="paragraph" w:customStyle="1" w:styleId="EndNoteBibliography">
    <w:name w:val="EndNote Bibliography"/>
    <w:basedOn w:val="Normal"/>
    <w:link w:val="EndNoteBibliographyChar"/>
    <w:rsid w:val="006825D4"/>
    <w:rPr>
      <w:rFonts w:ascii="Arial" w:hAnsi="Arial" w:cs="Arial"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6825D4"/>
    <w:rPr>
      <w:rFonts w:ascii="Arial" w:hAnsi="Arial" w:cs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F49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917"/>
    <w:rPr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917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4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7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3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6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7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1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1142</Words>
  <Characters>6824</Characters>
  <Application>Microsoft Office Word</Application>
  <DocSecurity>0</DocSecurity>
  <Lines>174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Wessely, Oliver</dc:creator>
  <cp:keywords/>
  <dc:description/>
  <cp:lastModifiedBy>Wessely, Oliver</cp:lastModifiedBy>
  <cp:revision>7</cp:revision>
  <cp:lastPrinted>2025-01-05T02:23:00Z</cp:lastPrinted>
  <dcterms:created xsi:type="dcterms:W3CDTF">2026-01-06T20:13:00Z</dcterms:created>
  <dcterms:modified xsi:type="dcterms:W3CDTF">2026-01-16T18:46:00Z</dcterms:modified>
</cp:coreProperties>
</file>