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8330A6C" w:rsidR="00F102CC" w:rsidRPr="003D5AF6" w:rsidRDefault="004056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955A6CC" w:rsidR="00F102CC" w:rsidRPr="003D5AF6" w:rsidRDefault="004056E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ED13B23" w:rsidR="00F102CC" w:rsidRPr="003D5AF6" w:rsidRDefault="004056E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 Supplementary File 12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116976" w:rsidR="00F102CC" w:rsidRPr="003D5AF6" w:rsidRDefault="004056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0754317" w:rsidR="00F102CC" w:rsidRPr="003D5AF6" w:rsidRDefault="004056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A716DE1" w:rsidR="00F102CC" w:rsidRPr="003D5AF6" w:rsidRDefault="004056E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EF7C165" w:rsidR="00F102CC" w:rsidRPr="003D5AF6" w:rsidRDefault="004056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2A9110D" w:rsidR="00F102CC" w:rsidRPr="003D5AF6" w:rsidRDefault="004056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5FC72E7" w:rsidR="00F102CC" w:rsidRPr="003D5AF6" w:rsidRDefault="004056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0C04F49" w:rsidR="00F102CC" w:rsidRPr="004056EC" w:rsidRDefault="004056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D08149C" w:rsidR="00F102CC" w:rsidRPr="003D5AF6" w:rsidRDefault="004056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B037442" w:rsidR="00F102CC" w:rsidRPr="003D5AF6" w:rsidRDefault="004056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498DAF0"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(Detailed statistical procedures). No formal statistical tests were used to predetermine sample sizes; sample sizes were determined empirically based on group sizes that have been shown to yield reproducible effects in prior work from our laboratory.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Animals were assigned to groups based on genotype (for Cre/control comparisons) and age/hormonal status (for scRNAseq groups). Within those constraints, allocation was arbitrary with respect to other factors.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(Behavioral experiments). Behavioral scoring (mounting, intromission, receptivity) was performed manually with the scorer blinded to genotype/group. scRNAseq and HCR-FISH analyses were performed in an automated/semi-automated manner that does not depend on knowledge of group identity.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(Behavioral experiments; Data preprocessing and doublet removal). Pre-established exclusion criteria included: mice that failed to gain weight or received mistargeted viral injections; for scRNAseq, low-expression genes (detected in fewer than three cells), low-quality cells (total UMI &lt; 700, total UMI &gt; 15,000, or &gt;20% mitochondrial gene expression), and computationally identified doublets.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Figure legends; Supplementary File 1. scRNAseq libraries were generated from independent biological samples (n = 3-4 mice pooled per group across 8-10 experimental groups). HM-HCR FISH was performed on n = 2 mice per group across 12 groups. Behavioral experiments were conducted with sample sizes as listed in the Behavioral experiments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Figure legends. All replicates throughout the study are biological replicates (independent animals). For scRNAseq, 3-4 mice were pooled per sample to mitigate inter-animal variability, with single cells then serving as the analytical units within each biological replicate.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73232A1" w:rsidR="00F102CC" w:rsidRPr="003D5AF6" w:rsidRDefault="004056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5EFAE8E7" w:rsidR="00F102CC" w:rsidRPr="003D5AF6" w:rsidRDefault="004056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84E21BB" w:rsidR="00F102CC" w:rsidRPr="003D5AF6" w:rsidRDefault="004056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8E206D7" w:rsidR="00F102CC" w:rsidRPr="003D5AF6" w:rsidRDefault="004056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(Behavioral experiments; Data preprocessing and doublet removal). Exclusion criteria were pre-established. For behavior, mice that failed to gain weight or received mistargeted viral injections were excluded; this is intentional exclusion based on a priori health and targeting criteria, not attrition. For scRNAseq, low-quality cells and computationally identified doublets were removed using pre-specified thresholds (UMI &lt; 700, UMI &gt; 15,000, &gt;20% mitochondrial gene expression; doublet rate 5.6 ± 1.0%).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52B815F" w:rsidR="00F102CC" w:rsidRPr="003D5AF6" w:rsidRDefault="004056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Detailed statistical procedures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materials availability statement; submission form.</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scRNAseq data deposited at NCBI Gene Expression Omnibus (GEO accession: GSE172177). Stated in the Data and materials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analysis for scRNAseq, MERFISH, and HM-HCR data). Reused MERFISH dataset from Moffitt et al., 2018, deposited in DRYAD: https://datadryad.org/stash/dataset/doi:10.5061/dryad.8t8s248.</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materials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Code is publicly available at https://www.github.com/stuberlab/. Stated in the Data and materials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Reused software packages (Seurat V3, Monocle 3, SCENIC, MELD, PAGA, </w:t>
            </w:r>
            <w:proofErr w:type="spellStart"/>
            <w:r>
              <w:rPr>
                <w:rFonts w:ascii="Noto Sans" w:eastAsia="Noto Sans" w:hAnsi="Noto Sans" w:cs="Noto Sans"/>
                <w:bCs/>
                <w:color w:val="434343"/>
                <w:sz w:val="18"/>
                <w:szCs w:val="18"/>
              </w:rPr>
              <w:t>scWGCNA</w:t>
            </w:r>
            <w:proofErr w:type="spellEnd"/>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DoubletDecon</w:t>
            </w:r>
            <w:proofErr w:type="spellEnd"/>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Enrichr</w:t>
            </w:r>
            <w:proofErr w:type="spellEnd"/>
            <w:r>
              <w:rPr>
                <w:rFonts w:ascii="Noto Sans" w:eastAsia="Noto Sans" w:hAnsi="Noto Sans" w:cs="Noto Sans"/>
                <w:bCs/>
                <w:color w:val="434343"/>
                <w:sz w:val="18"/>
                <w:szCs w:val="18"/>
              </w:rPr>
              <w:t>, scikit-learn) are cited in the Materials and Methods with their respective references.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The study follows the ARRIVE 2.0 guidelines for reporting animal research, with the relevant elements (animal numbers, </w:t>
            </w:r>
            <w:proofErr w:type="spellStart"/>
            <w:r>
              <w:rPr>
                <w:rFonts w:ascii="Noto Sans" w:eastAsia="Noto Sans" w:hAnsi="Noto Sans" w:cs="Noto Sans"/>
                <w:bCs/>
                <w:color w:val="434343"/>
                <w:sz w:val="18"/>
                <w:szCs w:val="18"/>
              </w:rPr>
              <w:t>randomisation</w:t>
            </w:r>
            <w:proofErr w:type="spellEnd"/>
            <w:r>
              <w:rPr>
                <w:rFonts w:ascii="Noto Sans" w:eastAsia="Noto Sans" w:hAnsi="Noto Sans" w:cs="Noto Sans"/>
                <w:bCs/>
                <w:color w:val="434343"/>
                <w:sz w:val="18"/>
                <w:szCs w:val="18"/>
              </w:rPr>
              <w:t>, blinding, inclusion/exclusion, statistical methods, ethics) reported in the Materials and Methods.</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C15687">
      <w:pPr>
        <w:spacing w:before="80"/>
      </w:pPr>
      <w:r>
        <w:pict w14:anchorId="4E691AF5">
          <v:rect id="Horizontal Line 1" o:spid="_x0000_s2050" alt="" style="width:482.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lastRenderedPageBreak/>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B0036" w14:textId="77777777" w:rsidR="00C15687" w:rsidRDefault="00C15687">
      <w:r>
        <w:separator/>
      </w:r>
    </w:p>
  </w:endnote>
  <w:endnote w:type="continuationSeparator" w:id="0">
    <w:p w14:paraId="1ED84FE6" w14:textId="77777777" w:rsidR="00C15687" w:rsidRDefault="00C1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4A74" w14:textId="77777777" w:rsidR="00C15687" w:rsidRDefault="00C15687">
      <w:r>
        <w:separator/>
      </w:r>
    </w:p>
  </w:footnote>
  <w:footnote w:type="continuationSeparator" w:id="0">
    <w:p w14:paraId="29C1E95F" w14:textId="77777777" w:rsidR="00C15687" w:rsidRDefault="00C15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  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  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426B7"/>
    <w:rsid w:val="0019061C"/>
    <w:rsid w:val="001B3BCC"/>
    <w:rsid w:val="002209A8"/>
    <w:rsid w:val="003D5AF6"/>
    <w:rsid w:val="00400C53"/>
    <w:rsid w:val="004056EC"/>
    <w:rsid w:val="00427975"/>
    <w:rsid w:val="004E2C31"/>
    <w:rsid w:val="005B0259"/>
    <w:rsid w:val="007054B6"/>
    <w:rsid w:val="0078687E"/>
    <w:rsid w:val="009C7B26"/>
    <w:rsid w:val="00A11E52"/>
    <w:rsid w:val="00B2483D"/>
    <w:rsid w:val="00BD41E9"/>
    <w:rsid w:val="00C15687"/>
    <w:rsid w:val="00C84413"/>
    <w:rsid w:val="00D9399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Garret Stuber</cp:lastModifiedBy>
  <cp:revision>3</cp:revision>
  <dcterms:created xsi:type="dcterms:W3CDTF">2026-04-21T21:14:00Z</dcterms:created>
  <dcterms:modified xsi:type="dcterms:W3CDTF">2026-05-08T15:32:00Z</dcterms:modified>
</cp:coreProperties>
</file>