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2825"/>
        <w:gridCol w:w="6237"/>
        <w:gridCol w:w="658"/>
      </w:tblGrid>
      <w:tr w:rsidR="00F102CC" w14:paraId="737D6F7F" w14:textId="77777777" w:rsidTr="00E62BAB">
        <w:trPr>
          <w:trHeight w:val="425"/>
        </w:trPr>
        <w:tc>
          <w:tcPr>
            <w:tcW w:w="28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6237"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1DB09804" w:rsidR="00F102CC" w:rsidRDefault="00CD29A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Lead contact and materials availability</w:t>
            </w:r>
            <w:r w:rsidR="00A4249B">
              <w:rPr>
                <w:rFonts w:ascii="Noto Sans" w:eastAsia="Noto Sans" w:hAnsi="Noto Sans" w:cs="Noto Sans"/>
                <w:b/>
                <w:color w:val="434343"/>
                <w:sz w:val="18"/>
                <w:szCs w:val="18"/>
              </w:rPr>
              <w:t xml:space="preserve"> </w:t>
            </w:r>
          </w:p>
        </w:tc>
        <w:tc>
          <w:tcPr>
            <w:tcW w:w="658"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E62BAB">
        <w:trPr>
          <w:trHeight w:val="1047"/>
        </w:trPr>
        <w:tc>
          <w:tcPr>
            <w:tcW w:w="282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602D702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p w14:paraId="05CC791B" w14:textId="77777777" w:rsidR="00C956BE" w:rsidRDefault="00C956BE">
            <w:pPr>
              <w:rPr>
                <w:rFonts w:ascii="Noto Sans" w:eastAsia="Noto Sans" w:hAnsi="Noto Sans" w:cs="Noto Sans"/>
                <w:color w:val="434343"/>
                <w:sz w:val="18"/>
                <w:szCs w:val="18"/>
              </w:rPr>
            </w:pPr>
          </w:p>
          <w:p w14:paraId="2E2B50B3" w14:textId="720AD9CC" w:rsidR="00C956BE" w:rsidRDefault="00C956BE">
            <w:pPr>
              <w:rPr>
                <w:rFonts w:ascii="Noto Sans" w:eastAsia="Noto Sans" w:hAnsi="Noto Sans" w:cs="Noto Sans"/>
                <w:color w:val="434343"/>
                <w:sz w:val="18"/>
                <w:szCs w:val="18"/>
              </w:rPr>
            </w:pPr>
          </w:p>
        </w:tc>
        <w:tc>
          <w:tcPr>
            <w:tcW w:w="6237" w:type="dxa"/>
            <w:tcBorders>
              <w:top w:val="nil"/>
              <w:left w:val="nil"/>
              <w:bottom w:val="single" w:sz="8" w:space="0" w:color="000000"/>
              <w:right w:val="single" w:sz="8" w:space="0" w:color="000000"/>
            </w:tcBorders>
            <w:tcMar>
              <w:top w:w="100" w:type="dxa"/>
              <w:left w:w="120" w:type="dxa"/>
              <w:bottom w:w="100" w:type="dxa"/>
              <w:right w:w="120" w:type="dxa"/>
            </w:tcMar>
          </w:tcPr>
          <w:p w14:paraId="7C9543BD" w14:textId="77777777" w:rsidR="00C956BE" w:rsidRDefault="00C956BE">
            <w:pPr>
              <w:rPr>
                <w:rFonts w:ascii="Noto Sans" w:eastAsia="Noto Sans" w:hAnsi="Noto Sans" w:cs="Noto Sans"/>
                <w:color w:val="434343"/>
                <w:sz w:val="18"/>
                <w:szCs w:val="18"/>
              </w:rPr>
            </w:pPr>
            <w:r>
              <w:rPr>
                <w:rFonts w:ascii="Noto Sans" w:eastAsia="Noto Sans" w:hAnsi="Noto Sans" w:cs="Noto Sans"/>
                <w:color w:val="434343"/>
                <w:sz w:val="18"/>
                <w:szCs w:val="18"/>
              </w:rPr>
              <w:t>Further information and requests for resources and reagents should be directed to and will be fulfilled by the lead contact, Dr. Saravanan Palani (</w:t>
            </w:r>
            <w:hyperlink r:id="rId13" w:history="1">
              <w:r w:rsidRPr="0017208B">
                <w:rPr>
                  <w:rStyle w:val="Hyperlink"/>
                  <w:rFonts w:ascii="Noto Sans" w:eastAsia="Noto Sans" w:hAnsi="Noto Sans" w:cs="Noto Sans"/>
                  <w:sz w:val="18"/>
                  <w:szCs w:val="18"/>
                </w:rPr>
                <w:t>spalani@iisc.ac.in</w:t>
              </w:r>
            </w:hyperlink>
            <w:r>
              <w:rPr>
                <w:rFonts w:ascii="Noto Sans" w:eastAsia="Noto Sans" w:hAnsi="Noto Sans" w:cs="Noto Sans"/>
                <w:color w:val="434343"/>
                <w:sz w:val="18"/>
                <w:szCs w:val="18"/>
              </w:rPr>
              <w:t xml:space="preserve">). </w:t>
            </w:r>
          </w:p>
          <w:p w14:paraId="1D38E71F" w14:textId="77777777" w:rsidR="00C956BE" w:rsidRDefault="00C956BE">
            <w:pPr>
              <w:rPr>
                <w:rFonts w:ascii="Noto Sans" w:eastAsia="Noto Sans" w:hAnsi="Noto Sans" w:cs="Noto Sans"/>
                <w:color w:val="434343"/>
                <w:sz w:val="18"/>
                <w:szCs w:val="18"/>
              </w:rPr>
            </w:pPr>
          </w:p>
          <w:p w14:paraId="4EE3A892" w14:textId="0554B1E2" w:rsidR="00C956BE" w:rsidRDefault="00C956BE">
            <w:pPr>
              <w:rPr>
                <w:rFonts w:ascii="Arial" w:hAnsi="Arial"/>
                <w:sz w:val="18"/>
              </w:rPr>
            </w:pPr>
            <w:r>
              <w:rPr>
                <w:rFonts w:ascii="Noto Sans" w:eastAsia="Noto Sans" w:hAnsi="Noto Sans" w:cs="Noto Sans"/>
                <w:color w:val="434343"/>
                <w:sz w:val="18"/>
                <w:szCs w:val="18"/>
              </w:rPr>
              <w:t xml:space="preserve">Plasmids and yeast strains generated in this study are available from the lead contact upon request. </w:t>
            </w:r>
          </w:p>
          <w:p w14:paraId="7CB2E670" w14:textId="77777777" w:rsidR="00C956BE" w:rsidRDefault="00C956BE">
            <w:pPr>
              <w:rPr>
                <w:rFonts w:ascii="Arial" w:hAnsi="Arial"/>
                <w:sz w:val="18"/>
              </w:rPr>
            </w:pPr>
          </w:p>
          <w:p w14:paraId="4EC3BCB7" w14:textId="009A5247" w:rsidR="00F102CC" w:rsidRPr="003D5AF6" w:rsidRDefault="00F102CC">
            <w:pPr>
              <w:rPr>
                <w:rFonts w:ascii="Noto Sans" w:eastAsia="Noto Sans" w:hAnsi="Noto Sans" w:cs="Noto Sans"/>
                <w:bCs/>
                <w:color w:val="434343"/>
                <w:sz w:val="18"/>
                <w:szCs w:val="18"/>
              </w:rPr>
            </w:pPr>
          </w:p>
        </w:tc>
        <w:tc>
          <w:tcPr>
            <w:tcW w:w="658"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rsidTr="00E62BAB">
        <w:trPr>
          <w:trHeight w:val="425"/>
        </w:trPr>
        <w:tc>
          <w:tcPr>
            <w:tcW w:w="2825"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6237"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658"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rsidTr="00E62BAB">
        <w:trPr>
          <w:trHeight w:val="425"/>
        </w:trPr>
        <w:tc>
          <w:tcPr>
            <w:tcW w:w="28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6237"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20C0D5D6" w:rsidR="00F102CC" w:rsidRDefault="00A4249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Key resource table, Materials and Methods- In vitro binding assay</w:t>
            </w:r>
          </w:p>
        </w:tc>
        <w:tc>
          <w:tcPr>
            <w:tcW w:w="658"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E62BAB">
        <w:trPr>
          <w:trHeight w:val="605"/>
        </w:trPr>
        <w:tc>
          <w:tcPr>
            <w:tcW w:w="282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4">
              <w:r>
                <w:rPr>
                  <w:rFonts w:ascii="Noto Sans" w:eastAsia="Noto Sans" w:hAnsi="Noto Sans" w:cs="Noto Sans"/>
                  <w:color w:val="434343"/>
                  <w:sz w:val="18"/>
                  <w:szCs w:val="18"/>
                </w:rPr>
                <w:t xml:space="preserve"> </w:t>
              </w:r>
            </w:hyperlink>
            <w:hyperlink r:id="rId15">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6237" w:type="dxa"/>
            <w:tcBorders>
              <w:top w:val="nil"/>
              <w:left w:val="nil"/>
              <w:bottom w:val="single" w:sz="8" w:space="0" w:color="000000"/>
              <w:right w:val="single" w:sz="8" w:space="0" w:color="000000"/>
            </w:tcBorders>
            <w:tcMar>
              <w:top w:w="100" w:type="dxa"/>
              <w:left w:w="120" w:type="dxa"/>
              <w:bottom w:w="100" w:type="dxa"/>
              <w:right w:w="120" w:type="dxa"/>
            </w:tcMar>
          </w:tcPr>
          <w:p w14:paraId="18263094" w14:textId="65BDFB5D" w:rsidR="00E7364E" w:rsidRDefault="00CD29AF">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The </w:t>
            </w:r>
            <w:r w:rsidR="006C6710">
              <w:rPr>
                <w:rFonts w:ascii="Noto Sans" w:eastAsia="Noto Sans" w:hAnsi="Noto Sans" w:cs="Noto Sans"/>
                <w:bCs/>
                <w:color w:val="434343"/>
                <w:sz w:val="18"/>
                <w:szCs w:val="18"/>
              </w:rPr>
              <w:t>a</w:t>
            </w:r>
            <w:r w:rsidR="003F7703" w:rsidRPr="003F7703">
              <w:rPr>
                <w:rFonts w:ascii="Noto Sans" w:eastAsia="Noto Sans" w:hAnsi="Noto Sans" w:cs="Noto Sans"/>
                <w:bCs/>
                <w:color w:val="434343"/>
                <w:sz w:val="18"/>
                <w:szCs w:val="18"/>
              </w:rPr>
              <w:t xml:space="preserve">ntibodies </w:t>
            </w:r>
            <w:r w:rsidR="00794C49">
              <w:rPr>
                <w:rFonts w:ascii="Noto Sans" w:eastAsia="Noto Sans" w:hAnsi="Noto Sans" w:cs="Noto Sans"/>
                <w:bCs/>
                <w:color w:val="434343"/>
                <w:sz w:val="18"/>
                <w:szCs w:val="18"/>
              </w:rPr>
              <w:t xml:space="preserve">used </w:t>
            </w:r>
            <w:r>
              <w:rPr>
                <w:rFonts w:ascii="Noto Sans" w:eastAsia="Noto Sans" w:hAnsi="Noto Sans" w:cs="Noto Sans"/>
                <w:bCs/>
                <w:color w:val="434343"/>
                <w:sz w:val="18"/>
                <w:szCs w:val="18"/>
              </w:rPr>
              <w:t>for in vitro binding ex</w:t>
            </w:r>
            <w:r w:rsidR="00FF0B21">
              <w:rPr>
                <w:rFonts w:ascii="Noto Sans" w:eastAsia="Noto Sans" w:hAnsi="Noto Sans" w:cs="Noto Sans"/>
                <w:bCs/>
                <w:color w:val="434343"/>
                <w:sz w:val="18"/>
                <w:szCs w:val="18"/>
              </w:rPr>
              <w:t>periments are listed in the Key resource table with the company name and Lot/catalog. number.</w:t>
            </w:r>
          </w:p>
          <w:p w14:paraId="126AA2F2" w14:textId="77777777" w:rsidR="00440956" w:rsidRDefault="00440956">
            <w:pPr>
              <w:rPr>
                <w:rFonts w:ascii="Noto Sans" w:eastAsia="Noto Sans" w:hAnsi="Noto Sans" w:cs="Noto Sans"/>
                <w:bCs/>
                <w:color w:val="434343"/>
                <w:sz w:val="18"/>
                <w:szCs w:val="18"/>
              </w:rPr>
            </w:pPr>
          </w:p>
          <w:p w14:paraId="5074FD62" w14:textId="752126AD" w:rsidR="00440956" w:rsidRDefault="00440956">
            <w:pPr>
              <w:rPr>
                <w:rFonts w:ascii="Noto Sans" w:eastAsia="Noto Sans" w:hAnsi="Noto Sans" w:cs="Noto Sans"/>
                <w:bCs/>
                <w:color w:val="434343"/>
                <w:sz w:val="18"/>
                <w:szCs w:val="18"/>
              </w:rPr>
            </w:pPr>
            <w:r>
              <w:rPr>
                <w:rFonts w:ascii="Noto Sans" w:eastAsia="Noto Sans" w:hAnsi="Noto Sans" w:cs="Noto Sans"/>
                <w:bCs/>
                <w:color w:val="434343"/>
                <w:sz w:val="18"/>
                <w:szCs w:val="18"/>
              </w:rPr>
              <w:t>Anti-His (H-3) mouse monoclonal IgG1 (Santa Cruz Biotechnology; Cat.#sc-8036, Lot#C0421)</w:t>
            </w:r>
          </w:p>
          <w:p w14:paraId="27DCA0DA" w14:textId="4EE58E96" w:rsidR="00440956" w:rsidRDefault="00440956" w:rsidP="00440956">
            <w:pPr>
              <w:rPr>
                <w:rFonts w:ascii="Noto Sans" w:eastAsia="Noto Sans" w:hAnsi="Noto Sans" w:cs="Noto Sans"/>
                <w:bCs/>
                <w:color w:val="434343"/>
                <w:sz w:val="18"/>
                <w:szCs w:val="18"/>
              </w:rPr>
            </w:pPr>
            <w:r>
              <w:rPr>
                <w:rFonts w:ascii="Noto Sans" w:eastAsia="Noto Sans" w:hAnsi="Noto Sans" w:cs="Noto Sans"/>
                <w:bCs/>
                <w:color w:val="434343"/>
                <w:sz w:val="18"/>
                <w:szCs w:val="18"/>
              </w:rPr>
              <w:t>Anti-GST (B-14) mouse monoclonal IgG1 (Santa Cruz Biotechnology; Cat.#sc-138, Lot#K1020)</w:t>
            </w:r>
          </w:p>
          <w:p w14:paraId="31209F92" w14:textId="21906B11" w:rsidR="00FF0B21" w:rsidRPr="001E74AA" w:rsidRDefault="00FF40F8" w:rsidP="001E74AA">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Anti-mouse IgG-HRP (Cell Signalling Technology; </w:t>
            </w:r>
            <w:r w:rsidR="001E74AA">
              <w:rPr>
                <w:rFonts w:ascii="Noto Sans" w:eastAsia="Noto Sans" w:hAnsi="Noto Sans" w:cs="Noto Sans"/>
                <w:bCs/>
                <w:color w:val="434343"/>
                <w:sz w:val="18"/>
                <w:szCs w:val="18"/>
              </w:rPr>
              <w:t>Cat.#7076S, Lot#36)</w:t>
            </w:r>
          </w:p>
        </w:tc>
        <w:tc>
          <w:tcPr>
            <w:tcW w:w="658"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6237"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658"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rsidTr="00E62BAB">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623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598837AF" w:rsidR="00F102CC" w:rsidRDefault="000A3666">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Supplementary Table S2 and S3; Materials and Methods-Oligonucleotides and Plasmids used in the study</w:t>
            </w:r>
            <w:r>
              <w:rPr>
                <w:rFonts w:ascii="Arial" w:hAnsi="Arial"/>
                <w:sz w:val="18"/>
              </w:rPr>
              <w:t xml:space="preserve"> </w:t>
            </w:r>
          </w:p>
        </w:tc>
        <w:tc>
          <w:tcPr>
            <w:tcW w:w="65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E62BAB">
        <w:trPr>
          <w:trHeight w:val="57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Short novel DNA or RNA including primers, probes: Sequences should be included </w:t>
            </w:r>
            <w:r>
              <w:rPr>
                <w:rFonts w:ascii="Noto Sans" w:eastAsia="Noto Sans" w:hAnsi="Noto Sans" w:cs="Noto Sans"/>
                <w:color w:val="434343"/>
                <w:sz w:val="18"/>
                <w:szCs w:val="18"/>
                <w:highlight w:val="white"/>
              </w:rPr>
              <w:lastRenderedPageBreak/>
              <w:t>or deposited in a public repository.</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45ACEB15" w14:textId="1A831D54" w:rsidR="00743D0A" w:rsidRDefault="00A0094E">
            <w:pPr>
              <w:rPr>
                <w:rFonts w:ascii="Noto Sans" w:eastAsia="Noto Sans" w:hAnsi="Noto Sans" w:cs="Noto Sans"/>
                <w:bCs/>
                <w:color w:val="434343"/>
                <w:sz w:val="18"/>
                <w:szCs w:val="18"/>
              </w:rPr>
            </w:pPr>
            <w:r>
              <w:rPr>
                <w:rFonts w:ascii="Noto Sans" w:eastAsia="Noto Sans" w:hAnsi="Noto Sans" w:cs="Noto Sans"/>
                <w:bCs/>
                <w:color w:val="434343"/>
                <w:sz w:val="18"/>
                <w:szCs w:val="18"/>
              </w:rPr>
              <w:lastRenderedPageBreak/>
              <w:t>P</w:t>
            </w:r>
            <w:r w:rsidR="000001C5">
              <w:rPr>
                <w:rFonts w:ascii="Noto Sans" w:eastAsia="Noto Sans" w:hAnsi="Noto Sans" w:cs="Noto Sans"/>
                <w:bCs/>
                <w:color w:val="434343"/>
                <w:sz w:val="18"/>
                <w:szCs w:val="18"/>
              </w:rPr>
              <w:t xml:space="preserve">rimers </w:t>
            </w:r>
            <w:r w:rsidR="00341F59">
              <w:rPr>
                <w:rFonts w:ascii="Noto Sans" w:eastAsia="Noto Sans" w:hAnsi="Noto Sans" w:cs="Noto Sans"/>
                <w:bCs/>
                <w:color w:val="434343"/>
                <w:sz w:val="18"/>
                <w:szCs w:val="18"/>
              </w:rPr>
              <w:t>used for endogenous gene tagging, deletion, cloning and mutagenesis are listed in the supplementary table S2.</w:t>
            </w:r>
          </w:p>
          <w:p w14:paraId="05E6126C" w14:textId="77777777" w:rsidR="00743D0A" w:rsidRDefault="00743D0A">
            <w:pPr>
              <w:rPr>
                <w:rFonts w:ascii="Noto Sans" w:eastAsia="Noto Sans" w:hAnsi="Noto Sans" w:cs="Noto Sans"/>
                <w:bCs/>
                <w:color w:val="434343"/>
                <w:sz w:val="18"/>
                <w:szCs w:val="18"/>
              </w:rPr>
            </w:pPr>
          </w:p>
          <w:p w14:paraId="220B6931" w14:textId="6376E255" w:rsidR="00341F59" w:rsidRPr="003D5AF6" w:rsidRDefault="00C850D9">
            <w:pPr>
              <w:rPr>
                <w:rFonts w:ascii="Noto Sans" w:eastAsia="Noto Sans" w:hAnsi="Noto Sans" w:cs="Noto Sans"/>
                <w:bCs/>
                <w:color w:val="434343"/>
                <w:sz w:val="18"/>
                <w:szCs w:val="18"/>
              </w:rPr>
            </w:pPr>
            <w:r>
              <w:rPr>
                <w:rFonts w:ascii="Noto Sans" w:eastAsia="Noto Sans" w:hAnsi="Noto Sans" w:cs="Noto Sans"/>
                <w:bCs/>
                <w:color w:val="434343"/>
                <w:sz w:val="18"/>
                <w:szCs w:val="18"/>
              </w:rPr>
              <w:lastRenderedPageBreak/>
              <w:t>P</w:t>
            </w:r>
            <w:r w:rsidR="00341F59">
              <w:rPr>
                <w:rFonts w:ascii="Noto Sans" w:eastAsia="Noto Sans" w:hAnsi="Noto Sans" w:cs="Noto Sans"/>
                <w:bCs/>
                <w:color w:val="434343"/>
                <w:sz w:val="18"/>
                <w:szCs w:val="18"/>
              </w:rPr>
              <w:t xml:space="preserve">lasmids used in the study are listed in supplementary table S3 with appropriate citations. </w:t>
            </w: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E62BAB">
        <w:trPr>
          <w:trHeight w:val="485"/>
        </w:trPr>
        <w:tc>
          <w:tcPr>
            <w:tcW w:w="2825"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6237"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658"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rsidTr="00E62BAB">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623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5BD7B35D" w:rsidR="00F102CC" w:rsidRDefault="00341F59">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c>
          <w:tcPr>
            <w:tcW w:w="65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rsidTr="00E62BAB">
        <w:trPr>
          <w:trHeight w:val="990"/>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53D7B41B" w:rsidR="00F102CC" w:rsidRPr="003D5AF6" w:rsidRDefault="00F102CC" w:rsidP="004B2F87">
            <w:pPr>
              <w:rPr>
                <w:rFonts w:ascii="Noto Sans" w:eastAsia="Noto Sans" w:hAnsi="Noto Sans" w:cs="Noto Sans"/>
                <w:bCs/>
                <w:color w:val="434343"/>
                <w:sz w:val="18"/>
                <w:szCs w:val="18"/>
              </w:rPr>
            </w:pP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E62BAB">
        <w:trPr>
          <w:trHeight w:val="60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A629CA5" w:rsidR="00F102CC" w:rsidRPr="003D5AF6" w:rsidRDefault="000D446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6237"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658"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rsidRPr="00B9345B" w14:paraId="54EB4914" w14:textId="77777777" w:rsidTr="00E62BAB">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Pr="00B9345B" w:rsidRDefault="00427975">
            <w:pPr>
              <w:rPr>
                <w:rFonts w:ascii="Noto Sans" w:eastAsia="Noto Sans" w:hAnsi="Noto Sans" w:cs="Noto Sans"/>
                <w:b/>
                <w:color w:val="000000" w:themeColor="text1"/>
                <w:sz w:val="18"/>
                <w:szCs w:val="18"/>
              </w:rPr>
            </w:pPr>
            <w:r w:rsidRPr="00B9345B">
              <w:rPr>
                <w:rFonts w:ascii="Noto Sans" w:eastAsia="Noto Sans" w:hAnsi="Noto Sans" w:cs="Noto Sans"/>
                <w:b/>
                <w:color w:val="000000" w:themeColor="text1"/>
                <w:sz w:val="18"/>
                <w:szCs w:val="18"/>
              </w:rPr>
              <w:t>Experimental animals</w:t>
            </w:r>
          </w:p>
        </w:tc>
        <w:tc>
          <w:tcPr>
            <w:tcW w:w="623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1F661BEB" w:rsidR="00F102CC" w:rsidRPr="00B9345B" w:rsidRDefault="00B9345B">
            <w:pPr>
              <w:spacing w:line="225" w:lineRule="auto"/>
              <w:rPr>
                <w:rFonts w:ascii="Noto Sans" w:eastAsia="Noto Sans" w:hAnsi="Noto Sans" w:cs="Noto Sans"/>
                <w:b/>
                <w:color w:val="000000" w:themeColor="text1"/>
                <w:sz w:val="18"/>
                <w:szCs w:val="18"/>
              </w:rPr>
            </w:pPr>
            <w:r>
              <w:rPr>
                <w:rFonts w:ascii="Noto Sans" w:eastAsia="Noto Sans" w:hAnsi="Noto Sans" w:cs="Noto Sans"/>
                <w:b/>
                <w:color w:val="000000" w:themeColor="text1"/>
                <w:sz w:val="18"/>
                <w:szCs w:val="18"/>
              </w:rPr>
              <w:t>N/A</w:t>
            </w:r>
          </w:p>
        </w:tc>
        <w:tc>
          <w:tcPr>
            <w:tcW w:w="65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Pr="00B9345B" w:rsidRDefault="00427975">
            <w:pPr>
              <w:spacing w:line="225" w:lineRule="auto"/>
              <w:rPr>
                <w:rFonts w:ascii="Noto Sans" w:eastAsia="Noto Sans" w:hAnsi="Noto Sans" w:cs="Noto Sans"/>
                <w:b/>
                <w:color w:val="000000" w:themeColor="text1"/>
                <w:sz w:val="18"/>
                <w:szCs w:val="18"/>
              </w:rPr>
            </w:pPr>
            <w:r w:rsidRPr="00B9345B">
              <w:rPr>
                <w:rFonts w:ascii="Noto Sans" w:eastAsia="Noto Sans" w:hAnsi="Noto Sans" w:cs="Noto Sans"/>
                <w:b/>
                <w:color w:val="000000" w:themeColor="text1"/>
                <w:sz w:val="18"/>
                <w:szCs w:val="18"/>
              </w:rPr>
              <w:t>N/A</w:t>
            </w:r>
          </w:p>
        </w:tc>
      </w:tr>
      <w:tr w:rsidR="00F102CC" w14:paraId="6E88B7E5" w14:textId="77777777" w:rsidTr="00E62BAB">
        <w:trPr>
          <w:trHeight w:val="109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6E4FC1D9" w:rsidR="00F102CC" w:rsidRPr="003D5AF6" w:rsidRDefault="00F102CC">
            <w:pPr>
              <w:rPr>
                <w:rFonts w:ascii="Noto Sans" w:eastAsia="Noto Sans" w:hAnsi="Noto Sans" w:cs="Noto Sans"/>
                <w:bCs/>
                <w:color w:val="434343"/>
                <w:sz w:val="18"/>
                <w:szCs w:val="18"/>
              </w:rPr>
            </w:pP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E62BAB">
        <w:trPr>
          <w:trHeight w:val="668"/>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472D1CCB" w:rsidR="00F102CC" w:rsidRPr="003D5AF6" w:rsidRDefault="00E62BA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6237"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658"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rsidTr="00E62BAB">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623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5D0C10F4" w:rsidR="00F102CC" w:rsidRDefault="00743D0A">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Key resource table; Supplementary table S1; Materials and methods-strain construction</w:t>
            </w:r>
          </w:p>
        </w:tc>
        <w:tc>
          <w:tcPr>
            <w:tcW w:w="65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E62BAB">
        <w:trPr>
          <w:trHeight w:val="728"/>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F371F72" w:rsidR="00D108F3" w:rsidRPr="003D5AF6" w:rsidRDefault="00D108F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 </w:t>
            </w: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80D4CD4" w:rsidR="00F102CC" w:rsidRPr="003D5AF6" w:rsidRDefault="000D446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E62BAB">
        <w:trPr>
          <w:trHeight w:val="574"/>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00BE61E9" w14:textId="6B01F3ED" w:rsidR="00D108F3" w:rsidRDefault="00D108F3" w:rsidP="00D108F3">
            <w:pPr>
              <w:rPr>
                <w:rFonts w:ascii="Noto Sans" w:eastAsia="Noto Sans" w:hAnsi="Noto Sans" w:cs="Noto Sans"/>
                <w:bCs/>
                <w:color w:val="434343"/>
                <w:sz w:val="18"/>
                <w:szCs w:val="18"/>
              </w:rPr>
            </w:pPr>
            <w:r w:rsidRPr="00743D0A">
              <w:rPr>
                <w:rFonts w:ascii="Noto Sans" w:eastAsia="Noto Sans" w:hAnsi="Noto Sans" w:cs="Noto Sans"/>
                <w:bCs/>
                <w:i/>
                <w:iCs/>
                <w:color w:val="434343"/>
                <w:sz w:val="18"/>
                <w:szCs w:val="18"/>
              </w:rPr>
              <w:t>Saccharomyces cerevisiae</w:t>
            </w:r>
            <w:r>
              <w:rPr>
                <w:rFonts w:ascii="Noto Sans" w:eastAsia="Noto Sans" w:hAnsi="Noto Sans" w:cs="Noto Sans"/>
                <w:bCs/>
                <w:color w:val="434343"/>
                <w:sz w:val="18"/>
                <w:szCs w:val="18"/>
              </w:rPr>
              <w:t xml:space="preserve"> strains used in this study were constructed in ESM356 and YPH499 wild-type genetic backgrounds derived from S288C. Strain number</w:t>
            </w:r>
            <w:r w:rsidR="00A858E4">
              <w:rPr>
                <w:rFonts w:ascii="Noto Sans" w:eastAsia="Noto Sans" w:hAnsi="Noto Sans" w:cs="Noto Sans"/>
                <w:bCs/>
                <w:color w:val="434343"/>
                <w:sz w:val="18"/>
                <w:szCs w:val="18"/>
              </w:rPr>
              <w:t>s</w:t>
            </w:r>
            <w:r w:rsidR="00AD6084">
              <w:rPr>
                <w:rFonts w:ascii="Noto Sans" w:eastAsia="Noto Sans" w:hAnsi="Noto Sans" w:cs="Noto Sans"/>
                <w:bCs/>
                <w:color w:val="434343"/>
                <w:sz w:val="18"/>
                <w:szCs w:val="18"/>
              </w:rPr>
              <w:t xml:space="preserve">, </w:t>
            </w:r>
            <w:r>
              <w:rPr>
                <w:rFonts w:ascii="Noto Sans" w:eastAsia="Noto Sans" w:hAnsi="Noto Sans" w:cs="Noto Sans"/>
                <w:bCs/>
                <w:color w:val="434343"/>
                <w:sz w:val="18"/>
                <w:szCs w:val="18"/>
              </w:rPr>
              <w:t>genotypes and appropriate sources are provided in the Supplementary table S1.</w:t>
            </w:r>
          </w:p>
          <w:p w14:paraId="22BEE71C" w14:textId="77777777" w:rsidR="00D108F3" w:rsidRDefault="00D108F3" w:rsidP="00D108F3">
            <w:pPr>
              <w:rPr>
                <w:rFonts w:ascii="Noto Sans" w:eastAsia="Noto Sans" w:hAnsi="Noto Sans" w:cs="Noto Sans"/>
                <w:bCs/>
                <w:color w:val="434343"/>
                <w:sz w:val="18"/>
                <w:szCs w:val="18"/>
              </w:rPr>
            </w:pPr>
          </w:p>
          <w:p w14:paraId="4AA8ECCC" w14:textId="19D9F1DF" w:rsidR="008C30DB" w:rsidRPr="003D5AF6" w:rsidRDefault="00D108F3" w:rsidP="00D108F3">
            <w:pPr>
              <w:rPr>
                <w:rFonts w:ascii="Noto Sans" w:eastAsia="Noto Sans" w:hAnsi="Noto Sans" w:cs="Noto Sans"/>
                <w:bCs/>
                <w:color w:val="434343"/>
                <w:sz w:val="18"/>
                <w:szCs w:val="18"/>
              </w:rPr>
            </w:pPr>
            <w:r>
              <w:rPr>
                <w:rFonts w:ascii="Noto Sans" w:eastAsia="Noto Sans" w:hAnsi="Noto Sans" w:cs="Noto Sans"/>
                <w:bCs/>
                <w:color w:val="434343"/>
                <w:sz w:val="18"/>
                <w:szCs w:val="18"/>
              </w:rPr>
              <w:t>Newly generated gene deletion and epitope tagging strains were constructed in our laboratory using PCR-based integration</w:t>
            </w:r>
            <w:r w:rsidR="002F32C5">
              <w:rPr>
                <w:rFonts w:ascii="Noto Sans" w:eastAsia="Noto Sans" w:hAnsi="Noto Sans" w:cs="Noto Sans"/>
                <w:bCs/>
                <w:color w:val="434343"/>
                <w:sz w:val="18"/>
                <w:szCs w:val="18"/>
              </w:rPr>
              <w:t xml:space="preserve">, </w:t>
            </w:r>
            <w:r w:rsidR="00EB123E">
              <w:rPr>
                <w:rFonts w:ascii="Noto Sans" w:eastAsia="Noto Sans" w:hAnsi="Noto Sans" w:cs="Noto Sans"/>
                <w:bCs/>
                <w:color w:val="434343"/>
                <w:sz w:val="18"/>
                <w:szCs w:val="18"/>
              </w:rPr>
              <w:t xml:space="preserve">as </w:t>
            </w:r>
            <w:r w:rsidR="00EB123E">
              <w:rPr>
                <w:rFonts w:ascii="Noto Sans" w:eastAsia="Noto Sans" w:hAnsi="Noto Sans" w:cs="Noto Sans"/>
                <w:bCs/>
                <w:color w:val="434343"/>
                <w:sz w:val="18"/>
                <w:szCs w:val="18"/>
              </w:rPr>
              <w:lastRenderedPageBreak/>
              <w:t xml:space="preserve">described and </w:t>
            </w:r>
            <w:r>
              <w:rPr>
                <w:rFonts w:ascii="Noto Sans" w:eastAsia="Noto Sans" w:hAnsi="Noto Sans" w:cs="Noto Sans"/>
                <w:bCs/>
                <w:color w:val="434343"/>
                <w:sz w:val="18"/>
                <w:szCs w:val="18"/>
              </w:rPr>
              <w:t>cited in the materials and methods section.</w:t>
            </w: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532B269E" w14:textId="77777777" w:rsidR="00794C49" w:rsidRPr="003D5AF6" w:rsidRDefault="00794C49">
            <w:pPr>
              <w:spacing w:line="225" w:lineRule="auto"/>
              <w:rPr>
                <w:rFonts w:ascii="Noto Sans" w:eastAsia="Noto Sans" w:hAnsi="Noto Sans" w:cs="Noto Sans"/>
                <w:b/>
                <w:color w:val="434343"/>
                <w:sz w:val="16"/>
                <w:szCs w:val="16"/>
              </w:rPr>
            </w:pPr>
          </w:p>
        </w:tc>
        <w:tc>
          <w:tcPr>
            <w:tcW w:w="6237"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658"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rsidTr="008C30DB">
        <w:trPr>
          <w:trHeight w:val="543"/>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623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9357CE5" w:rsidR="00F102CC" w:rsidRDefault="00D108F3">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c>
          <w:tcPr>
            <w:tcW w:w="65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E62BAB">
        <w:trPr>
          <w:trHeight w:val="47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658"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B7E57EF" w:rsidR="00F102CC" w:rsidRPr="00E62BAB" w:rsidRDefault="00E62BAB">
            <w:pPr>
              <w:rPr>
                <w:rFonts w:ascii="Noto Sans" w:eastAsia="Noto Sans" w:hAnsi="Noto Sans" w:cs="Noto Sans"/>
                <w:color w:val="434343"/>
                <w:sz w:val="18"/>
                <w:szCs w:val="18"/>
              </w:rPr>
            </w:pPr>
            <w:r w:rsidRPr="00E62BAB">
              <w:rPr>
                <w:rFonts w:ascii="Noto Sans" w:eastAsia="Noto Sans" w:hAnsi="Noto Sans" w:cs="Noto Sans"/>
                <w:color w:val="434343"/>
                <w:sz w:val="18"/>
                <w:szCs w:val="18"/>
              </w:rPr>
              <w:t>N/A</w:t>
            </w:r>
          </w:p>
        </w:tc>
      </w:tr>
    </w:tbl>
    <w:p w14:paraId="3631119B" w14:textId="77777777" w:rsidR="00227B1C" w:rsidRDefault="00227B1C">
      <w:pPr>
        <w:spacing w:before="80" w:line="227" w:lineRule="auto"/>
        <w:rPr>
          <w:rFonts w:ascii="Noto Sans" w:eastAsia="Noto Sans" w:hAnsi="Noto Sans" w:cs="Noto Sans"/>
          <w:b/>
          <w:color w:val="434343"/>
          <w:sz w:val="24"/>
          <w:szCs w:val="24"/>
        </w:rPr>
      </w:pPr>
      <w:bookmarkStart w:id="1" w:name="_ff5b8dustxkx" w:colFirst="0" w:colLast="0"/>
      <w:bookmarkEnd w:id="1"/>
    </w:p>
    <w:p w14:paraId="60E7D3C1" w14:textId="62387B82" w:rsidR="00F102CC" w:rsidRDefault="00427975">
      <w:pPr>
        <w:spacing w:before="8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2825"/>
        <w:gridCol w:w="5875"/>
        <w:gridCol w:w="990"/>
      </w:tblGrid>
      <w:tr w:rsidR="00F102CC" w14:paraId="449C5579" w14:textId="77777777" w:rsidTr="008C30DB">
        <w:trPr>
          <w:trHeight w:val="383"/>
        </w:trPr>
        <w:tc>
          <w:tcPr>
            <w:tcW w:w="28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58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060544DA" w:rsidR="00F102CC" w:rsidRDefault="00985E7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E62BAB">
        <w:trPr>
          <w:trHeight w:val="606"/>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11411E2"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587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rsidTr="00E62BAB">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58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E62BAB">
        <w:trPr>
          <w:trHeight w:val="51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28CEAFF3" w:rsidR="00F102CC" w:rsidRPr="003D5AF6" w:rsidRDefault="0091378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Established procedure</w:t>
            </w:r>
            <w:r w:rsidR="006D7FB3">
              <w:rPr>
                <w:rFonts w:ascii="Noto Sans" w:eastAsia="Noto Sans" w:hAnsi="Noto Sans" w:cs="Noto Sans"/>
                <w:bCs/>
                <w:color w:val="434343"/>
                <w:sz w:val="18"/>
                <w:szCs w:val="18"/>
              </w:rPr>
              <w:t xml:space="preserve"> and </w:t>
            </w:r>
            <w:r>
              <w:rPr>
                <w:rFonts w:ascii="Noto Sans" w:eastAsia="Noto Sans" w:hAnsi="Noto Sans" w:cs="Noto Sans"/>
                <w:bCs/>
                <w:color w:val="434343"/>
                <w:sz w:val="18"/>
                <w:szCs w:val="18"/>
              </w:rPr>
              <w:t>protocols used in this study are cited in the materials and methods section where applicable, including PCR-based integration, Lithium acetate mediated yeast transformation, image-analysis  workflow</w:t>
            </w:r>
            <w:r w:rsidR="000A6143">
              <w:rPr>
                <w:rFonts w:ascii="Noto Sans" w:eastAsia="Noto Sans" w:hAnsi="Noto Sans" w:cs="Noto Sans"/>
                <w:bCs/>
                <w:color w:val="434343"/>
                <w:sz w:val="18"/>
                <w:szCs w:val="18"/>
              </w:rPr>
              <w:t>s</w:t>
            </w:r>
            <w:r>
              <w:rPr>
                <w:rFonts w:ascii="Noto Sans" w:eastAsia="Noto Sans" w:hAnsi="Noto Sans" w:cs="Noto Sans"/>
                <w:bCs/>
                <w:color w:val="434343"/>
                <w:sz w:val="18"/>
                <w:szCs w:val="18"/>
              </w:rPr>
              <w:t xml:space="preserve"> and yeast-two hybrid assays.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EDAF253"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587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rsidTr="008C30DB">
        <w:trPr>
          <w:trHeight w:val="24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rsidTr="00E62BAB">
        <w:trPr>
          <w:trHeight w:val="63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58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24614B8" w:rsidR="00F102CC" w:rsidRDefault="009C77A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Materials and methods-statistical analysis; figure legends</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E62BAB">
        <w:trPr>
          <w:trHeight w:val="34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7E3143BC" w14:textId="1A11D034" w:rsidR="009C77AB" w:rsidRDefault="009C77AB" w:rsidP="000E6032">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Sample sizes (n) are reported in the corresponding quantification graphs or figure legends. No formal power analysis was performed. Sample sizes were selected based on the established practices</w:t>
            </w:r>
            <w:r w:rsidR="00F94DF4">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for quantitative live-cell imaging and cell-based analyses.</w:t>
            </w:r>
          </w:p>
          <w:p w14:paraId="04126AA6" w14:textId="77777777" w:rsidR="009C77AB" w:rsidRDefault="009C77AB" w:rsidP="000E6032">
            <w:pPr>
              <w:spacing w:line="225" w:lineRule="auto"/>
              <w:rPr>
                <w:rFonts w:ascii="Noto Sans" w:eastAsia="Noto Sans" w:hAnsi="Noto Sans" w:cs="Noto Sans"/>
                <w:color w:val="434343"/>
                <w:sz w:val="18"/>
                <w:szCs w:val="18"/>
              </w:rPr>
            </w:pPr>
          </w:p>
          <w:p w14:paraId="50D998B6" w14:textId="6EFC1DCD" w:rsidR="00F50FAE" w:rsidRPr="009C77AB" w:rsidRDefault="009C77AB" w:rsidP="000E6032">
            <w:pPr>
              <w:spacing w:line="225" w:lineRule="auto"/>
            </w:pPr>
            <w:r>
              <w:rPr>
                <w:rFonts w:ascii="Noto Sans" w:eastAsia="Noto Sans" w:hAnsi="Noto Sans" w:cs="Noto Sans"/>
                <w:color w:val="434343"/>
                <w:sz w:val="18"/>
                <w:szCs w:val="18"/>
              </w:rPr>
              <w:t xml:space="preserve">A minimum of 15-20 cells were analyzed for quantifying protein kinetics in the live-cell imaging experiments, whereas at least 100 cells were analyzed for quantification of cellular morphology and protein misorganization.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E62BAB">
        <w:trPr>
          <w:trHeight w:val="36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03753639" w:rsidR="00F102CC" w:rsidRPr="003D5AF6" w:rsidRDefault="0027318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applicable (Experiments did not involve allocation of animals or human participants to treatment groups).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E62BAB">
        <w:trPr>
          <w:trHeight w:val="373"/>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Blinding</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441AA9BB" w:rsidR="00F102CC" w:rsidRPr="003D5AF6" w:rsidRDefault="000D446E">
            <w:pPr>
              <w:spacing w:line="225" w:lineRule="auto"/>
              <w:rPr>
                <w:rFonts w:ascii="Noto Sans" w:eastAsia="Noto Sans" w:hAnsi="Noto Sans" w:cs="Noto Sans"/>
                <w:bCs/>
                <w:color w:val="434343"/>
                <w:sz w:val="18"/>
                <w:szCs w:val="18"/>
              </w:rPr>
            </w:pPr>
            <w:r w:rsidRPr="000D446E">
              <w:rPr>
                <w:rFonts w:ascii="Noto Sans" w:eastAsia="Noto Sans" w:hAnsi="Noto Sans" w:cs="Noto Sans"/>
                <w:bCs/>
                <w:color w:val="434343"/>
                <w:sz w:val="18"/>
                <w:szCs w:val="18"/>
              </w:rPr>
              <w:t>Not done</w:t>
            </w:r>
            <w:r w:rsidR="00096DDF">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E62BAB">
        <w:trPr>
          <w:trHeight w:val="398"/>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0BA64E03" w:rsidR="00F102CC" w:rsidRPr="003D5AF6" w:rsidRDefault="00E62BAB" w:rsidP="000D446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measurable samples were </w:t>
            </w:r>
            <w:r w:rsidR="000D446E" w:rsidRPr="000D446E">
              <w:rPr>
                <w:rFonts w:ascii="Noto Sans" w:eastAsia="Noto Sans" w:hAnsi="Noto Sans" w:cs="Noto Sans"/>
                <w:bCs/>
                <w:color w:val="434343"/>
                <w:sz w:val="18"/>
                <w:szCs w:val="18"/>
              </w:rPr>
              <w:t>included</w:t>
            </w:r>
            <w:r w:rsidR="00096DDF">
              <w:rPr>
                <w:rFonts w:ascii="Noto Sans" w:eastAsia="Noto Sans" w:hAnsi="Noto Sans" w:cs="Noto Sans"/>
                <w:bCs/>
                <w:color w:val="434343"/>
                <w:sz w:val="18"/>
                <w:szCs w:val="18"/>
              </w:rPr>
              <w:t xml:space="preserve"> in the analysis.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rsidTr="00E62BAB">
        <w:trPr>
          <w:trHeight w:val="425"/>
        </w:trPr>
        <w:tc>
          <w:tcPr>
            <w:tcW w:w="282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587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rsidTr="00E62BAB">
        <w:trPr>
          <w:trHeight w:val="425"/>
        </w:trPr>
        <w:tc>
          <w:tcPr>
            <w:tcW w:w="28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58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272FE349" w:rsidR="00F102CC" w:rsidRDefault="00BA6F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Materials and methods-statistical analysis; figure legends </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rsidTr="00E62BAB">
        <w:trPr>
          <w:trHeight w:val="650"/>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678AC026" w:rsidR="000D446E" w:rsidRPr="003D5AF6" w:rsidRDefault="00E62BAB" w:rsidP="00E62BAB">
            <w:pPr>
              <w:spacing w:line="225" w:lineRule="auto"/>
              <w:rPr>
                <w:rFonts w:ascii="Noto Sans" w:eastAsia="Noto Sans" w:hAnsi="Noto Sans" w:cs="Noto Sans"/>
                <w:bCs/>
                <w:color w:val="434343"/>
                <w:sz w:val="18"/>
                <w:szCs w:val="18"/>
              </w:rPr>
            </w:pPr>
            <w:r w:rsidRPr="00E62BAB">
              <w:rPr>
                <w:rFonts w:ascii="Noto Sans" w:eastAsia="Noto Sans" w:hAnsi="Noto Sans" w:cs="Noto Sans"/>
                <w:bCs/>
                <w:color w:val="434343"/>
                <w:sz w:val="18"/>
                <w:szCs w:val="18"/>
              </w:rPr>
              <w:t xml:space="preserve">All experiments were </w:t>
            </w:r>
            <w:r w:rsidR="002C546E">
              <w:rPr>
                <w:rFonts w:ascii="Noto Sans" w:eastAsia="Noto Sans" w:hAnsi="Noto Sans" w:cs="Noto Sans"/>
                <w:bCs/>
                <w:color w:val="434343"/>
                <w:sz w:val="18"/>
                <w:szCs w:val="18"/>
              </w:rPr>
              <w:t>performed</w:t>
            </w:r>
            <w:r w:rsidR="00265763">
              <w:rPr>
                <w:rFonts w:ascii="Noto Sans" w:eastAsia="Noto Sans" w:hAnsi="Noto Sans" w:cs="Noto Sans"/>
                <w:bCs/>
                <w:color w:val="434343"/>
                <w:sz w:val="18"/>
                <w:szCs w:val="18"/>
              </w:rPr>
              <w:t xml:space="preserve"> independently three times</w:t>
            </w:r>
            <w:r w:rsidR="009D3F2D">
              <w:rPr>
                <w:rFonts w:ascii="Noto Sans" w:eastAsia="Noto Sans" w:hAnsi="Noto Sans" w:cs="Noto Sans"/>
                <w:bCs/>
                <w:color w:val="434343"/>
                <w:sz w:val="18"/>
                <w:szCs w:val="18"/>
              </w:rPr>
              <w:t xml:space="preserve">, </w:t>
            </w:r>
            <w:r w:rsidR="00922827">
              <w:rPr>
                <w:rFonts w:ascii="Noto Sans" w:eastAsia="Noto Sans" w:hAnsi="Noto Sans" w:cs="Noto Sans"/>
                <w:bCs/>
                <w:color w:val="434343"/>
                <w:sz w:val="18"/>
                <w:szCs w:val="18"/>
              </w:rPr>
              <w:t>unless otherwise indicate</w:t>
            </w:r>
            <w:r w:rsidR="00CD0A3D">
              <w:rPr>
                <w:rFonts w:ascii="Noto Sans" w:eastAsia="Noto Sans" w:hAnsi="Noto Sans" w:cs="Noto Sans"/>
                <w:bCs/>
                <w:color w:val="434343"/>
                <w:sz w:val="18"/>
                <w:szCs w:val="18"/>
              </w:rPr>
              <w:t xml:space="preserve">d in the manuscript.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E62BAB">
        <w:trPr>
          <w:trHeight w:val="38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631F7084" w:rsidR="00F102CC" w:rsidRPr="003D5AF6" w:rsidRDefault="00E62BAB" w:rsidP="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w:t>
            </w:r>
            <w:r w:rsidR="00EF66E8">
              <w:rPr>
                <w:rFonts w:ascii="Noto Sans" w:eastAsia="Noto Sans" w:hAnsi="Noto Sans" w:cs="Noto Sans"/>
                <w:bCs/>
                <w:color w:val="434343"/>
                <w:sz w:val="18"/>
                <w:szCs w:val="18"/>
              </w:rPr>
              <w:t xml:space="preserve"> represent independent biological replicates (N). The number of cells analyzed </w:t>
            </w:r>
            <w:r w:rsidR="0014173F">
              <w:rPr>
                <w:rFonts w:ascii="Noto Sans" w:eastAsia="Noto Sans" w:hAnsi="Noto Sans" w:cs="Noto Sans"/>
                <w:bCs/>
                <w:color w:val="434343"/>
                <w:sz w:val="18"/>
                <w:szCs w:val="18"/>
              </w:rPr>
              <w:t xml:space="preserve">(n) for the quantification is indicated in the corresponding figures or figure legends.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587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rsidTr="00E62BAB">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58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5D2422B4" w:rsidR="00F102CC" w:rsidRDefault="00FC407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E62BAB">
        <w:trPr>
          <w:trHeight w:val="784"/>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068201E"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rsidTr="00E62BAB">
        <w:trPr>
          <w:trHeight w:val="97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D2133C4"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42D91887" w:rsidR="00F102CC" w:rsidRPr="003D5AF6" w:rsidRDefault="00FC407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E62BAB">
        <w:trPr>
          <w:trHeight w:val="88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6A4AF7B7"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rsidTr="00E62BAB">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587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rsidTr="00E62BAB">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58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C9F4863" w:rsidR="00F102CC" w:rsidRDefault="002A154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rsidTr="00E62BAB">
        <w:trPr>
          <w:trHeight w:val="87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587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1F6FF30"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1CC3B7FB" w14:textId="77777777" w:rsidR="006E7D23" w:rsidRDefault="006E7D23">
      <w:pPr>
        <w:spacing w:line="227" w:lineRule="auto"/>
        <w:rPr>
          <w:rFonts w:ascii="Noto Sans" w:eastAsia="Noto Sans" w:hAnsi="Noto Sans" w:cs="Noto Sans"/>
          <w:b/>
          <w:color w:val="434343"/>
          <w:sz w:val="18"/>
          <w:szCs w:val="18"/>
        </w:rPr>
      </w:pPr>
    </w:p>
    <w:p w14:paraId="1074E22F" w14:textId="77777777" w:rsidR="006E7D23" w:rsidRDefault="006E7D23">
      <w:pPr>
        <w:spacing w:line="227" w:lineRule="auto"/>
        <w:rPr>
          <w:rFonts w:ascii="Noto Sans" w:eastAsia="Noto Sans" w:hAnsi="Noto Sans" w:cs="Noto Sans"/>
          <w:b/>
          <w:color w:val="434343"/>
          <w:sz w:val="18"/>
          <w:szCs w:val="18"/>
        </w:rPr>
      </w:pPr>
    </w:p>
    <w:p w14:paraId="37ECFF2F" w14:textId="77777777" w:rsidR="006E7D23" w:rsidRDefault="006E7D23">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2825"/>
        <w:gridCol w:w="5905"/>
        <w:gridCol w:w="975"/>
      </w:tblGrid>
      <w:tr w:rsidR="00F102CC" w14:paraId="34F8292A" w14:textId="77777777" w:rsidTr="00F87B23">
        <w:trPr>
          <w:trHeight w:val="425"/>
        </w:trPr>
        <w:tc>
          <w:tcPr>
            <w:tcW w:w="28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59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2D577D74" w:rsidR="00F102CC" w:rsidRDefault="002D2173">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Materials and methods-Quantitative analyses, statistical analysis</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F87B23">
        <w:trPr>
          <w:trHeight w:val="1060"/>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76FA1DE3" w14:textId="77777777" w:rsidR="00F102CC" w:rsidRDefault="004044F1" w:rsidP="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All measurable samples w</w:t>
            </w:r>
            <w:r w:rsidR="00C26072">
              <w:rPr>
                <w:rFonts w:ascii="Noto Sans" w:eastAsia="Noto Sans" w:hAnsi="Noto Sans" w:cs="Noto Sans"/>
                <w:bCs/>
                <w:color w:val="434343"/>
                <w:sz w:val="18"/>
                <w:szCs w:val="18"/>
              </w:rPr>
              <w:t>ere included in the</w:t>
            </w:r>
            <w:r>
              <w:rPr>
                <w:rFonts w:ascii="Noto Sans" w:eastAsia="Noto Sans" w:hAnsi="Noto Sans" w:cs="Noto Sans"/>
                <w:bCs/>
                <w:color w:val="434343"/>
                <w:sz w:val="18"/>
                <w:szCs w:val="18"/>
              </w:rPr>
              <w:t xml:space="preserve"> analy</w:t>
            </w:r>
            <w:r w:rsidR="00C26072">
              <w:rPr>
                <w:rFonts w:ascii="Noto Sans" w:eastAsia="Noto Sans" w:hAnsi="Noto Sans" w:cs="Noto Sans"/>
                <w:bCs/>
                <w:color w:val="434343"/>
                <w:sz w:val="18"/>
                <w:szCs w:val="18"/>
              </w:rPr>
              <w:t>sis</w:t>
            </w:r>
            <w:r>
              <w:rPr>
                <w:rFonts w:ascii="Noto Sans" w:eastAsia="Noto Sans" w:hAnsi="Noto Sans" w:cs="Noto Sans"/>
                <w:bCs/>
                <w:color w:val="434343"/>
                <w:sz w:val="18"/>
                <w:szCs w:val="18"/>
              </w:rPr>
              <w:t>.</w:t>
            </w:r>
          </w:p>
          <w:p w14:paraId="2A306ED2" w14:textId="491A419B" w:rsidR="00C26072" w:rsidRPr="003D5AF6" w:rsidRDefault="00C26072" w:rsidP="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No samples or data points were intentionally excluded.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rsidTr="00F87B23">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590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rsidTr="00F87B23">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59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54BC95DA" w:rsidR="00F102CC" w:rsidRDefault="003C5593">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Materials and methods-statistical analysis, figure legends</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F87B23">
        <w:trPr>
          <w:trHeight w:val="41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2E60C4E0" w14:textId="4F7E87C3" w:rsidR="00F102CC" w:rsidRDefault="003E2434" w:rsidP="005C67DC">
            <w:pPr>
              <w:spacing w:line="225" w:lineRule="auto"/>
              <w:jc w:val="both"/>
              <w:rPr>
                <w:rFonts w:ascii="Noto Sans" w:eastAsia="Noto Sans" w:hAnsi="Noto Sans" w:cs="Noto Sans"/>
                <w:bCs/>
                <w:color w:val="434343"/>
                <w:sz w:val="18"/>
                <w:szCs w:val="18"/>
              </w:rPr>
            </w:pPr>
            <w:r>
              <w:rPr>
                <w:rFonts w:ascii="Noto Sans" w:eastAsia="Noto Sans" w:hAnsi="Noto Sans" w:cs="Noto Sans"/>
                <w:bCs/>
                <w:color w:val="434343"/>
                <w:sz w:val="18"/>
                <w:szCs w:val="18"/>
              </w:rPr>
              <w:t>Statistical significance for bar graphs and stacked column plots was assesse</w:t>
            </w:r>
            <w:r w:rsidR="00574C78">
              <w:rPr>
                <w:rFonts w:ascii="Noto Sans" w:eastAsia="Noto Sans" w:hAnsi="Noto Sans" w:cs="Noto Sans"/>
                <w:bCs/>
                <w:color w:val="434343"/>
                <w:sz w:val="18"/>
                <w:szCs w:val="18"/>
              </w:rPr>
              <w:t>d</w:t>
            </w:r>
            <w:r>
              <w:rPr>
                <w:rFonts w:ascii="Noto Sans" w:eastAsia="Noto Sans" w:hAnsi="Noto Sans" w:cs="Noto Sans"/>
                <w:bCs/>
                <w:color w:val="434343"/>
                <w:sz w:val="18"/>
                <w:szCs w:val="18"/>
              </w:rPr>
              <w:t xml:space="preserve"> using </w:t>
            </w:r>
            <w:r w:rsidR="001542E3">
              <w:rPr>
                <w:rFonts w:ascii="Noto Sans" w:eastAsia="Noto Sans" w:hAnsi="Noto Sans" w:cs="Noto Sans"/>
                <w:bCs/>
                <w:color w:val="434343"/>
                <w:sz w:val="18"/>
                <w:szCs w:val="18"/>
              </w:rPr>
              <w:t>o</w:t>
            </w:r>
            <w:r>
              <w:rPr>
                <w:rFonts w:ascii="Noto Sans" w:eastAsia="Noto Sans" w:hAnsi="Noto Sans" w:cs="Noto Sans"/>
                <w:bCs/>
                <w:color w:val="434343"/>
                <w:sz w:val="18"/>
                <w:szCs w:val="18"/>
              </w:rPr>
              <w:t>ne-way ANOVA with Tukey’s multiple-comparison test.</w:t>
            </w:r>
            <w:r w:rsidR="00BA0FED">
              <w:rPr>
                <w:rFonts w:ascii="Noto Sans" w:eastAsia="Noto Sans" w:hAnsi="Noto Sans" w:cs="Noto Sans"/>
                <w:bCs/>
                <w:color w:val="434343"/>
                <w:sz w:val="18"/>
                <w:szCs w:val="18"/>
              </w:rPr>
              <w:t xml:space="preserve"> </w:t>
            </w:r>
            <w:r>
              <w:rPr>
                <w:rFonts w:ascii="Noto Sans" w:eastAsia="Noto Sans" w:hAnsi="Noto Sans" w:cs="Noto Sans"/>
                <w:bCs/>
                <w:color w:val="434343"/>
                <w:sz w:val="18"/>
                <w:szCs w:val="18"/>
              </w:rPr>
              <w:t>The data involving the residence time were analyzed using</w:t>
            </w:r>
            <w:r w:rsidR="0094434A">
              <w:rPr>
                <w:rFonts w:ascii="Noto Sans" w:eastAsia="Noto Sans" w:hAnsi="Noto Sans" w:cs="Noto Sans"/>
                <w:bCs/>
                <w:color w:val="434343"/>
                <w:sz w:val="18"/>
                <w:szCs w:val="18"/>
              </w:rPr>
              <w:t xml:space="preserve"> the Kruskal-Wallis nonparametric test</w:t>
            </w:r>
            <w:r w:rsidR="00BA0FED">
              <w:rPr>
                <w:rFonts w:ascii="Noto Sans" w:eastAsia="Noto Sans" w:hAnsi="Noto Sans" w:cs="Noto Sans"/>
                <w:bCs/>
                <w:color w:val="434343"/>
                <w:sz w:val="18"/>
                <w:szCs w:val="18"/>
              </w:rPr>
              <w:t>.</w:t>
            </w:r>
            <w:r>
              <w:rPr>
                <w:rFonts w:ascii="Noto Sans" w:eastAsia="Noto Sans" w:hAnsi="Noto Sans" w:cs="Noto Sans"/>
                <w:bCs/>
                <w:color w:val="434343"/>
                <w:sz w:val="18"/>
                <w:szCs w:val="18"/>
              </w:rPr>
              <w:t xml:space="preserve">  </w:t>
            </w:r>
          </w:p>
          <w:p w14:paraId="49712AA5" w14:textId="77777777" w:rsidR="00BA0FED" w:rsidRDefault="00BA0FED" w:rsidP="005C67DC">
            <w:pPr>
              <w:spacing w:line="225" w:lineRule="auto"/>
              <w:jc w:val="both"/>
              <w:rPr>
                <w:rFonts w:ascii="Noto Sans" w:eastAsia="Noto Sans" w:hAnsi="Noto Sans" w:cs="Noto Sans"/>
                <w:bCs/>
                <w:color w:val="434343"/>
                <w:sz w:val="18"/>
                <w:szCs w:val="18"/>
              </w:rPr>
            </w:pPr>
          </w:p>
          <w:p w14:paraId="54E0127B" w14:textId="13C3F40E" w:rsidR="00BA0FED" w:rsidRPr="003D5AF6" w:rsidRDefault="00BA0FED" w:rsidP="005C67DC">
            <w:pPr>
              <w:spacing w:line="225" w:lineRule="auto"/>
              <w:jc w:val="both"/>
              <w:rPr>
                <w:rFonts w:ascii="Noto Sans" w:eastAsia="Noto Sans" w:hAnsi="Noto Sans" w:cs="Noto Sans"/>
                <w:bCs/>
                <w:color w:val="434343"/>
                <w:sz w:val="18"/>
                <w:szCs w:val="18"/>
              </w:rPr>
            </w:pPr>
            <w:r>
              <w:rPr>
                <w:rFonts w:ascii="Noto Sans" w:eastAsia="Noto Sans" w:hAnsi="Noto Sans" w:cs="Noto Sans"/>
                <w:bCs/>
                <w:color w:val="434343"/>
                <w:sz w:val="18"/>
                <w:szCs w:val="18"/>
              </w:rPr>
              <w:t>Statistical analyses were performed in GraphPad Prism v6.04. A p-value</w:t>
            </w:r>
            <w:r w:rsidR="00A02379">
              <w:rPr>
                <w:rFonts w:ascii="Noto Sans" w:eastAsia="Noto Sans" w:hAnsi="Noto Sans" w:cs="Noto Sans"/>
                <w:bCs/>
                <w:color w:val="434343"/>
                <w:sz w:val="18"/>
                <w:szCs w:val="18"/>
              </w:rPr>
              <w:t xml:space="preserve"> corresponding to &lt;0.05 was considered </w:t>
            </w:r>
            <w:r w:rsidR="005C4166">
              <w:rPr>
                <w:rFonts w:ascii="Noto Sans" w:eastAsia="Noto Sans" w:hAnsi="Noto Sans" w:cs="Noto Sans"/>
                <w:bCs/>
                <w:color w:val="434343"/>
                <w:sz w:val="18"/>
                <w:szCs w:val="18"/>
              </w:rPr>
              <w:t xml:space="preserve">statistically significant. </w:t>
            </w:r>
            <w:r w:rsidR="003010FC">
              <w:rPr>
                <w:rFonts w:ascii="Noto Sans" w:eastAsia="Noto Sans" w:hAnsi="Noto Sans" w:cs="Noto Sans"/>
                <w:bCs/>
                <w:color w:val="434343"/>
                <w:sz w:val="18"/>
                <w:szCs w:val="18"/>
              </w:rPr>
              <w:t>The number of cells analyzed is reported with the corresponding figures</w:t>
            </w:r>
            <w:r w:rsidR="00C76565">
              <w:rPr>
                <w:rFonts w:ascii="Noto Sans" w:eastAsia="Noto Sans" w:hAnsi="Noto Sans" w:cs="Noto Sans"/>
                <w:bCs/>
                <w:color w:val="434343"/>
                <w:sz w:val="18"/>
                <w:szCs w:val="18"/>
              </w:rPr>
              <w:t xml:space="preserve"> or figure legends. </w:t>
            </w:r>
            <w:r w:rsidR="003010FC">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rsidTr="00F87B23">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590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rsidTr="00F87B23">
        <w:trPr>
          <w:trHeight w:val="42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59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5CA78832" w:rsidR="00F102CC" w:rsidRDefault="00C865A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Data availability section </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F87B23">
        <w:trPr>
          <w:trHeight w:val="82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01E1DAA4" w14:textId="77777777" w:rsidR="006E2C83" w:rsidRDefault="006E0A45" w:rsidP="00F87B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data generated or analyzed during this study are included in the manuscript and its supporting files. </w:t>
            </w:r>
          </w:p>
          <w:p w14:paraId="5E168382" w14:textId="77777777" w:rsidR="006E2C83" w:rsidRDefault="006E2C83" w:rsidP="00F87B23">
            <w:pPr>
              <w:spacing w:line="225" w:lineRule="auto"/>
              <w:rPr>
                <w:rFonts w:ascii="Noto Sans" w:eastAsia="Noto Sans" w:hAnsi="Noto Sans" w:cs="Noto Sans"/>
                <w:bCs/>
                <w:color w:val="434343"/>
                <w:sz w:val="18"/>
                <w:szCs w:val="18"/>
              </w:rPr>
            </w:pPr>
          </w:p>
          <w:p w14:paraId="4790A381" w14:textId="2F0DF5DE" w:rsidR="00F102CC" w:rsidRPr="003D5AF6" w:rsidRDefault="006E2C83" w:rsidP="00F87B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Source data files containing </w:t>
            </w:r>
            <w:r w:rsidR="005C0A2E">
              <w:rPr>
                <w:rFonts w:ascii="Noto Sans" w:eastAsia="Noto Sans" w:hAnsi="Noto Sans" w:cs="Noto Sans"/>
                <w:bCs/>
                <w:color w:val="434343"/>
                <w:sz w:val="18"/>
                <w:szCs w:val="18"/>
              </w:rPr>
              <w:t>the numerical data underlying the quantification in figure</w:t>
            </w:r>
            <w:r w:rsidR="00962C2C">
              <w:rPr>
                <w:rFonts w:ascii="Noto Sans" w:eastAsia="Noto Sans" w:hAnsi="Noto Sans" w:cs="Noto Sans"/>
                <w:bCs/>
                <w:color w:val="434343"/>
                <w:sz w:val="18"/>
                <w:szCs w:val="18"/>
              </w:rPr>
              <w:t>s</w:t>
            </w:r>
            <w:r w:rsidR="005C0A2E">
              <w:rPr>
                <w:rFonts w:ascii="Noto Sans" w:eastAsia="Noto Sans" w:hAnsi="Noto Sans" w:cs="Noto Sans"/>
                <w:bCs/>
                <w:color w:val="434343"/>
                <w:sz w:val="18"/>
                <w:szCs w:val="18"/>
              </w:rPr>
              <w:t xml:space="preserve"> and figure supplements, as well as the uncropped western blot images </w:t>
            </w:r>
            <w:r w:rsidR="0076110C">
              <w:rPr>
                <w:rFonts w:ascii="Noto Sans" w:eastAsia="Noto Sans" w:hAnsi="Noto Sans" w:cs="Noto Sans"/>
                <w:bCs/>
                <w:color w:val="434343"/>
                <w:sz w:val="18"/>
                <w:szCs w:val="18"/>
              </w:rPr>
              <w:t>underlying</w:t>
            </w:r>
            <w:r w:rsidR="005C0A2E">
              <w:rPr>
                <w:rFonts w:ascii="Noto Sans" w:eastAsia="Noto Sans" w:hAnsi="Noto Sans" w:cs="Noto Sans"/>
                <w:bCs/>
                <w:color w:val="434343"/>
                <w:sz w:val="18"/>
                <w:szCs w:val="18"/>
              </w:rPr>
              <w:t xml:space="preserve"> the in vitro binding experiments have been provided.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rsidTr="00F87B23">
        <w:trPr>
          <w:trHeight w:val="87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5F0E166" w:rsidR="00F102CC" w:rsidRPr="003D5AF6" w:rsidRDefault="00F102CC" w:rsidP="004044F1">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F87B23">
        <w:trPr>
          <w:trHeight w:val="706"/>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35703703"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rsidTr="00F87B23">
        <w:trPr>
          <w:trHeight w:val="425"/>
        </w:trPr>
        <w:tc>
          <w:tcPr>
            <w:tcW w:w="2825" w:type="dxa"/>
            <w:tcBorders>
              <w:top w:val="nil"/>
              <w:left w:val="nil"/>
              <w:bottom w:val="single" w:sz="8" w:space="0" w:color="000000"/>
              <w:right w:val="nil"/>
            </w:tcBorders>
            <w:tcMar>
              <w:top w:w="100" w:type="dxa"/>
              <w:left w:w="100" w:type="dxa"/>
              <w:bottom w:w="100" w:type="dxa"/>
              <w:right w:w="100" w:type="dxa"/>
            </w:tcMar>
          </w:tcPr>
          <w:p w14:paraId="6E090954" w14:textId="77777777" w:rsidR="006E7D23" w:rsidRPr="003D5AF6" w:rsidRDefault="006E7D23">
            <w:pPr>
              <w:rPr>
                <w:rFonts w:ascii="Noto Sans" w:eastAsia="Noto Sans" w:hAnsi="Noto Sans" w:cs="Noto Sans"/>
                <w:b/>
                <w:color w:val="434343"/>
                <w:sz w:val="16"/>
                <w:szCs w:val="16"/>
                <w:highlight w:val="white"/>
              </w:rPr>
            </w:pPr>
          </w:p>
        </w:tc>
        <w:tc>
          <w:tcPr>
            <w:tcW w:w="590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rsidTr="00F87B23">
        <w:trPr>
          <w:trHeight w:val="635"/>
        </w:trPr>
        <w:tc>
          <w:tcPr>
            <w:tcW w:w="282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59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00437D2B" w:rsidR="00F102CC" w:rsidRDefault="00E23218">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F87B23">
        <w:trPr>
          <w:trHeight w:val="134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7476284D"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F87B23">
        <w:trPr>
          <w:trHeight w:val="1080"/>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0EDD84FC"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rsidTr="00F87B23">
        <w:trPr>
          <w:trHeight w:val="720"/>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347815E9" w:rsidR="00F102CC" w:rsidRPr="003D5AF6" w:rsidRDefault="00E62BA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AA9A60B" w:rsidR="00F102CC" w:rsidRDefault="00E2509A">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03DCC77" w:rsidR="00F102CC" w:rsidRPr="003D5AF6" w:rsidRDefault="00F87B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FB18B9">
      <w:pPr>
        <w:spacing w:before="80"/>
      </w:pPr>
      <w:r>
        <w:pict w14:anchorId="7E4E501D">
          <v:rect id="Horizontal Line 1" o:spid="_x0000_s2050" alt="" style="width:482.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6B712F" w14:textId="77777777" w:rsidR="00FB18B9" w:rsidRDefault="00FB18B9">
      <w:r>
        <w:separator/>
      </w:r>
    </w:p>
  </w:endnote>
  <w:endnote w:type="continuationSeparator" w:id="0">
    <w:p w14:paraId="65593CC2" w14:textId="77777777" w:rsidR="00FB18B9" w:rsidRDefault="00FB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542206CA" w:rsidR="00E62BAB" w:rsidRDefault="00E62BAB">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E64FDD">
      <w:rPr>
        <w:noProof/>
        <w:color w:val="000000"/>
      </w:rPr>
      <w:t>6</w:t>
    </w:r>
    <w:r>
      <w:rPr>
        <w:color w:val="000000"/>
      </w:rPr>
      <w:fldChar w:fldCharType="end"/>
    </w:r>
  </w:p>
  <w:p w14:paraId="674BA7DB" w14:textId="77777777" w:rsidR="00E62BAB" w:rsidRDefault="00E62BA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7AAC10" w14:textId="77777777" w:rsidR="00FB18B9" w:rsidRDefault="00FB18B9">
      <w:r>
        <w:separator/>
      </w:r>
    </w:p>
  </w:footnote>
  <w:footnote w:type="continuationSeparator" w:id="0">
    <w:p w14:paraId="12520CA9" w14:textId="77777777" w:rsidR="00FB18B9" w:rsidRDefault="00FB1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E62BAB" w:rsidRDefault="00E62BAB">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E62BAB" w:rsidRDefault="00E62BAB">
    <w:pPr>
      <w:pStyle w:val="Header"/>
    </w:pPr>
    <w:r>
      <w:rPr>
        <w:noProof/>
        <w:lang w:val="en-IN" w:eastAsia="en-IN"/>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444FB2"/>
    <w:multiLevelType w:val="hybridMultilevel"/>
    <w:tmpl w:val="26AC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472F86"/>
    <w:multiLevelType w:val="hybridMultilevel"/>
    <w:tmpl w:val="C494E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F7102D"/>
    <w:multiLevelType w:val="hybridMultilevel"/>
    <w:tmpl w:val="0B96B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0220868">
    <w:abstractNumId w:val="3"/>
  </w:num>
  <w:num w:numId="2" w16cid:durableId="1653216828">
    <w:abstractNumId w:val="1"/>
  </w:num>
  <w:num w:numId="3" w16cid:durableId="1622221674">
    <w:abstractNumId w:val="2"/>
  </w:num>
  <w:num w:numId="4" w16cid:durableId="119417384">
    <w:abstractNumId w:val="5"/>
  </w:num>
  <w:num w:numId="5" w16cid:durableId="279998357">
    <w:abstractNumId w:val="6"/>
  </w:num>
  <w:num w:numId="6" w16cid:durableId="1481536669">
    <w:abstractNumId w:val="4"/>
  </w:num>
  <w:num w:numId="7" w16cid:durableId="10661493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8"/>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001C5"/>
    <w:rsid w:val="00096DDF"/>
    <w:rsid w:val="000A3666"/>
    <w:rsid w:val="000A6143"/>
    <w:rsid w:val="000B600B"/>
    <w:rsid w:val="000D446E"/>
    <w:rsid w:val="000E6032"/>
    <w:rsid w:val="0014173F"/>
    <w:rsid w:val="001542E3"/>
    <w:rsid w:val="0017795D"/>
    <w:rsid w:val="0019049E"/>
    <w:rsid w:val="001A49E0"/>
    <w:rsid w:val="001B3BCC"/>
    <w:rsid w:val="001D4144"/>
    <w:rsid w:val="001E74AA"/>
    <w:rsid w:val="0020135A"/>
    <w:rsid w:val="00214F73"/>
    <w:rsid w:val="002161D6"/>
    <w:rsid w:val="0021753E"/>
    <w:rsid w:val="002209A8"/>
    <w:rsid w:val="00227B1C"/>
    <w:rsid w:val="00252710"/>
    <w:rsid w:val="00265763"/>
    <w:rsid w:val="00273182"/>
    <w:rsid w:val="0029489E"/>
    <w:rsid w:val="002A154B"/>
    <w:rsid w:val="002C546E"/>
    <w:rsid w:val="002D2173"/>
    <w:rsid w:val="002D4988"/>
    <w:rsid w:val="002E2868"/>
    <w:rsid w:val="002F32C5"/>
    <w:rsid w:val="003010FC"/>
    <w:rsid w:val="00315EF5"/>
    <w:rsid w:val="00341F59"/>
    <w:rsid w:val="003C5593"/>
    <w:rsid w:val="003D5AF6"/>
    <w:rsid w:val="003E2434"/>
    <w:rsid w:val="003E2CB6"/>
    <w:rsid w:val="003F7703"/>
    <w:rsid w:val="00400C53"/>
    <w:rsid w:val="004044F1"/>
    <w:rsid w:val="00427975"/>
    <w:rsid w:val="00440956"/>
    <w:rsid w:val="00444E69"/>
    <w:rsid w:val="004815E7"/>
    <w:rsid w:val="004B2F87"/>
    <w:rsid w:val="004E2C31"/>
    <w:rsid w:val="004F5CA1"/>
    <w:rsid w:val="00502E7C"/>
    <w:rsid w:val="00574C78"/>
    <w:rsid w:val="005B0259"/>
    <w:rsid w:val="005C0A2E"/>
    <w:rsid w:val="005C4166"/>
    <w:rsid w:val="005C67DC"/>
    <w:rsid w:val="005D3B9B"/>
    <w:rsid w:val="006369EE"/>
    <w:rsid w:val="006C6710"/>
    <w:rsid w:val="006D7FB3"/>
    <w:rsid w:val="006E0A45"/>
    <w:rsid w:val="006E2C83"/>
    <w:rsid w:val="006E7D23"/>
    <w:rsid w:val="007054B6"/>
    <w:rsid w:val="00743D0A"/>
    <w:rsid w:val="0076110C"/>
    <w:rsid w:val="0078687E"/>
    <w:rsid w:val="00794C49"/>
    <w:rsid w:val="007E0799"/>
    <w:rsid w:val="00876CD9"/>
    <w:rsid w:val="008C30DB"/>
    <w:rsid w:val="008D7DD0"/>
    <w:rsid w:val="00900A4F"/>
    <w:rsid w:val="00913784"/>
    <w:rsid w:val="00922827"/>
    <w:rsid w:val="0094434A"/>
    <w:rsid w:val="00962C2C"/>
    <w:rsid w:val="00985E72"/>
    <w:rsid w:val="009C77AB"/>
    <w:rsid w:val="009C7B26"/>
    <w:rsid w:val="009D2D13"/>
    <w:rsid w:val="009D3F2D"/>
    <w:rsid w:val="00A0094E"/>
    <w:rsid w:val="00A02379"/>
    <w:rsid w:val="00A1007C"/>
    <w:rsid w:val="00A11E52"/>
    <w:rsid w:val="00A4249B"/>
    <w:rsid w:val="00A858E4"/>
    <w:rsid w:val="00AD6084"/>
    <w:rsid w:val="00B0042A"/>
    <w:rsid w:val="00B2483D"/>
    <w:rsid w:val="00B74DFD"/>
    <w:rsid w:val="00B9345B"/>
    <w:rsid w:val="00BA0FED"/>
    <w:rsid w:val="00BA6F75"/>
    <w:rsid w:val="00BD41E9"/>
    <w:rsid w:val="00C2205B"/>
    <w:rsid w:val="00C26072"/>
    <w:rsid w:val="00C76565"/>
    <w:rsid w:val="00C84413"/>
    <w:rsid w:val="00C850D9"/>
    <w:rsid w:val="00C865AB"/>
    <w:rsid w:val="00C94950"/>
    <w:rsid w:val="00C956BE"/>
    <w:rsid w:val="00CC3CEE"/>
    <w:rsid w:val="00CD0A3D"/>
    <w:rsid w:val="00CD29AF"/>
    <w:rsid w:val="00CF141D"/>
    <w:rsid w:val="00D033A9"/>
    <w:rsid w:val="00D108F3"/>
    <w:rsid w:val="00D65196"/>
    <w:rsid w:val="00E1649F"/>
    <w:rsid w:val="00E23218"/>
    <w:rsid w:val="00E2509A"/>
    <w:rsid w:val="00E62BAB"/>
    <w:rsid w:val="00E64FDD"/>
    <w:rsid w:val="00E67745"/>
    <w:rsid w:val="00E7364E"/>
    <w:rsid w:val="00EA286C"/>
    <w:rsid w:val="00EB123E"/>
    <w:rsid w:val="00EF66E8"/>
    <w:rsid w:val="00F04857"/>
    <w:rsid w:val="00F102CC"/>
    <w:rsid w:val="00F50FAE"/>
    <w:rsid w:val="00F87B23"/>
    <w:rsid w:val="00F91042"/>
    <w:rsid w:val="00F94DF4"/>
    <w:rsid w:val="00FB18B9"/>
    <w:rsid w:val="00FC407F"/>
    <w:rsid w:val="00FE2126"/>
    <w:rsid w:val="00FF0B21"/>
    <w:rsid w:val="00FF40F8"/>
    <w:rsid w:val="00FF7A6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F87B23"/>
    <w:rPr>
      <w:color w:val="0000FF" w:themeColor="hyperlink"/>
      <w:u w:val="single"/>
    </w:rPr>
  </w:style>
  <w:style w:type="character" w:styleId="FollowedHyperlink">
    <w:name w:val="FollowedHyperlink"/>
    <w:basedOn w:val="DefaultParagraphFont"/>
    <w:uiPriority w:val="99"/>
    <w:semiHidden/>
    <w:unhideWhenUsed/>
    <w:rsid w:val="00F87B23"/>
    <w:rPr>
      <w:color w:val="800080" w:themeColor="followedHyperlink"/>
      <w:u w:val="single"/>
    </w:rPr>
  </w:style>
  <w:style w:type="table" w:styleId="TableGrid">
    <w:name w:val="Table Grid"/>
    <w:basedOn w:val="TableNormal"/>
    <w:uiPriority w:val="39"/>
    <w:rsid w:val="003F7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753E"/>
    <w:rPr>
      <w:color w:val="605E5C"/>
      <w:shd w:val="clear" w:color="auto" w:fill="E1DFDD"/>
    </w:rPr>
  </w:style>
  <w:style w:type="paragraph" w:styleId="ListParagraph">
    <w:name w:val="List Paragraph"/>
    <w:basedOn w:val="Normal"/>
    <w:uiPriority w:val="34"/>
    <w:qFormat/>
    <w:rsid w:val="00FF0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mailto:spalani@iisc.ac.i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scicrunch.org/resources"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7</Pages>
  <Words>1882</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Saravanan Palani</cp:lastModifiedBy>
  <cp:revision>93</cp:revision>
  <dcterms:created xsi:type="dcterms:W3CDTF">2022-02-28T12:21:00Z</dcterms:created>
  <dcterms:modified xsi:type="dcterms:W3CDTF">2026-07-30T07:22:00Z</dcterms:modified>
</cp:coreProperties>
</file>