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CEF1" w14:textId="082C151D" w:rsidR="00857B85" w:rsidRPr="009E74FF" w:rsidRDefault="00857B85" w:rsidP="00857B85">
      <w:pPr>
        <w:pStyle w:val="Lgende"/>
        <w:keepNext/>
        <w:spacing w:line="360" w:lineRule="auto"/>
        <w:rPr>
          <w:b/>
          <w:bCs/>
          <w:color w:val="auto"/>
          <w:sz w:val="22"/>
          <w:szCs w:val="22"/>
        </w:rPr>
      </w:pPr>
    </w:p>
    <w:tbl>
      <w:tblPr>
        <w:tblW w:w="9215" w:type="dxa"/>
        <w:tblInd w:w="-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00" w:firstRow="0" w:lastRow="0" w:firstColumn="0" w:lastColumn="0" w:noHBand="1" w:noVBand="1"/>
      </w:tblPr>
      <w:tblGrid>
        <w:gridCol w:w="1843"/>
        <w:gridCol w:w="1468"/>
        <w:gridCol w:w="998"/>
        <w:gridCol w:w="1276"/>
        <w:gridCol w:w="2006"/>
        <w:gridCol w:w="1624"/>
      </w:tblGrid>
      <w:tr w:rsidR="00857B85" w14:paraId="06412077" w14:textId="77777777" w:rsidTr="00B904BB">
        <w:trPr>
          <w:trHeight w:val="26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29F2AE25" w14:textId="77777777" w:rsidR="00857B85" w:rsidRDefault="00857B85" w:rsidP="00B904B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5E0F9CED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CdP</w:t>
            </w:r>
            <w:proofErr w:type="spellEnd"/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180427FC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Utrecht University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727EB9F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Inserm </w:t>
            </w:r>
          </w:p>
          <w:p w14:paraId="02B26879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Oxford University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115E8EC0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Japan Monkey Center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vAlign w:val="center"/>
          </w:tcPr>
          <w:p w14:paraId="73971658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857B85" w14:paraId="7453EE16" w14:textId="77777777" w:rsidTr="00B904BB">
        <w:trPr>
          <w:trHeight w:val="14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0B871754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arctoides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[3]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976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C2D5B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C018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2FDC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AEE47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57B85" w14:paraId="5D7A2B63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52E1A918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fascicularis [2]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0D52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E5EC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622A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22E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3E7A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7B85" w14:paraId="00D7EBE5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32DF574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fuscata [1]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3D7E5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E404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41C8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979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BA25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57B85" w14:paraId="2F0A6832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76816A7C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mulatta [1]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EFD0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BCC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0D45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F25E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263A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57B85" w14:paraId="784BEBFC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3D4C1A0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nemestrina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[2]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EA26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8536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49365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788F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F696A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57B85" w14:paraId="32E60BCA" w14:textId="77777777" w:rsidTr="00B904BB">
        <w:trPr>
          <w:trHeight w:val="45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13A912A5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nigra [4]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ED3A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5A72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8DC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00D1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3EFD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57B85" w14:paraId="2A53879E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3E5F0CB0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silenus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[3]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6A0A4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923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0B4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00DE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1A3B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57B85" w14:paraId="28980C40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618678D6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sinica [3]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8BAC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92ED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68A34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CB27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5DF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57B85" w14:paraId="152134C6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6C1AB137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sylvanus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[3]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D6D2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AFC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3695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DDDF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A1E82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57B85" w14:paraId="773F8742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35F257B6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thibetana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[2]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BB68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159E7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2B396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02B9B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8FE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57B85" w14:paraId="5E2D4724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5B34DB19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M. </w:t>
            </w:r>
            <w:proofErr w:type="spellStart"/>
            <w:r>
              <w:rPr>
                <w:i/>
                <w:iCs/>
                <w:sz w:val="20"/>
                <w:szCs w:val="20"/>
              </w:rPr>
              <w:t>tonkeana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[4]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62C1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75329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E4B0C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EEA4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CD6E8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7B85" w14:paraId="0076EA3A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0A0F0726" w14:textId="77777777" w:rsidR="00857B85" w:rsidRDefault="00857B85" w:rsidP="00B904B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M. radiata [3]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1F2D3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D876E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16DA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9D3E7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30C2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57B85" w14:paraId="5EA9BD65" w14:textId="77777777" w:rsidTr="00B904BB">
        <w:trPr>
          <w:trHeight w:val="1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14:paraId="6D04584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CB31A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FE11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BC1E5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A360D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84B9F" w14:textId="77777777" w:rsidR="00857B85" w:rsidRDefault="00857B85" w:rsidP="00B90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</w:tbl>
    <w:p w14:paraId="6F00B7BE" w14:textId="77777777" w:rsidR="00512DB6" w:rsidRDefault="00512DB6" w:rsidP="00512DB6">
      <w:pPr>
        <w:rPr>
          <w:b/>
          <w:bCs/>
        </w:rPr>
      </w:pPr>
    </w:p>
    <w:p w14:paraId="041D4226" w14:textId="0EF4094E" w:rsidR="00512DB6" w:rsidRPr="003C152A" w:rsidRDefault="00512DB6" w:rsidP="00512DB6">
      <w:r w:rsidRPr="00245D87">
        <w:rPr>
          <w:b/>
          <w:bCs/>
        </w:rPr>
        <w:t>Supplementary file S1</w:t>
      </w:r>
      <w:r w:rsidRPr="009E74FF">
        <w:rPr>
          <w:b/>
          <w:bCs/>
        </w:rPr>
        <w:t xml:space="preserve">: Species and data collection centers in the </w:t>
      </w:r>
      <w:r w:rsidRPr="009E74FF">
        <w:rPr>
          <w:b/>
          <w:bCs/>
        </w:rPr>
        <w:t>dataset</w:t>
      </w:r>
      <w:r>
        <w:rPr>
          <w:sz w:val="21"/>
          <w:szCs w:val="21"/>
        </w:rPr>
        <w:t xml:space="preserve">. </w:t>
      </w:r>
      <w:r w:rsidRPr="009D29B7">
        <w:rPr>
          <w:sz w:val="21"/>
          <w:szCs w:val="21"/>
        </w:rPr>
        <w:t>Summary</w:t>
      </w:r>
      <w:r w:rsidR="00857B85" w:rsidRPr="009D29B7">
        <w:rPr>
          <w:sz w:val="21"/>
          <w:szCs w:val="21"/>
        </w:rPr>
        <w:t xml:space="preserve"> table of our dataset detailing the macaque spec</w:t>
      </w:r>
      <w:r w:rsidR="00857B85">
        <w:rPr>
          <w:sz w:val="21"/>
          <w:szCs w:val="21"/>
        </w:rPr>
        <w:t xml:space="preserve">ies, the social grades [x] and </w:t>
      </w:r>
      <w:r w:rsidR="00857B85" w:rsidRPr="009D29B7">
        <w:rPr>
          <w:sz w:val="21"/>
          <w:szCs w:val="21"/>
        </w:rPr>
        <w:t>the centers they originate from.</w:t>
      </w:r>
      <w:r>
        <w:rPr>
          <w:sz w:val="21"/>
          <w:szCs w:val="21"/>
        </w:rPr>
        <w:t xml:space="preserve"> </w:t>
      </w:r>
      <w:r w:rsidRPr="003C152A">
        <w:t xml:space="preserve">The dataset includes brain imaging data from 42 individuals across 12 macaque species. Columns represent the collection centers: </w:t>
      </w:r>
      <w:proofErr w:type="spellStart"/>
      <w:r w:rsidRPr="003C152A">
        <w:t>CdP</w:t>
      </w:r>
      <w:proofErr w:type="spellEnd"/>
      <w:r w:rsidRPr="003C152A">
        <w:t xml:space="preserve"> </w:t>
      </w:r>
      <w:r w:rsidRPr="009E74FF">
        <w:t xml:space="preserve">(Centre de </w:t>
      </w:r>
      <w:proofErr w:type="spellStart"/>
      <w:r w:rsidRPr="009E74FF">
        <w:t>Primatologie</w:t>
      </w:r>
      <w:proofErr w:type="spellEnd"/>
      <w:r w:rsidRPr="009E74FF">
        <w:t xml:space="preserve"> de </w:t>
      </w:r>
      <w:proofErr w:type="spellStart"/>
      <w:r w:rsidRPr="009E74FF">
        <w:t>l’Université</w:t>
      </w:r>
      <w:proofErr w:type="spellEnd"/>
      <w:r w:rsidRPr="009E74FF">
        <w:t xml:space="preserve"> de Strasbourg, France),</w:t>
      </w:r>
      <w:r w:rsidRPr="003C152A">
        <w:t xml:space="preserve"> Utrecht University (Netherlands), </w:t>
      </w:r>
      <w:r>
        <w:t>INSERM-</w:t>
      </w:r>
      <w:r w:rsidRPr="003C152A">
        <w:t>Oxford University (</w:t>
      </w:r>
      <w:r>
        <w:t>Fr/</w:t>
      </w:r>
      <w:r w:rsidRPr="003C152A">
        <w:t>UK), and Japan Monkey Center (Japan). Each row corresponds to a macaque species, with the number of individuals collected from each center. The total count per species and per center is indicated in the final column and row, respectively.</w:t>
      </w:r>
      <w:r>
        <w:t xml:space="preserve"> The social grade of the species is indicated between brackets.</w:t>
      </w:r>
    </w:p>
    <w:p w14:paraId="47AE6BF5" w14:textId="77777777" w:rsidR="00023886" w:rsidRDefault="00023886"/>
    <w:sectPr w:rsidR="0002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85"/>
    <w:rsid w:val="00023886"/>
    <w:rsid w:val="00055E75"/>
    <w:rsid w:val="00136A77"/>
    <w:rsid w:val="00245D87"/>
    <w:rsid w:val="00512DB6"/>
    <w:rsid w:val="00522E48"/>
    <w:rsid w:val="0055120F"/>
    <w:rsid w:val="005A4768"/>
    <w:rsid w:val="00832191"/>
    <w:rsid w:val="0085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FCA5"/>
  <w15:chartTrackingRefBased/>
  <w15:docId w15:val="{64E14C11-307B-450E-B321-6E439DAE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85"/>
    <w:pPr>
      <w:spacing w:after="0" w:line="360" w:lineRule="auto"/>
      <w:jc w:val="both"/>
    </w:pPr>
    <w:rPr>
      <w:rFonts w:ascii="Arial" w:eastAsia="Arial" w:hAnsi="Arial" w:cs="Arial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57B8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Reviewer2</dc:creator>
  <cp:keywords/>
  <dc:description/>
  <cp:lastModifiedBy>Sébastien Ballesta</cp:lastModifiedBy>
  <cp:revision>3</cp:revision>
  <dcterms:created xsi:type="dcterms:W3CDTF">2026-01-21T14:17:00Z</dcterms:created>
  <dcterms:modified xsi:type="dcterms:W3CDTF">2026-01-22T20:14:00Z</dcterms:modified>
</cp:coreProperties>
</file>