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1F99552F" w:rsidR="00673CF2" w:rsidRDefault="00C35E8B" w:rsidP="000A2021">
            <w:pPr>
              <w:rPr>
                <w:sz w:val="18"/>
                <w:szCs w:val="18"/>
              </w:rPr>
            </w:pPr>
            <w:r>
              <w:t>n/a</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DA78B56"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F88BE" w:rsidR="002B6123" w:rsidRDefault="00C35E8B" w:rsidP="000A2021">
            <w:pPr>
              <w:rPr>
                <w:sz w:val="18"/>
                <w:szCs w:val="18"/>
              </w:rPr>
            </w:pPr>
            <w:r>
              <w:rPr>
                <w:sz w:val="18"/>
                <w:szCs w:val="18"/>
              </w:rPr>
              <w:t xml:space="preserve">Reagents are listed in </w:t>
            </w:r>
            <w:r w:rsidRPr="00C35E8B">
              <w:rPr>
                <w:sz w:val="18"/>
                <w:szCs w:val="18"/>
              </w:rPr>
              <w:t>Materials and Methods</w:t>
            </w:r>
            <w:r>
              <w:rPr>
                <w:sz w:val="18"/>
                <w:szCs w:val="18"/>
              </w:rPr>
              <w:t>; suppliers are listed where the information was available.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5865B820" w:rsidR="002B6123" w:rsidRDefault="00C35E8B" w:rsidP="000A2021">
            <w:pPr>
              <w:rPr>
                <w:sz w:val="18"/>
                <w:szCs w:val="18"/>
              </w:rPr>
            </w:pPr>
            <w:r>
              <w:t>n/a</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51558B7A" w:rsidR="00D350BE" w:rsidRDefault="00C35E8B" w:rsidP="000A2021">
            <w:pPr>
              <w:rPr>
                <w:sz w:val="18"/>
                <w:szCs w:val="18"/>
              </w:rPr>
            </w:pPr>
            <w: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1E5024D7" w:rsidR="00D350BE" w:rsidRDefault="006D57EE" w:rsidP="000A2021">
            <w:pPr>
              <w:rPr>
                <w:sz w:val="18"/>
                <w:szCs w:val="18"/>
              </w:rPr>
            </w:pPr>
            <w: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425EC8BA" w:rsidR="00D350BE" w:rsidRDefault="00C038B2" w:rsidP="000A2021">
            <w:pPr>
              <w:rPr>
                <w:sz w:val="18"/>
                <w:szCs w:val="18"/>
              </w:rPr>
            </w:pPr>
            <w:r>
              <w:rPr>
                <w:sz w:val="18"/>
                <w:szCs w:val="18"/>
              </w:rPr>
              <w:t>Details of mouse line (PV-CRE) and age (P21) are provided in 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7777777" w:rsidR="00D350BE" w:rsidRDefault="00D350BE" w:rsidP="004B5793">
            <w:pPr>
              <w:jc w:val="center"/>
              <w:rPr>
                <w:sz w:val="18"/>
                <w:szCs w:val="18"/>
              </w:rPr>
            </w:pP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12617CDC" w:rsidR="00D350BE" w:rsidRDefault="005B0BD0"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7777777" w:rsidR="00D350BE" w:rsidRDefault="00D350BE" w:rsidP="004B5793">
            <w:pPr>
              <w:jc w:val="center"/>
              <w:rPr>
                <w:sz w:val="18"/>
                <w:szCs w:val="18"/>
              </w:rPr>
            </w:pP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77777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4C26B9C1" w:rsidR="00D350BE" w:rsidRDefault="00835437"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D350BE" w:rsidRDefault="00D350BE" w:rsidP="004B5793">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5C0162BF" w:rsidR="002B6123" w:rsidRDefault="00D11F46" w:rsidP="000E66EA">
            <w:pPr>
              <w:pBdr>
                <w:top w:val="nil"/>
                <w:left w:val="nil"/>
                <w:bottom w:val="nil"/>
                <w:right w:val="nil"/>
                <w:between w:val="nil"/>
              </w:pBdr>
              <w:spacing w:line="227" w:lineRule="auto"/>
              <w:ind w:left="105"/>
              <w:rPr>
                <w:color w:val="000000"/>
                <w:sz w:val="18"/>
                <w:szCs w:val="18"/>
              </w:rPr>
            </w:pPr>
            <w:r>
              <w:rPr>
                <w:color w:val="000000"/>
                <w:sz w:val="18"/>
                <w:szCs w:val="18"/>
              </w:rPr>
              <w:t>This study was not pre-registered.</w:t>
            </w: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001596AF" w:rsidR="002B6123" w:rsidRDefault="00F90DE8" w:rsidP="000E66EA">
            <w:pPr>
              <w:pBdr>
                <w:top w:val="nil"/>
                <w:left w:val="nil"/>
                <w:bottom w:val="nil"/>
                <w:right w:val="nil"/>
                <w:between w:val="nil"/>
              </w:pBdr>
              <w:spacing w:line="227" w:lineRule="auto"/>
              <w:ind w:left="105"/>
              <w:rPr>
                <w:color w:val="000000"/>
                <w:sz w:val="18"/>
                <w:szCs w:val="18"/>
              </w:rPr>
            </w:pPr>
            <w:r>
              <w:rPr>
                <w:color w:val="000000"/>
                <w:sz w:val="18"/>
                <w:szCs w:val="18"/>
              </w:rPr>
              <w:t xml:space="preserve">All laboratory protocols are detailed in </w:t>
            </w:r>
            <w:r w:rsidRPr="00F90DE8">
              <w:rPr>
                <w:color w:val="000000"/>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68E8B28F" w:rsidR="00F97364" w:rsidRDefault="008C5281"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44EADC92" w:rsidR="00F97364" w:rsidRDefault="008C5281"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4D0841F6" w:rsidR="00F97364" w:rsidRDefault="008C5281"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6B6306D1" w:rsidR="00F97364" w:rsidRDefault="008C5281"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1F1A0622" w:rsidR="00F97364" w:rsidRDefault="00906DB7" w:rsidP="00F97364">
            <w:pPr>
              <w:pBdr>
                <w:top w:val="nil"/>
                <w:left w:val="nil"/>
                <w:bottom w:val="nil"/>
                <w:right w:val="nil"/>
                <w:between w:val="nil"/>
              </w:pBdr>
              <w:spacing w:line="227" w:lineRule="auto"/>
              <w:ind w:left="105"/>
              <w:rPr>
                <w:color w:val="000000"/>
                <w:sz w:val="18"/>
                <w:szCs w:val="18"/>
              </w:rPr>
            </w:pPr>
            <w:r>
              <w:rPr>
                <w:color w:val="000000"/>
                <w:sz w:val="18"/>
                <w:szCs w:val="18"/>
              </w:rPr>
              <w:t>Details of the dataset are provided in Supplementary Table 1</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25F6E926" w:rsidR="00F97364" w:rsidRDefault="00906DB7"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64236669" w:rsidR="00F97364" w:rsidRDefault="00582F65"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043240D7" w:rsidR="00F97364" w:rsidRDefault="00D51073" w:rsidP="00F97364">
            <w:pPr>
              <w:pBdr>
                <w:top w:val="nil"/>
                <w:left w:val="nil"/>
                <w:bottom w:val="nil"/>
                <w:right w:val="nil"/>
                <w:between w:val="nil"/>
              </w:pBdr>
              <w:spacing w:line="227" w:lineRule="auto"/>
              <w:ind w:left="105"/>
              <w:rPr>
                <w:color w:val="000000"/>
                <w:sz w:val="18"/>
                <w:szCs w:val="18"/>
              </w:rPr>
            </w:pPr>
            <w:r>
              <w:rPr>
                <w:color w:val="000000"/>
                <w:sz w:val="18"/>
                <w:szCs w:val="18"/>
              </w:rPr>
              <w:t xml:space="preserve">This is detailed in Materials and Methods: </w:t>
            </w:r>
            <w:r w:rsidRPr="00D51073">
              <w:rPr>
                <w:color w:val="000000"/>
                <w:sz w:val="18"/>
                <w:szCs w:val="18"/>
              </w:rPr>
              <w:t>All experiments and procedures were performed in accordance with approved procedures and guidelines set forth by the University of Ottawa Animal Care and Veterinary Services (protocol # 3471).</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34C85BCE" w:rsidR="00F97364" w:rsidRDefault="000470F2"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3D17410A" w:rsidR="00F97364" w:rsidRDefault="00DB4692"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DF39888" w:rsidR="002B6123" w:rsidRDefault="00D74496" w:rsidP="004B5793">
            <w:pPr>
              <w:pBdr>
                <w:top w:val="nil"/>
                <w:left w:val="nil"/>
                <w:bottom w:val="nil"/>
                <w:right w:val="nil"/>
                <w:between w:val="nil"/>
              </w:pBdr>
              <w:spacing w:line="227" w:lineRule="auto"/>
              <w:ind w:left="105"/>
              <w:rPr>
                <w:color w:val="000000"/>
                <w:sz w:val="18"/>
                <w:szCs w:val="18"/>
              </w:rPr>
            </w:pPr>
            <w:r>
              <w:rPr>
                <w:color w:val="000000"/>
                <w:sz w:val="18"/>
                <w:szCs w:val="18"/>
              </w:rPr>
              <w:t>detailed inclusion/exclusion criteria are provided in Results section under the heading “Spike sorting” (last paragraph of the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03A1C47F" w:rsidR="002B6123" w:rsidRDefault="001B0E3C" w:rsidP="001B0E3C">
            <w:pPr>
              <w:pBdr>
                <w:top w:val="nil"/>
                <w:left w:val="nil"/>
                <w:bottom w:val="nil"/>
                <w:right w:val="nil"/>
                <w:between w:val="nil"/>
              </w:pBdr>
              <w:spacing w:line="227" w:lineRule="auto"/>
              <w:rPr>
                <w:color w:val="000000"/>
                <w:sz w:val="18"/>
                <w:szCs w:val="18"/>
              </w:rPr>
            </w:pPr>
            <w:r>
              <w:rPr>
                <w:color w:val="000000"/>
                <w:sz w:val="18"/>
                <w:szCs w:val="18"/>
              </w:rPr>
              <w:t>This is a methodology paper, so statistics are detailed throughout the Results section as well as in Materials and Methods.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710C8E8E" w:rsidR="001B0E3C" w:rsidRDefault="002D7B96" w:rsidP="002D7B96">
            <w:pPr>
              <w:pBdr>
                <w:top w:val="nil"/>
                <w:left w:val="nil"/>
                <w:bottom w:val="nil"/>
                <w:right w:val="nil"/>
                <w:between w:val="nil"/>
              </w:pBdr>
              <w:spacing w:line="227" w:lineRule="auto"/>
              <w:ind w:left="105"/>
              <w:rPr>
                <w:color w:val="000000"/>
                <w:sz w:val="18"/>
                <w:szCs w:val="18"/>
              </w:rPr>
            </w:pPr>
            <w:r>
              <w:rPr>
                <w:color w:val="000000"/>
                <w:sz w:val="18"/>
                <w:szCs w:val="18"/>
              </w:rPr>
              <w:t>Both code library and data availability is referenced with URLs in the Materials and Methods and Supplementary sections</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0A9A9F93" w14:textId="60604308" w:rsidR="001B0E3C" w:rsidRDefault="001B0E3C" w:rsidP="001B0E3C">
            <w:pPr>
              <w:pBdr>
                <w:top w:val="nil"/>
                <w:left w:val="nil"/>
                <w:bottom w:val="nil"/>
                <w:right w:val="nil"/>
                <w:between w:val="nil"/>
              </w:pBdr>
              <w:spacing w:line="227" w:lineRule="auto"/>
              <w:ind w:left="105"/>
              <w:rPr>
                <w:color w:val="000000"/>
                <w:sz w:val="18"/>
                <w:szCs w:val="18"/>
              </w:rPr>
            </w:pPr>
            <w:r>
              <w:rPr>
                <w:color w:val="000000"/>
                <w:sz w:val="18"/>
                <w:szCs w:val="18"/>
              </w:rPr>
              <w:t>D</w:t>
            </w:r>
            <w:r>
              <w:rPr>
                <w:color w:val="000000"/>
                <w:sz w:val="18"/>
                <w:szCs w:val="18"/>
              </w:rPr>
              <w:t>ataset available here:</w:t>
            </w:r>
          </w:p>
          <w:p w14:paraId="1BE58FC1" w14:textId="68E87B7A" w:rsidR="002B6123" w:rsidRDefault="001B0E3C" w:rsidP="001B0E3C">
            <w:pPr>
              <w:pBdr>
                <w:top w:val="nil"/>
                <w:left w:val="nil"/>
                <w:bottom w:val="nil"/>
                <w:right w:val="nil"/>
                <w:between w:val="nil"/>
              </w:pBdr>
              <w:spacing w:line="227" w:lineRule="auto"/>
              <w:ind w:left="105"/>
              <w:rPr>
                <w:color w:val="000000"/>
                <w:sz w:val="18"/>
                <w:szCs w:val="18"/>
              </w:rPr>
            </w:pPr>
            <w:r w:rsidRPr="001B0E3C">
              <w:rPr>
                <w:color w:val="000000"/>
                <w:sz w:val="18"/>
                <w:szCs w:val="18"/>
              </w:rPr>
              <w:t>dx.doi.org/10.6084/m9.figshare.29416472</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5C2F5D4C" w:rsidR="002B6123" w:rsidRDefault="001B0E3C" w:rsidP="004B5793">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2D4D251" w14:textId="77777777" w:rsidR="002D7B96" w:rsidRDefault="002D7B96" w:rsidP="002D7B96">
            <w:pPr>
              <w:pBdr>
                <w:top w:val="nil"/>
                <w:left w:val="nil"/>
                <w:bottom w:val="nil"/>
                <w:right w:val="nil"/>
                <w:between w:val="nil"/>
              </w:pBdr>
              <w:spacing w:line="227" w:lineRule="auto"/>
              <w:ind w:left="105"/>
              <w:rPr>
                <w:color w:val="000000"/>
                <w:sz w:val="18"/>
                <w:szCs w:val="18"/>
              </w:rPr>
            </w:pPr>
            <w:r>
              <w:rPr>
                <w:color w:val="000000"/>
                <w:sz w:val="18"/>
                <w:szCs w:val="18"/>
              </w:rPr>
              <w:t xml:space="preserve">Code library is available here: </w:t>
            </w:r>
            <w:r w:rsidRPr="001B0E3C">
              <w:rPr>
                <w:color w:val="000000"/>
                <w:sz w:val="18"/>
                <w:szCs w:val="18"/>
              </w:rPr>
              <w:t>A code library for SpikeMAP in Python and Matlab is available as open source software from: https://figshare.com/articles/software/_b_SpikeMAP_An_unsupervised_spike_sorting_pipeline_for_cortical_excitatory_and_inhibitory_neurons_in_high-density_multielectrode_arrays_b_/28458749</w:t>
            </w:r>
          </w:p>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where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30DCC924" w:rsidR="002B6123" w:rsidRDefault="001963D7" w:rsidP="004B5793">
                <w:pPr>
                  <w:pBdr>
                    <w:top w:val="nil"/>
                    <w:left w:val="nil"/>
                    <w:bottom w:val="nil"/>
                    <w:right w:val="nil"/>
                    <w:between w:val="nil"/>
                  </w:pBdr>
                  <w:spacing w:line="227" w:lineRule="auto"/>
                  <w:ind w:left="105"/>
                  <w:rPr>
                    <w:color w:val="000000"/>
                    <w:sz w:val="18"/>
                    <w:szCs w:val="18"/>
                  </w:rPr>
                </w:pPr>
                <w:r>
                  <w:t>n/a</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0F4BA66D" w:rsidR="002B6123" w:rsidRDefault="001963D7" w:rsidP="004B5793">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04C2FE07" w:rsidR="00FA6BEC" w:rsidRDefault="00AE5C82" w:rsidP="00311DE1">
            <w:pPr>
              <w:pBdr>
                <w:top w:val="nil"/>
                <w:left w:val="nil"/>
                <w:bottom w:val="nil"/>
                <w:right w:val="nil"/>
                <w:between w:val="nil"/>
              </w:pBdr>
              <w:spacing w:line="227" w:lineRule="auto"/>
              <w:ind w:left="102"/>
              <w:rPr>
                <w:color w:val="C00000"/>
                <w:sz w:val="18"/>
                <w:szCs w:val="18"/>
              </w:rPr>
            </w:pPr>
            <w:r w:rsidRPr="00BF6096">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Default="00FA6BEC" w:rsidP="009969F8">
            <w:pPr>
              <w:pBdr>
                <w:top w:val="nil"/>
                <w:left w:val="nil"/>
                <w:bottom w:val="nil"/>
                <w:right w:val="nil"/>
                <w:between w:val="nil"/>
              </w:pBdr>
              <w:spacing w:line="227" w:lineRule="auto"/>
              <w:ind w:left="102"/>
              <w:jc w:val="center"/>
              <w:rPr>
                <w:color w:val="C00000"/>
                <w:sz w:val="18"/>
                <w:szCs w:val="18"/>
              </w:rPr>
            </w:pP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ACB3" w14:textId="77777777" w:rsidR="00B574CB" w:rsidRDefault="00B574CB">
      <w:r>
        <w:separator/>
      </w:r>
    </w:p>
  </w:endnote>
  <w:endnote w:type="continuationSeparator" w:id="0">
    <w:p w14:paraId="38236A5D" w14:textId="77777777" w:rsidR="00B574CB" w:rsidRDefault="00B5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E197" w14:textId="77777777" w:rsidR="00B574CB" w:rsidRDefault="00B574CB">
      <w:r>
        <w:separator/>
      </w:r>
    </w:p>
  </w:footnote>
  <w:footnote w:type="continuationSeparator" w:id="0">
    <w:p w14:paraId="0B6849BF" w14:textId="77777777" w:rsidR="00B574CB" w:rsidRDefault="00B57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470F2"/>
    <w:rsid w:val="000A2021"/>
    <w:rsid w:val="000E66EA"/>
    <w:rsid w:val="001963D7"/>
    <w:rsid w:val="001B0E3C"/>
    <w:rsid w:val="002B6123"/>
    <w:rsid w:val="002D7B96"/>
    <w:rsid w:val="00311DE1"/>
    <w:rsid w:val="0042256C"/>
    <w:rsid w:val="004B5793"/>
    <w:rsid w:val="00582F65"/>
    <w:rsid w:val="005B0BD0"/>
    <w:rsid w:val="00673CF2"/>
    <w:rsid w:val="006D57EE"/>
    <w:rsid w:val="007028FA"/>
    <w:rsid w:val="007247F7"/>
    <w:rsid w:val="00786C61"/>
    <w:rsid w:val="00835437"/>
    <w:rsid w:val="0085040D"/>
    <w:rsid w:val="008C5281"/>
    <w:rsid w:val="00906DB7"/>
    <w:rsid w:val="00907A50"/>
    <w:rsid w:val="00916143"/>
    <w:rsid w:val="009572B2"/>
    <w:rsid w:val="009969F8"/>
    <w:rsid w:val="009C3CB0"/>
    <w:rsid w:val="00AE5C82"/>
    <w:rsid w:val="00B574CB"/>
    <w:rsid w:val="00BB1C80"/>
    <w:rsid w:val="00BF6096"/>
    <w:rsid w:val="00C038B2"/>
    <w:rsid w:val="00C35E8B"/>
    <w:rsid w:val="00D11F46"/>
    <w:rsid w:val="00D22A10"/>
    <w:rsid w:val="00D25EEA"/>
    <w:rsid w:val="00D350BE"/>
    <w:rsid w:val="00D51073"/>
    <w:rsid w:val="00D74496"/>
    <w:rsid w:val="00DB4692"/>
    <w:rsid w:val="00F12EC0"/>
    <w:rsid w:val="00F249C7"/>
    <w:rsid w:val="00F90DE8"/>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character" w:styleId="UnresolvedMention">
    <w:name w:val="Unresolved Mention"/>
    <w:basedOn w:val="DefaultParagraphFont"/>
    <w:uiPriority w:val="99"/>
    <w:semiHidden/>
    <w:unhideWhenUsed/>
    <w:rsid w:val="001B0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Jean-Philippe Thivierge</cp:lastModifiedBy>
  <cp:revision>22</cp:revision>
  <dcterms:created xsi:type="dcterms:W3CDTF">2020-11-25T18:43:00Z</dcterms:created>
  <dcterms:modified xsi:type="dcterms:W3CDTF">2025-07-29T14:26:00Z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