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Style w:val="ListLabel37"/>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ListLabel37"/>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ListLabel37"/>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ListLabel37"/>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ListLabel37"/>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ListLabel37"/>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cPr>
          <w:p>
            <w:pPr>
              <w:pStyle w:val="Normal"/>
              <w:spacing w:lineRule="auto" w:line="223"/>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spacing w:lineRule="auto" w:line="223"/>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Style w:val="ListLabel38"/>
                  <w:rFonts w:eastAsia="Noto Sans" w:cs="Noto Sans" w:ascii="Noto Sans" w:hAnsi="Noto Sans"/>
                  <w:color w:val="434343"/>
                  <w:sz w:val="18"/>
                  <w:szCs w:val="18"/>
                </w:rPr>
                <w:t xml:space="preserve"> </w:t>
              </w:r>
            </w:hyperlink>
            <w:hyperlink r:id="rId9">
              <w:r>
                <w:rPr>
                  <w:rStyle w:val="ListLabel39"/>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ind w:left="400"/>
              <w:rPr>
                <w:rFonts w:ascii="Noto Sans" w:hAnsi="Noto Sans" w:eastAsia="Noto Sans" w:cs="Noto Sans"/>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ind w:left="400"/>
              <w:jc w:val="center"/>
              <w:rPr>
                <w:rFonts w:ascii="Noto Sans" w:hAnsi="Noto Sans" w:eastAsia="Noto Sans" w:cs="Noto Sans"/>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w:t>
            </w:r>
            <w:r>
              <w:rPr>
                <w:rFonts w:eastAsia="Noto Sans" w:cs="Noto Sans" w:ascii="Noto Sans" w:hAnsi="Noto Sans"/>
                <w:bCs/>
                <w:i w:val="false"/>
                <w:iCs w:val="false"/>
                <w:color w:val="434343"/>
                <w:sz w:val="18"/>
                <w:szCs w:val="18"/>
              </w:rPr>
              <w:t xml:space="preserve"> </w:t>
            </w:r>
            <w:r>
              <w:rPr>
                <w:rFonts w:eastAsia="Noto Sans" w:cs="Noto Sans" w:ascii="Noto Sans" w:hAnsi="Noto Sans"/>
                <w:bCs/>
                <w:i w:val="false"/>
                <w:iCs w:val="false"/>
                <w:color w:val="000000"/>
                <w:sz w:val="18"/>
                <w:szCs w:val="18"/>
              </w:rPr>
              <w:t>Experimental Methods and Data Preprocessing.</w:t>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spacing w:lineRule="auto" w:line="223"/>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bl>
    <w:p>
      <w:pPr>
        <w:pStyle w:val="Normal"/>
        <w:spacing w:lineRule="auto" w:line="225"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w:t>
            </w:r>
            <w:r>
              <w:rPr>
                <w:rFonts w:eastAsia="Noto Sans" w:cs="Noto Sans" w:ascii="Noto Sans" w:hAnsi="Noto Sans"/>
                <w:bCs/>
                <w:i w:val="false"/>
                <w:iCs w:val="false"/>
                <w:color w:val="434343"/>
                <w:sz w:val="18"/>
                <w:szCs w:val="18"/>
              </w:rPr>
              <w:t xml:space="preserve"> </w:t>
            </w:r>
            <w:r>
              <w:rPr>
                <w:rFonts w:eastAsia="Noto Sans" w:cs="Noto Sans" w:ascii="Noto Sans" w:hAnsi="Noto Sans"/>
                <w:bCs/>
                <w:i w:val="false"/>
                <w:iCs w:val="false"/>
                <w:color w:val="000000"/>
                <w:sz w:val="18"/>
                <w:szCs w:val="18"/>
              </w:rPr>
              <w:t>Experimental Methods and Data Preprocessing.</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w:t>
            </w:r>
            <w:r>
              <w:rPr>
                <w:rFonts w:eastAsia="Noto Sans" w:cs="Noto Sans" w:ascii="Noto Sans" w:hAnsi="Noto Sans"/>
                <w:bCs/>
                <w:i w:val="false"/>
                <w:iCs w:val="false"/>
                <w:color w:val="434343"/>
                <w:sz w:val="18"/>
                <w:szCs w:val="18"/>
              </w:rPr>
              <w:t xml:space="preserve"> </w:t>
            </w:r>
            <w:r>
              <w:rPr>
                <w:rFonts w:eastAsia="Noto Sans" w:cs="Noto Sans" w:ascii="Noto Sans" w:hAnsi="Noto Sans"/>
                <w:bCs/>
                <w:i w:val="false"/>
                <w:iCs w:val="false"/>
                <w:color w:val="000000"/>
                <w:sz w:val="18"/>
                <w:szCs w:val="18"/>
              </w:rPr>
              <w:t>Experimental Methods and Data Preprocessing.</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Start of Methods Section</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rPr>
                <w:rFonts w:ascii="Noto Sans" w:hAnsi="Noto Sans" w:eastAsia="Noto Sans" w:cs="Noto Sans"/>
                <w:bCs/>
                <w:i w:val="false"/>
                <w:i w:val="false"/>
                <w:iCs w:val="false"/>
                <w:color w:val="434343"/>
                <w:sz w:val="18"/>
                <w:szCs w:val="18"/>
              </w:rPr>
            </w:pPr>
            <w:r>
              <w:rPr>
                <w:rFonts w:eastAsia="Noto Sans" w:cs="Noto Sans" w:ascii="Noto Sans" w:hAnsi="Noto Sans"/>
                <w:bCs/>
                <w:i w:val="false"/>
                <w:iCs w:val="false"/>
                <w:color w:val="434343"/>
                <w:sz w:val="18"/>
                <w:szCs w:val="18"/>
              </w:rPr>
              <w:t xml:space="preserve">Methods section: </w:t>
            </w:r>
            <w:r>
              <w:rPr>
                <w:rFonts w:eastAsia="Noto Sans" w:cs="Noto Sans" w:ascii="Noto Sans" w:hAnsi="Noto Sans"/>
                <w:bCs/>
                <w:i w:val="false"/>
                <w:iCs w:val="false"/>
                <w:color w:val="000000"/>
                <w:sz w:val="18"/>
                <w:szCs w:val="18"/>
              </w:rPr>
              <w:t>Experimental Methods and Data Preprocessing.</w:t>
            </w:r>
          </w:p>
          <w:p>
            <w:pPr>
              <w:pStyle w:val="Normal"/>
              <w:rPr>
                <w:rFonts w:ascii="Noto Sans" w:hAnsi="Noto Sans" w:eastAsia="Noto Sans" w:cs="Noto Sans"/>
                <w:bCs/>
                <w:i w:val="false"/>
                <w:i w:val="false"/>
                <w:iCs w:val="false"/>
                <w:color w:val="434343"/>
                <w:sz w:val="18"/>
                <w:szCs w:val="18"/>
              </w:rPr>
            </w:pPr>
            <w:r>
              <w:rPr>
                <w:rFonts w:eastAsia="Noto Sans" w:cs="Noto Sans" w:ascii="Noto Sans" w:hAnsi="Noto Sans"/>
                <w:bCs/>
                <w:i w:val="false"/>
                <w:iCs w:val="false"/>
                <w:color w:val="000000"/>
                <w:sz w:val="18"/>
                <w:szCs w:val="18"/>
              </w:rPr>
              <w:t xml:space="preserve"> </w:t>
            </w:r>
            <w:r>
              <w:rPr>
                <w:rFonts w:eastAsia="Noto Sans" w:cs="Noto Sans" w:ascii="Noto Sans" w:hAnsi="Noto Sans"/>
                <w:bCs/>
                <w:i w:val="false"/>
                <w:iCs w:val="false"/>
                <w:color w:val="000000"/>
                <w:sz w:val="18"/>
                <w:szCs w:val="18"/>
              </w:rPr>
              <w:t>&amp; Estimate position using burst data.</w:t>
            </w:r>
          </w:p>
          <w:p>
            <w:pPr>
              <w:pStyle w:val="Normal"/>
              <w:rPr>
                <w:color w:val="000000"/>
              </w:rPr>
            </w:pPr>
            <w:r>
              <w:rPr>
                <w:rFonts w:eastAsia="Noto Sans" w:cs="Noto Sans" w:ascii="Noto Sans" w:hAnsi="Noto Sans"/>
                <w:bCs/>
                <w:i w:val="false"/>
                <w:iCs w:val="false"/>
                <w:color w:val="434343"/>
                <w:sz w:val="18"/>
                <w:szCs w:val="18"/>
              </w:rPr>
            </w:r>
          </w:p>
          <w:p>
            <w:pPr>
              <w:pStyle w:val="Normal"/>
              <w:rPr>
                <w:rFonts w:ascii="Noto Sans" w:hAnsi="Noto Sans" w:eastAsia="Noto Sans" w:cs="Noto Sans"/>
                <w:bCs/>
                <w:i w:val="false"/>
                <w:i w:val="false"/>
                <w:iCs w:val="false"/>
                <w:color w:val="434343"/>
                <w:sz w:val="18"/>
                <w:szCs w:val="18"/>
              </w:rPr>
            </w:pPr>
            <w:r>
              <w:rPr>
                <w:rFonts w:eastAsia="Noto Sans" w:cs="Noto Sans" w:ascii="Noto Sans" w:hAnsi="Noto Sans"/>
                <w:bCs/>
                <w:i w:val="false"/>
                <w:iCs w:val="false"/>
                <w:color w:val="000000"/>
                <w:sz w:val="18"/>
                <w:szCs w:val="18"/>
              </w:rPr>
              <w:t>Supplement 2 to Figure 2</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Throughout Results section and figure captions</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jc w:val="both"/>
              <w:rPr>
                <w:rFonts w:ascii="Noto Sans" w:hAnsi="Noto Sans"/>
                <w:b w:val="false"/>
                <w:bCs w:val="false"/>
                <w:sz w:val="18"/>
                <w:szCs w:val="18"/>
              </w:rPr>
            </w:pPr>
            <w:r>
              <w:rPr>
                <w:rFonts w:ascii="Noto Sans" w:hAnsi="Noto Sans"/>
                <w:b w:val="false"/>
                <w:bCs w:val="false"/>
                <w:color w:val="000000"/>
                <w:sz w:val="18"/>
                <w:szCs w:val="18"/>
              </w:rPr>
              <w:t xml:space="preserve">Section </w:t>
            </w:r>
            <w:r>
              <w:rPr>
                <w:rFonts w:ascii="Noto Sans" w:hAnsi="Noto Sans"/>
                <w:b w:val="false"/>
                <w:bCs w:val="false"/>
                <w:color w:val="000000"/>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jc w:val="both"/>
              <w:rPr>
                <w:rFonts w:ascii="Noto Sans" w:hAnsi="Noto Sans"/>
                <w:b w:val="false"/>
                <w:bCs w:val="false"/>
                <w:sz w:val="18"/>
                <w:szCs w:val="18"/>
              </w:rPr>
            </w:pPr>
            <w:r>
              <w:rPr>
                <w:rFonts w:ascii="Noto Sans" w:hAnsi="Noto Sans"/>
                <w:b w:val="false"/>
                <w:bCs w:val="false"/>
                <w:color w:val="000000"/>
                <w:sz w:val="18"/>
                <w:szCs w:val="18"/>
              </w:rPr>
              <w:t xml:space="preserve">Section </w:t>
            </w:r>
            <w:r>
              <w:rPr>
                <w:rFonts w:ascii="Noto Sans" w:hAnsi="Noto Sans"/>
                <w:b w:val="false"/>
                <w:bCs w:val="false"/>
                <w:color w:val="000000"/>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jc w:val="both"/>
              <w:rPr>
                <w:rFonts w:ascii="Noto Sans" w:hAnsi="Noto Sans"/>
                <w:b w:val="false"/>
                <w:bCs w:val="false"/>
                <w:sz w:val="18"/>
                <w:szCs w:val="18"/>
              </w:rPr>
            </w:pPr>
            <w:r>
              <w:rPr>
                <w:rFonts w:ascii="Noto Sans" w:hAnsi="Noto Sans"/>
                <w:b w:val="false"/>
                <w:bCs w:val="false"/>
                <w:color w:val="000000"/>
                <w:sz w:val="18"/>
                <w:szCs w:val="18"/>
              </w:rPr>
              <w:t xml:space="preserve">Section </w:t>
            </w:r>
            <w:r>
              <w:rPr>
                <w:rFonts w:ascii="Noto Sans" w:hAnsi="Noto Sans"/>
                <w:b w:val="false"/>
                <w:bCs w:val="false"/>
                <w:color w:val="000000"/>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jc w:val="both"/>
              <w:rPr>
                <w:rFonts w:ascii="Noto Sans" w:hAnsi="Noto Sans"/>
                <w:b w:val="false"/>
                <w:bCs w:val="false"/>
                <w:sz w:val="18"/>
                <w:szCs w:val="18"/>
              </w:rPr>
            </w:pPr>
            <w:r>
              <w:rPr>
                <w:rFonts w:ascii="Noto Sans" w:hAnsi="Noto Sans"/>
                <w:b w:val="false"/>
                <w:bCs w:val="false"/>
                <w:color w:val="000000"/>
                <w:sz w:val="18"/>
                <w:szCs w:val="18"/>
              </w:rPr>
              <w:t xml:space="preserve">Section </w:t>
            </w:r>
            <w:r>
              <w:rPr>
                <w:rFonts w:ascii="Noto Sans" w:hAnsi="Noto Sans"/>
                <w:b w:val="false"/>
                <w:bCs w:val="false"/>
                <w:color w:val="000000"/>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jc w:val="both"/>
              <w:rPr>
                <w:rFonts w:ascii="Noto Sans" w:hAnsi="Noto Sans"/>
                <w:b w:val="false"/>
                <w:bCs w:val="false"/>
                <w:sz w:val="18"/>
                <w:szCs w:val="18"/>
              </w:rPr>
            </w:pPr>
            <w:r>
              <w:rPr>
                <w:rFonts w:ascii="Noto Sans" w:hAnsi="Noto Sans"/>
                <w:b w:val="false"/>
                <w:bCs w:val="false"/>
                <w:color w:val="000000"/>
                <w:sz w:val="18"/>
                <w:szCs w:val="18"/>
              </w:rPr>
              <w:t xml:space="preserve">Section </w:t>
            </w:r>
            <w:r>
              <w:rPr>
                <w:rFonts w:ascii="Noto Sans" w:hAnsi="Noto Sans"/>
                <w:b w:val="false"/>
                <w:bCs w:val="false"/>
                <w:color w:val="000000"/>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rStyle w:val="ListLabel40"/>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Noto Sans">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20"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LibreOffice/24.2.7.2$Linux_X86_64 LibreOffice_project/420$Build-2</Application>
  <AppVersion>15.0000</AppVersion>
  <Pages>5</Pages>
  <Words>1317</Words>
  <Characters>8057</Characters>
  <CharactersWithSpaces>9244</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2026-03-05T07:38:31Z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