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FE78C22" w14:textId="41876131" w:rsidR="001C067E"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"Data availability" section. Genome assembly and raw sequencing data are deposited under NCBI BioProject PRJNA1091451 and SRA study SRP570862;</w:t>
            </w:r>
            <w:r>
              <w:rPr>
                <w:rFonts w:ascii="Noto Sans" w:eastAsia="Noto Sans" w:hAnsi="Noto Sans" w:cs="Noto Sans"/>
                <w:color w:val="434343"/>
                <w:sz w:val="18"/>
                <w:szCs w:val="18"/>
              </w:rPr>
              <w:t xml:space="preserve"> </w:t>
            </w:r>
            <w:r w:rsidR="001C067E">
              <w:rPr>
                <w:rFonts w:ascii="Noto Sans" w:eastAsia="Noto Sans" w:hAnsi="Noto Sans" w:cs="Noto Sans"/>
                <w:color w:val="434343"/>
                <w:sz w:val="18"/>
                <w:szCs w:val="18"/>
              </w:rPr>
              <w:t>genome assembly is available on NCBI (</w:t>
            </w:r>
            <w:r w:rsidR="001C067E" w:rsidRPr="001C067E">
              <w:rPr>
                <w:rFonts w:ascii="Noto Sans" w:eastAsia="Noto Sans" w:hAnsi="Noto Sans" w:cs="Noto Sans"/>
                <w:color w:val="434343"/>
                <w:sz w:val="18"/>
                <w:szCs w:val="18"/>
              </w:rPr>
              <w:t>GCA_050097725.1</w:t>
            </w:r>
            <w:r w:rsidR="001C067E">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annotation files </w:t>
            </w:r>
            <w:r w:rsidR="00A27FAC">
              <w:rPr>
                <w:rFonts w:ascii="Noto Sans" w:eastAsia="Noto Sans" w:hAnsi="Noto Sans" w:cs="Noto Sans"/>
                <w:color w:val="434343"/>
                <w:sz w:val="18"/>
                <w:szCs w:val="18"/>
              </w:rPr>
              <w:t xml:space="preserve">are available </w:t>
            </w:r>
            <w:r>
              <w:rPr>
                <w:rFonts w:ascii="Noto Sans" w:eastAsia="Noto Sans" w:hAnsi="Noto Sans" w:cs="Noto Sans"/>
                <w:color w:val="434343"/>
                <w:sz w:val="18"/>
                <w:szCs w:val="18"/>
              </w:rPr>
              <w:t>at https://public.brain.mpg.de/Laurent/sepoff/annotation/</w:t>
            </w:r>
            <w:r w:rsidR="00A27FAC">
              <w:rPr>
                <w:rFonts w:ascii="Noto Sans" w:eastAsia="Noto Sans" w:hAnsi="Noto Sans" w:cs="Noto Sans"/>
                <w:color w:val="434343"/>
                <w:sz w:val="18"/>
                <w:szCs w:val="18"/>
              </w:rPr>
              <w:t xml:space="preserve"> </w:t>
            </w:r>
            <w:r w:rsidR="001C067E">
              <w:rPr>
                <w:rFonts w:ascii="Noto Sans" w:eastAsia="Noto Sans" w:hAnsi="Noto Sans" w:cs="Noto Sans"/>
                <w:color w:val="434343"/>
                <w:sz w:val="18"/>
                <w:szCs w:val="18"/>
              </w:rPr>
              <w:t xml:space="preserve">and </w:t>
            </w:r>
            <w:r w:rsidR="001C067E" w:rsidRPr="001C067E">
              <w:rPr>
                <w:rFonts w:ascii="Noto Sans" w:eastAsia="Noto Sans" w:hAnsi="Noto Sans" w:cs="Noto Sans"/>
                <w:color w:val="434343"/>
                <w:sz w:val="18"/>
                <w:szCs w:val="18"/>
              </w:rPr>
              <w:t>doi:10.17617/</w:t>
            </w:r>
            <w:proofErr w:type="gramStart"/>
            <w:r w:rsidR="001C067E" w:rsidRPr="001C067E">
              <w:rPr>
                <w:rFonts w:ascii="Noto Sans" w:eastAsia="Noto Sans" w:hAnsi="Noto Sans" w:cs="Noto Sans"/>
                <w:color w:val="434343"/>
                <w:sz w:val="18"/>
                <w:szCs w:val="18"/>
              </w:rPr>
              <w:t>3.CGO</w:t>
            </w:r>
            <w:proofErr w:type="gramEnd"/>
            <w:r w:rsidR="001C067E" w:rsidRPr="001C067E">
              <w:rPr>
                <w:rFonts w:ascii="Noto Sans" w:eastAsia="Noto Sans" w:hAnsi="Noto Sans" w:cs="Noto Sans"/>
                <w:color w:val="434343"/>
                <w:sz w:val="18"/>
                <w:szCs w:val="18"/>
              </w:rPr>
              <w:t>7QG</w:t>
            </w:r>
            <w:r w:rsidR="001C067E">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0F7D65C"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no antibodies were used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EE75161"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AF83277" w14:textId="77777777" w:rsidR="004A60AA" w:rsidRDefault="004A60AA" w:rsidP="004A60AA">
            <w:pPr>
              <w:rPr>
                <w:rFonts w:ascii="Noto Sans" w:eastAsia="Noto Sans" w:hAnsi="Noto Sans" w:cs="Noto Sans"/>
                <w:color w:val="434343"/>
                <w:sz w:val="18"/>
                <w:szCs w:val="18"/>
              </w:rPr>
            </w:pPr>
            <w:r>
              <w:rPr>
                <w:rFonts w:ascii="Noto Sans" w:eastAsia="Noto Sans" w:hAnsi="Noto Sans" w:cs="Noto Sans"/>
                <w:color w:val="434343"/>
                <w:sz w:val="18"/>
                <w:szCs w:val="18"/>
              </w:rPr>
              <w:t>N/A — no novel short DNA or RNA sequences were generated in this study.</w:t>
            </w:r>
          </w:p>
          <w:p w14:paraId="24F80306" w14:textId="77777777" w:rsidR="004A60AA" w:rsidRDefault="004A60AA" w:rsidP="004A60AA">
            <w:pPr>
              <w:rPr>
                <w:rFonts w:ascii="Noto Sans" w:eastAsia="Noto Sans" w:hAnsi="Noto Sans" w:cs="Noto Sans"/>
                <w:color w:val="434343"/>
                <w:sz w:val="18"/>
                <w:szCs w:val="18"/>
              </w:rPr>
            </w:pPr>
          </w:p>
          <w:p w14:paraId="17B50F00" w14:textId="7A310C39" w:rsidR="00A907D9" w:rsidRDefault="004A60A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four qPCR primers used for sex genotyping (SepOff_chr2_auto_G2_F/R targeting an autosomal control locus on chromosome 2; </w:t>
            </w:r>
            <w:r>
              <w:rPr>
                <w:rFonts w:ascii="Noto Sans" w:eastAsia="Noto Sans" w:hAnsi="Noto Sans" w:cs="Noto Sans"/>
                <w:color w:val="434343"/>
                <w:sz w:val="18"/>
                <w:szCs w:val="18"/>
              </w:rPr>
              <w:lastRenderedPageBreak/>
              <w:t>SepOff_chr46_sex_H2_F/R targeting a sex-chromosomal locus on chromosome 46) were taken from the cited source publication (preprint doi:10.1101/2025.10.28.685099) and were not designed in this study; they were validated against the S. officinalis assembly generated here. Their sequences are nevertheless reproduced in Materials and Methods ("Sex genotyping by qPCR") and in the accompanying Key Resources Table for the reader's convenience.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80D310B"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no cell lines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1F35C2"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15E273F"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no primary cultures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4147892"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0626D54"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"Animal husbandry" and "Tissue preparation" sections.</w:t>
            </w:r>
          </w:p>
          <w:p w14:paraId="4B0905C2"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Species: Sepia officinalis (European cuttlefish), wild-type (no genetic modification).</w:t>
            </w:r>
          </w:p>
          <w:p w14:paraId="342EBFF0"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Individual 1 — used for PacBio HiFi long-read DNA, Iso-Seq, Omni-C, and short-read Illumina DNA libraries: 6-month-old adult, F1 hatched in captivity from eggs obtained from the commercial supplier Flying Sharks – consultoria e inovação, Lda. (Rua Farrobim do Sul 116, 9900-361 Horta, Azores, Portugal; info@flyingsharks.eu); sex genotyped as male by qPCR (see Laboratory protocol row).</w:t>
            </w:r>
          </w:p>
          <w:p w14:paraId="00863993" w14:textId="7CC057E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Individual 2 — used for short-read Illumina RNA-seq: 8-month-</w:t>
            </w:r>
            <w:r>
              <w:rPr>
                <w:rFonts w:ascii="Noto Sans" w:eastAsia="Noto Sans" w:hAnsi="Noto Sans" w:cs="Noto Sans"/>
                <w:color w:val="434343"/>
                <w:sz w:val="18"/>
                <w:szCs w:val="18"/>
              </w:rPr>
              <w:lastRenderedPageBreak/>
              <w:t xml:space="preserve">old adult, F0 hatched in captivity from eggs </w:t>
            </w:r>
            <w:r>
              <w:rPr>
                <w:rFonts w:ascii="Noto Sans" w:eastAsia="Noto Sans" w:hAnsi="Noto Sans" w:cs="Noto Sans"/>
                <w:color w:val="434343"/>
                <w:sz w:val="18"/>
                <w:szCs w:val="18"/>
              </w:rPr>
              <w:t>collected in Normandie, France</w:t>
            </w:r>
            <w:r>
              <w:rPr>
                <w:rFonts w:ascii="Noto Sans" w:eastAsia="Noto Sans" w:hAnsi="Noto Sans" w:cs="Noto Sans"/>
                <w:color w:val="434343"/>
                <w:sz w:val="18"/>
                <w:szCs w:val="18"/>
              </w:rPr>
              <w:t xml:space="preserve"> </w:t>
            </w:r>
            <w:r w:rsidR="007D5DB6">
              <w:rPr>
                <w:rFonts w:ascii="Noto Sans" w:eastAsia="Noto Sans" w:hAnsi="Noto Sans" w:cs="Noto Sans"/>
                <w:color w:val="434343"/>
                <w:sz w:val="18"/>
                <w:szCs w:val="18"/>
              </w:rPr>
              <w:t xml:space="preserve">(provided by </w:t>
            </w:r>
            <w:r w:rsidR="007D5DB6" w:rsidRPr="007D5DB6">
              <w:rPr>
                <w:rFonts w:ascii="Noto Sans" w:eastAsia="Noto Sans" w:hAnsi="Noto Sans" w:cs="Noto Sans"/>
                <w:color w:val="434343"/>
                <w:sz w:val="18"/>
                <w:szCs w:val="18"/>
              </w:rPr>
              <w:t>Université de Caen Normandie, France</w:t>
            </w:r>
            <w:r w:rsidR="007D5DB6">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sex not determined.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5B78A5"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both individuals were laboratory-reared in captivity from the egg stage. No animals were observed in or captured directly from the field by the authors.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8302D48"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B45F234" w14:textId="5301C1EA"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N/A — no plants were used as </w:t>
            </w:r>
            <w:r>
              <w:rPr>
                <w:rFonts w:ascii="Noto Sans" w:eastAsia="Noto Sans" w:hAnsi="Noto Sans" w:cs="Noto Sans"/>
                <w:color w:val="434343"/>
                <w:sz w:val="18"/>
                <w:szCs w:val="18"/>
              </w:rPr>
              <w:t xml:space="preserve">experimental subjects.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569A6EF"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35E3D5"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no microbes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B724761"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A294EC0"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no human research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DBECEA0"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C09B6C6"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descriptive genome assembly and annotation study; no pre-registered protocol or clinical trial.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BB5C449"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738161D"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w:t>
            </w:r>
          </w:p>
          <w:p w14:paraId="0DB5181A"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Iso-Seq full-length cDNA protocol: described in detail in Cartolano et al. 2016 (PLOS ONE </w:t>
            </w:r>
            <w:r>
              <w:rPr>
                <w:rFonts w:ascii="Noto Sans" w:eastAsia="Noto Sans" w:hAnsi="Noto Sans" w:cs="Noto Sans"/>
                <w:color w:val="434343"/>
                <w:sz w:val="18"/>
                <w:szCs w:val="18"/>
              </w:rPr>
              <w:t>11:e0157779, doi:10.1371/journal.pone.0157779</w:t>
            </w:r>
            <w:r>
              <w:rPr>
                <w:rFonts w:ascii="Noto Sans" w:eastAsia="Noto Sans" w:hAnsi="Noto Sans" w:cs="Noto Sans"/>
                <w:color w:val="434343"/>
                <w:sz w:val="18"/>
                <w:szCs w:val="18"/>
              </w:rPr>
              <w:lastRenderedPageBreak/>
              <w:t>).</w:t>
            </w:r>
          </w:p>
          <w:p w14:paraId="776A4E72" w14:textId="39FD106E"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Sex genotyping by tissue gDNA extraction and qPCR: methodology adapted from </w:t>
            </w:r>
            <w:proofErr w:type="spellStart"/>
            <w:r w:rsidR="00504915" w:rsidRPr="00504915">
              <w:rPr>
                <w:rFonts w:ascii="Noto Sans" w:eastAsia="Noto Sans" w:hAnsi="Noto Sans" w:cs="Noto Sans"/>
                <w:color w:val="434343"/>
                <w:sz w:val="18"/>
                <w:szCs w:val="18"/>
              </w:rPr>
              <w:t>Rubino</w:t>
            </w:r>
            <w:proofErr w:type="spellEnd"/>
            <w:r w:rsidR="00504915" w:rsidRPr="00504915">
              <w:rPr>
                <w:rFonts w:ascii="Noto Sans" w:eastAsia="Noto Sans" w:hAnsi="Noto Sans" w:cs="Noto Sans"/>
                <w:color w:val="434343"/>
                <w:sz w:val="18"/>
                <w:szCs w:val="18"/>
              </w:rPr>
              <w:t xml:space="preserve"> et al., 2025</w:t>
            </w:r>
            <w:r w:rsidR="00504915">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doi:10.1101/2025.10.28.685099</w:t>
            </w:r>
            <w:r w:rsidR="00504915">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Only the genomic DNA extraction (from tissue rather than from skin swabs) and qPCR portions of the source protocol were performed</w:t>
            </w:r>
            <w:r w:rsidR="00504915">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5063AD"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N/A — single-individual reference genome assembly and annotation; sample size is the conventional design for a reference-quality genome and is not amenable to formal power </w:t>
            </w:r>
            <w:r>
              <w:rPr>
                <w:rFonts w:ascii="Noto Sans" w:eastAsia="Noto Sans" w:hAnsi="Noto Sans" w:cs="Noto Sans"/>
                <w:color w:val="434343"/>
                <w:sz w:val="18"/>
                <w:szCs w:val="18"/>
              </w:rPr>
              <w:t>calculation.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0CABDA"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29B964"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descriptive genome project; no experimental groups or treatment allocation.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B9FA16"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BBDFC8"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descriptive genome project; no experimental groups or treatment allocation.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4C190"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29D35"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N/A at the </w:t>
            </w:r>
            <w:r>
              <w:rPr>
                <w:rFonts w:ascii="Noto Sans" w:eastAsia="Noto Sans" w:hAnsi="Noto Sans" w:cs="Noto Sans"/>
                <w:color w:val="434343"/>
                <w:sz w:val="18"/>
                <w:szCs w:val="18"/>
              </w:rPr>
              <w:t>animal level (single individuals used per modality). Data-level filtering criteria for downstream analyses (e.g., RNA-seq gene-count filter of ≥10 counts in ≥3 samples; GO terms restricted to those annotating 5–500 expressed genes) are stated in Materials and Methods, "Bulk RNA-seq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55E9AC"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Materials and Methods </w:t>
            </w:r>
            <w:r>
              <w:rPr>
                <w:rFonts w:ascii="Noto Sans" w:eastAsia="Noto Sans" w:hAnsi="Noto Sans" w:cs="Noto Sans"/>
                <w:color w:val="434343"/>
                <w:sz w:val="18"/>
                <w:szCs w:val="18"/>
              </w:rPr>
              <w:t>(multiple sub-sections).</w:t>
            </w:r>
          </w:p>
          <w:p w14:paraId="7FF24924" w14:textId="004BF48A"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 single biological individual was used per sequencing modality, with no biological replication of </w:t>
            </w:r>
            <w:r>
              <w:rPr>
                <w:rFonts w:ascii="Noto Sans" w:eastAsia="Noto Sans" w:hAnsi="Noto Sans" w:cs="Noto Sans"/>
                <w:color w:val="434343"/>
                <w:sz w:val="18"/>
                <w:szCs w:val="18"/>
              </w:rPr>
              <w:lastRenderedPageBreak/>
              <w:t>the genome assembly itself. Long-read DNA: one library, sequenced across 5 PacBio SMRT cells. Iso-Seq: one pooled library across 8 tissues sequenced on 1 SMRT cell, plus a separate optic-lobe library on a 2nd SMRT cell. Omni-C: one library. Short-read DNA: one library. Short-read RNA-seq: separate libraries prepared from multiple tissues (different brain areas, skin, retina) of a single individual</w:t>
            </w:r>
            <w:r w:rsidR="00504915">
              <w:rPr>
                <w:rFonts w:ascii="Noto Sans" w:eastAsia="Noto Sans" w:hAnsi="Noto Sans" w:cs="Noto Sans"/>
                <w:color w:val="434343"/>
                <w:sz w:val="18"/>
                <w:szCs w:val="18"/>
              </w:rPr>
              <w:t>, sequenced twice on NextSeq500 and NextSeq2000</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CEC3B"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"Short-read RNA library preparation and sequencing" and "Bulk RNA-seq analysis".</w:t>
            </w:r>
          </w:p>
          <w:p w14:paraId="352FF903" w14:textId="50C82D2C" w:rsidR="00504915" w:rsidRPr="00504915" w:rsidRDefault="00504915" w:rsidP="00504915">
            <w:pPr>
              <w:rPr>
                <w:rFonts w:ascii="Noto Sans" w:eastAsia="Noto Sans" w:hAnsi="Noto Sans" w:cs="Noto Sans"/>
                <w:color w:val="434343"/>
                <w:sz w:val="18"/>
                <w:szCs w:val="18"/>
                <w:lang w:val="en-DE"/>
              </w:rPr>
            </w:pPr>
            <w:r w:rsidRPr="00504915">
              <w:rPr>
                <w:rFonts w:ascii="Noto Sans" w:eastAsia="Noto Sans" w:hAnsi="Noto Sans" w:cs="Noto Sans"/>
                <w:color w:val="434343"/>
                <w:sz w:val="18"/>
                <w:szCs w:val="18"/>
                <w:lang w:val="en-DE"/>
              </w:rPr>
              <w:t xml:space="preserve">The short-read RNA-seq data contain </w:t>
            </w:r>
            <w:r w:rsidR="00596775">
              <w:rPr>
                <w:rFonts w:ascii="Noto Sans" w:eastAsia="Noto Sans" w:hAnsi="Noto Sans" w:cs="Noto Sans"/>
                <w:color w:val="434343"/>
                <w:sz w:val="18"/>
                <w:szCs w:val="18"/>
              </w:rPr>
              <w:t xml:space="preserve">technical </w:t>
            </w:r>
            <w:r w:rsidRPr="00504915">
              <w:rPr>
                <w:rFonts w:ascii="Noto Sans" w:eastAsia="Noto Sans" w:hAnsi="Noto Sans" w:cs="Noto Sans"/>
                <w:color w:val="434343"/>
                <w:sz w:val="18"/>
                <w:szCs w:val="18"/>
                <w:lang w:val="en-DE"/>
              </w:rPr>
              <w:t>replicates at two levels:</w:t>
            </w:r>
          </w:p>
          <w:p w14:paraId="45503683" w14:textId="1F45355B" w:rsidR="00596775" w:rsidRPr="00596775" w:rsidRDefault="00A374F2" w:rsidP="00596775">
            <w:pPr>
              <w:rPr>
                <w:rFonts w:ascii="Noto Sans" w:eastAsia="Noto Sans" w:hAnsi="Noto Sans" w:cs="Noto Sans"/>
                <w:color w:val="434343"/>
                <w:sz w:val="18"/>
                <w:szCs w:val="18"/>
              </w:rPr>
            </w:pPr>
            <w:r w:rsidRPr="00A374F2">
              <w:rPr>
                <w:rFonts w:ascii="Noto Sans" w:eastAsia="Noto Sans" w:hAnsi="Noto Sans" w:cs="Noto Sans"/>
                <w:color w:val="434343"/>
                <w:sz w:val="18"/>
                <w:szCs w:val="18"/>
              </w:rPr>
              <w:t>1.</w:t>
            </w:r>
            <w:r>
              <w:rPr>
                <w:rFonts w:ascii="Noto Sans" w:eastAsia="Noto Sans" w:hAnsi="Noto Sans" w:cs="Noto Sans"/>
                <w:b/>
                <w:bCs/>
                <w:color w:val="434343"/>
                <w:sz w:val="18"/>
                <w:szCs w:val="18"/>
              </w:rPr>
              <w:t xml:space="preserve"> </w:t>
            </w:r>
            <w:r w:rsidR="00596775">
              <w:rPr>
                <w:rFonts w:ascii="Noto Sans" w:eastAsia="Noto Sans" w:hAnsi="Noto Sans" w:cs="Noto Sans"/>
                <w:color w:val="434343"/>
                <w:sz w:val="18"/>
                <w:szCs w:val="18"/>
              </w:rPr>
              <w:t xml:space="preserve">Two </w:t>
            </w:r>
            <w:r w:rsidR="00504915" w:rsidRPr="00504915">
              <w:rPr>
                <w:rFonts w:ascii="Noto Sans" w:eastAsia="Noto Sans" w:hAnsi="Noto Sans" w:cs="Noto Sans"/>
                <w:color w:val="434343"/>
                <w:sz w:val="18"/>
                <w:szCs w:val="18"/>
                <w:lang w:val="en-DE"/>
              </w:rPr>
              <w:t>librar</w:t>
            </w:r>
            <w:proofErr w:type="spellStart"/>
            <w:r w:rsidR="00596775">
              <w:rPr>
                <w:rFonts w:ascii="Noto Sans" w:eastAsia="Noto Sans" w:hAnsi="Noto Sans" w:cs="Noto Sans"/>
                <w:color w:val="434343"/>
                <w:sz w:val="18"/>
                <w:szCs w:val="18"/>
              </w:rPr>
              <w:t>ies</w:t>
            </w:r>
            <w:proofErr w:type="spellEnd"/>
            <w:r w:rsidR="00504915" w:rsidRPr="00504915">
              <w:rPr>
                <w:rFonts w:ascii="Noto Sans" w:eastAsia="Noto Sans" w:hAnsi="Noto Sans" w:cs="Noto Sans"/>
                <w:color w:val="434343"/>
                <w:sz w:val="18"/>
                <w:szCs w:val="18"/>
                <w:lang w:val="en-DE"/>
              </w:rPr>
              <w:t xml:space="preserve"> </w:t>
            </w:r>
            <w:r w:rsidR="00596775">
              <w:rPr>
                <w:rFonts w:ascii="Noto Sans" w:eastAsia="Noto Sans" w:hAnsi="Noto Sans" w:cs="Noto Sans"/>
                <w:color w:val="434343"/>
                <w:sz w:val="18"/>
                <w:szCs w:val="18"/>
              </w:rPr>
              <w:t>were</w:t>
            </w:r>
            <w:r w:rsidR="00504915" w:rsidRPr="00504915">
              <w:rPr>
                <w:rFonts w:ascii="Noto Sans" w:eastAsia="Noto Sans" w:hAnsi="Noto Sans" w:cs="Noto Sans"/>
                <w:color w:val="434343"/>
                <w:sz w:val="18"/>
                <w:szCs w:val="18"/>
                <w:lang w:val="en-DE"/>
              </w:rPr>
              <w:t xml:space="preserve"> prepared from </w:t>
            </w:r>
            <w:r w:rsidR="00596775">
              <w:rPr>
                <w:rFonts w:ascii="Noto Sans" w:eastAsia="Noto Sans" w:hAnsi="Noto Sans" w:cs="Noto Sans"/>
                <w:color w:val="434343"/>
                <w:sz w:val="18"/>
                <w:szCs w:val="18"/>
              </w:rPr>
              <w:t>each</w:t>
            </w:r>
            <w:r w:rsidR="00504915" w:rsidRPr="00504915">
              <w:rPr>
                <w:rFonts w:ascii="Noto Sans" w:eastAsia="Noto Sans" w:hAnsi="Noto Sans" w:cs="Noto Sans"/>
                <w:color w:val="434343"/>
                <w:sz w:val="18"/>
                <w:szCs w:val="18"/>
                <w:lang w:val="en-DE"/>
              </w:rPr>
              <w:t xml:space="preserve"> tissue (</w:t>
            </w:r>
            <w:r w:rsidR="00596775">
              <w:rPr>
                <w:rFonts w:ascii="Noto Sans" w:eastAsia="Noto Sans" w:hAnsi="Noto Sans" w:cs="Noto Sans"/>
                <w:color w:val="434343"/>
                <w:sz w:val="18"/>
                <w:szCs w:val="18"/>
              </w:rPr>
              <w:t xml:space="preserve">different </w:t>
            </w:r>
            <w:r w:rsidR="00504915" w:rsidRPr="00504915">
              <w:rPr>
                <w:rFonts w:ascii="Noto Sans" w:eastAsia="Noto Sans" w:hAnsi="Noto Sans" w:cs="Noto Sans"/>
                <w:color w:val="434343"/>
                <w:sz w:val="18"/>
                <w:szCs w:val="18"/>
                <w:lang w:val="en-DE"/>
              </w:rPr>
              <w:t>brain regions, skin, retina, mantle/epidermis, arm/tentacle) of the single F0 individual</w:t>
            </w:r>
            <w:r w:rsidR="00596775">
              <w:rPr>
                <w:rFonts w:ascii="Noto Sans" w:eastAsia="Noto Sans" w:hAnsi="Noto Sans" w:cs="Noto Sans"/>
                <w:color w:val="434343"/>
                <w:sz w:val="18"/>
                <w:szCs w:val="18"/>
              </w:rPr>
              <w:t>.</w:t>
            </w:r>
          </w:p>
          <w:p w14:paraId="269951B8" w14:textId="77777777" w:rsidR="00596775" w:rsidRDefault="00596775" w:rsidP="00596775">
            <w:pPr>
              <w:rPr>
                <w:rFonts w:ascii="Noto Sans" w:eastAsia="Noto Sans" w:hAnsi="Noto Sans" w:cs="Noto Sans"/>
                <w:color w:val="434343"/>
                <w:sz w:val="18"/>
                <w:szCs w:val="18"/>
                <w:lang w:val="en-DE"/>
              </w:rPr>
            </w:pPr>
            <w:r>
              <w:rPr>
                <w:rFonts w:ascii="Noto Sans" w:eastAsia="Noto Sans" w:hAnsi="Noto Sans" w:cs="Noto Sans"/>
                <w:color w:val="434343"/>
                <w:sz w:val="18"/>
                <w:szCs w:val="18"/>
              </w:rPr>
              <w:t>2. Each</w:t>
            </w:r>
            <w:r w:rsidR="00504915" w:rsidRPr="00504915">
              <w:rPr>
                <w:rFonts w:ascii="Noto Sans" w:eastAsia="Noto Sans" w:hAnsi="Noto Sans" w:cs="Noto Sans"/>
                <w:color w:val="434343"/>
                <w:sz w:val="18"/>
                <w:szCs w:val="18"/>
                <w:lang w:val="en-DE"/>
              </w:rPr>
              <w:t xml:space="preserve"> library</w:t>
            </w:r>
            <w:r>
              <w:rPr>
                <w:rFonts w:ascii="Noto Sans" w:eastAsia="Noto Sans" w:hAnsi="Noto Sans" w:cs="Noto Sans"/>
                <w:color w:val="434343"/>
                <w:sz w:val="18"/>
                <w:szCs w:val="18"/>
              </w:rPr>
              <w:t xml:space="preserve"> </w:t>
            </w:r>
            <w:r w:rsidR="00504915" w:rsidRPr="00504915">
              <w:rPr>
                <w:rFonts w:ascii="Noto Sans" w:eastAsia="Noto Sans" w:hAnsi="Noto Sans" w:cs="Noto Sans"/>
                <w:color w:val="434343"/>
                <w:sz w:val="18"/>
                <w:szCs w:val="18"/>
                <w:lang w:val="en-DE"/>
              </w:rPr>
              <w:t>was sequenced twice, once on an Illumina NextSeq500 and once on an Illumina NextSeq2000, providing two technical replicates per library</w:t>
            </w:r>
            <w:r>
              <w:rPr>
                <w:rFonts w:ascii="Noto Sans" w:eastAsia="Noto Sans" w:hAnsi="Noto Sans" w:cs="Noto Sans"/>
                <w:color w:val="434343"/>
                <w:sz w:val="18"/>
                <w:szCs w:val="18"/>
              </w:rPr>
              <w:t>, and four replicates per tissue (except for the retina, which were only sequenced once on the NextSeq500).</w:t>
            </w:r>
            <w:r w:rsidR="00504915" w:rsidRPr="00504915">
              <w:rPr>
                <w:rFonts w:ascii="Noto Sans" w:eastAsia="Noto Sans" w:hAnsi="Noto Sans" w:cs="Noto Sans"/>
                <w:color w:val="434343"/>
                <w:sz w:val="18"/>
                <w:szCs w:val="18"/>
                <w:lang w:val="en-DE"/>
              </w:rPr>
              <w:t xml:space="preserve"> </w:t>
            </w:r>
          </w:p>
          <w:p w14:paraId="782F5A8A" w14:textId="5D19F137" w:rsidR="00A907D9" w:rsidRPr="00596775" w:rsidRDefault="00504915">
            <w:pPr>
              <w:rPr>
                <w:rFonts w:ascii="Noto Sans" w:eastAsia="Noto Sans" w:hAnsi="Noto Sans" w:cs="Noto Sans"/>
                <w:color w:val="434343"/>
                <w:sz w:val="18"/>
                <w:szCs w:val="18"/>
              </w:rPr>
            </w:pPr>
            <w:r w:rsidRPr="00504915">
              <w:rPr>
                <w:rFonts w:ascii="Noto Sans" w:eastAsia="Noto Sans" w:hAnsi="Noto Sans" w:cs="Noto Sans"/>
                <w:color w:val="434343"/>
                <w:sz w:val="18"/>
                <w:szCs w:val="18"/>
                <w:lang w:val="en-DE"/>
              </w:rPr>
              <w:t>Reads</w:t>
            </w:r>
            <w:r w:rsidR="00596775">
              <w:rPr>
                <w:rFonts w:ascii="Noto Sans" w:eastAsia="Noto Sans" w:hAnsi="Noto Sans" w:cs="Noto Sans"/>
                <w:color w:val="434343"/>
                <w:sz w:val="18"/>
                <w:szCs w:val="18"/>
              </w:rPr>
              <w:t xml:space="preserve"> from all replicates</w:t>
            </w:r>
            <w:r w:rsidRPr="00504915">
              <w:rPr>
                <w:rFonts w:ascii="Noto Sans" w:eastAsia="Noto Sans" w:hAnsi="Noto Sans" w:cs="Noto Sans"/>
                <w:color w:val="434343"/>
                <w:sz w:val="18"/>
                <w:szCs w:val="18"/>
                <w:lang w:val="en-DE"/>
              </w:rPr>
              <w:t xml:space="preserve"> were combined prior to gene-level counting and differential expression analysi</w:t>
            </w:r>
            <w:r w:rsidR="00596775">
              <w:rPr>
                <w:rFonts w:ascii="Noto Sans" w:eastAsia="Noto Sans" w:hAnsi="Noto Sans" w:cs="Noto Sans"/>
                <w:color w:val="434343"/>
                <w:sz w:val="18"/>
                <w:szCs w:val="18"/>
              </w:rPr>
              <w:t xml:space="preserve">s on a tissue level. </w:t>
            </w:r>
            <w:r w:rsidRPr="00504915">
              <w:rPr>
                <w:rFonts w:ascii="Noto Sans" w:eastAsia="Noto Sans" w:hAnsi="Noto Sans" w:cs="Noto Sans"/>
                <w:color w:val="434343"/>
                <w:sz w:val="18"/>
                <w:szCs w:val="18"/>
                <w:lang w:val="en-DE"/>
              </w:rPr>
              <w:t>No technical replicates were performed for any other sequencing modality (long-read DNA, Iso-Seq, Omni-C, short-read DNA).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1486F"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N/A — no human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49E2B"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A4BB46"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"Animal husbandry" and "Tissue preparation" sections.</w:t>
            </w:r>
          </w:p>
          <w:p w14:paraId="36B15C99"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Procedures complied with EU Directive 2010/63/EU, the German animal welfare act, and FELASA guidelines, and followed the Guidelines for the Care and Welfare of Cephalopods in Research (Fiorito et al. 2015; Ponte et al. 2023) and the cephalopod anaesthesia/euthanasia recommendations of Andrews et al. 2013. Institutional project licence number: F126/1025. The terminal anaesthesia carried out for tissue collection is not classified as a regulated procedure under EU Directive 2010/63/EU.</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A3033"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"Animal husbandry" section.</w:t>
            </w:r>
          </w:p>
          <w:p w14:paraId="4FF4FEDB" w14:textId="3F979BB1" w:rsidR="005E45BF" w:rsidRPr="005E45BF" w:rsidRDefault="00DB1E30" w:rsidP="005E45B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Cuttlefish eggs </w:t>
            </w:r>
            <w:r>
              <w:rPr>
                <w:rFonts w:ascii="Noto Sans" w:eastAsia="Noto Sans" w:hAnsi="Noto Sans" w:cs="Noto Sans"/>
                <w:color w:val="434343"/>
                <w:sz w:val="18"/>
                <w:szCs w:val="18"/>
              </w:rPr>
              <w:t xml:space="preserve">were obtained from </w:t>
            </w:r>
            <w:r>
              <w:rPr>
                <w:rFonts w:ascii="Noto Sans" w:eastAsia="Noto Sans" w:hAnsi="Noto Sans" w:cs="Noto Sans"/>
                <w:color w:val="434343"/>
                <w:sz w:val="18"/>
                <w:szCs w:val="18"/>
              </w:rPr>
              <w:t>the licensed commercial supplier Flying Sharks – consultoria e inovação, Lda. (Rua Farrobim do Sul 116, 9900-361 Horta, Azores, Portugal</w:t>
            </w:r>
            <w:r>
              <w:rPr>
                <w:rFonts w:ascii="Noto Sans" w:eastAsia="Noto Sans" w:hAnsi="Noto Sans" w:cs="Noto Sans"/>
                <w:color w:val="434343"/>
                <w:sz w:val="18"/>
                <w:szCs w:val="18"/>
              </w:rPr>
              <w:t>),</w:t>
            </w:r>
            <w:r w:rsidR="005E45BF">
              <w:rPr>
                <w:rFonts w:ascii="Noto Sans" w:eastAsia="Noto Sans" w:hAnsi="Noto Sans" w:cs="Noto Sans"/>
                <w:color w:val="434343"/>
                <w:sz w:val="18"/>
                <w:szCs w:val="18"/>
              </w:rPr>
              <w:t xml:space="preserve"> and the </w:t>
            </w:r>
            <w:r w:rsidR="005E45BF" w:rsidRPr="005E45BF">
              <w:rPr>
                <w:rFonts w:ascii="Noto Sans" w:eastAsia="Noto Sans" w:hAnsi="Noto Sans" w:cs="Noto Sans"/>
                <w:color w:val="434343"/>
                <w:sz w:val="18"/>
                <w:szCs w:val="18"/>
              </w:rPr>
              <w:t xml:space="preserve">Université de Caen Normandie, </w:t>
            </w:r>
          </w:p>
          <w:p w14:paraId="7CEE44E1" w14:textId="2B0FE275" w:rsidR="005E45BF" w:rsidRPr="005E45BF" w:rsidRDefault="005E45BF" w:rsidP="005E45BF">
            <w:pPr>
              <w:rPr>
                <w:rFonts w:ascii="Noto Sans" w:eastAsia="Noto Sans" w:hAnsi="Noto Sans" w:cs="Noto Sans"/>
                <w:color w:val="434343"/>
                <w:sz w:val="18"/>
                <w:szCs w:val="18"/>
              </w:rPr>
            </w:pPr>
            <w:r w:rsidRPr="00F66A66">
              <w:rPr>
                <w:rFonts w:ascii="Noto Sans" w:eastAsia="Noto Sans" w:hAnsi="Noto Sans" w:cs="Noto Sans"/>
                <w:color w:val="434343"/>
                <w:sz w:val="18"/>
                <w:szCs w:val="18"/>
              </w:rPr>
              <w:t>(</w:t>
            </w:r>
            <w:r w:rsidRPr="005E45BF">
              <w:rPr>
                <w:rFonts w:ascii="Noto Sans" w:eastAsia="Noto Sans" w:hAnsi="Noto Sans" w:cs="Noto Sans"/>
                <w:color w:val="434343"/>
                <w:sz w:val="18"/>
                <w:szCs w:val="18"/>
              </w:rPr>
              <w:t xml:space="preserve">UMR 6552 </w:t>
            </w:r>
            <w:proofErr w:type="spellStart"/>
            <w:r w:rsidR="00F66A66" w:rsidRPr="00F66A66">
              <w:rPr>
                <w:rFonts w:ascii="Noto Sans" w:eastAsia="Noto Sans" w:hAnsi="Noto Sans" w:cs="Noto Sans"/>
                <w:color w:val="434343"/>
                <w:sz w:val="18"/>
                <w:szCs w:val="18"/>
              </w:rPr>
              <w:t>EthoS</w:t>
            </w:r>
            <w:proofErr w:type="spellEnd"/>
            <w:r w:rsidR="00F66A66" w:rsidRPr="00F66A66">
              <w:rPr>
                <w:rFonts w:ascii="Noto Sans" w:eastAsia="Noto Sans" w:hAnsi="Noto Sans" w:cs="Noto Sans"/>
                <w:color w:val="434343"/>
                <w:sz w:val="18"/>
                <w:szCs w:val="18"/>
              </w:rPr>
              <w:t xml:space="preserve">, </w:t>
            </w:r>
            <w:proofErr w:type="spellStart"/>
            <w:r w:rsidR="00F66A66" w:rsidRPr="00F66A66">
              <w:rPr>
                <w:rFonts w:ascii="Noto Sans" w:eastAsia="Noto Sans" w:hAnsi="Noto Sans" w:cs="Noto Sans"/>
                <w:color w:val="434343"/>
                <w:sz w:val="18"/>
                <w:szCs w:val="18"/>
              </w:rPr>
              <w:t>Ethologie</w:t>
            </w:r>
            <w:proofErr w:type="spellEnd"/>
            <w:r w:rsidR="00F66A66" w:rsidRPr="00F66A66">
              <w:rPr>
                <w:rFonts w:ascii="Noto Sans" w:eastAsia="Noto Sans" w:hAnsi="Noto Sans" w:cs="Noto Sans"/>
                <w:color w:val="434343"/>
                <w:sz w:val="18"/>
                <w:szCs w:val="18"/>
              </w:rPr>
              <w:t xml:space="preserve"> </w:t>
            </w:r>
            <w:proofErr w:type="spellStart"/>
            <w:r w:rsidR="00F66A66" w:rsidRPr="00F66A66">
              <w:rPr>
                <w:rFonts w:ascii="Noto Sans" w:eastAsia="Noto Sans" w:hAnsi="Noto Sans" w:cs="Noto Sans"/>
                <w:color w:val="434343"/>
                <w:sz w:val="18"/>
                <w:szCs w:val="18"/>
              </w:rPr>
              <w:t>Animale</w:t>
            </w:r>
            <w:proofErr w:type="spellEnd"/>
            <w:r w:rsidR="00F66A66" w:rsidRPr="00F66A66">
              <w:rPr>
                <w:rFonts w:ascii="Noto Sans" w:eastAsia="Noto Sans" w:hAnsi="Noto Sans" w:cs="Noto Sans"/>
                <w:color w:val="434343"/>
                <w:sz w:val="18"/>
                <w:szCs w:val="18"/>
              </w:rPr>
              <w:t xml:space="preserve"> et </w:t>
            </w:r>
            <w:proofErr w:type="spellStart"/>
            <w:r w:rsidR="00F66A66" w:rsidRPr="00F66A66">
              <w:rPr>
                <w:rFonts w:ascii="Noto Sans" w:eastAsia="Noto Sans" w:hAnsi="Noto Sans" w:cs="Noto Sans"/>
                <w:color w:val="434343"/>
                <w:sz w:val="18"/>
                <w:szCs w:val="18"/>
              </w:rPr>
              <w:t>Humaine</w:t>
            </w:r>
            <w:proofErr w:type="spellEnd"/>
            <w:r w:rsidR="00F66A66" w:rsidRPr="00F66A66">
              <w:rPr>
                <w:rFonts w:ascii="Noto Sans" w:eastAsia="Noto Sans" w:hAnsi="Noto Sans" w:cs="Noto Sans"/>
                <w:color w:val="434343"/>
                <w:sz w:val="18"/>
                <w:szCs w:val="18"/>
              </w:rPr>
              <w:t xml:space="preserve"> CNRS-Rennes I-Caen</w:t>
            </w:r>
            <w:r w:rsidR="00F66A66" w:rsidRPr="00F66A66">
              <w:rPr>
                <w:rFonts w:ascii="Noto Sans" w:eastAsia="Noto Sans" w:hAnsi="Noto Sans" w:cs="Noto Sans"/>
                <w:color w:val="434343"/>
                <w:sz w:val="18"/>
                <w:szCs w:val="18"/>
              </w:rPr>
              <w:t xml:space="preserve">, </w:t>
            </w:r>
            <w:r w:rsidR="00F66A66" w:rsidRPr="00F66A66">
              <w:rPr>
                <w:rFonts w:ascii="Noto Sans" w:eastAsia="Noto Sans" w:hAnsi="Noto Sans" w:cs="Noto Sans"/>
                <w:color w:val="434343"/>
                <w:sz w:val="18"/>
                <w:szCs w:val="18"/>
              </w:rPr>
              <w:t>Neuro-</w:t>
            </w:r>
            <w:proofErr w:type="spellStart"/>
            <w:r w:rsidR="00F66A66" w:rsidRPr="00F66A66">
              <w:rPr>
                <w:rFonts w:ascii="Noto Sans" w:eastAsia="Noto Sans" w:hAnsi="Noto Sans" w:cs="Noto Sans"/>
                <w:color w:val="434343"/>
                <w:sz w:val="18"/>
                <w:szCs w:val="18"/>
              </w:rPr>
              <w:t>Ethologie</w:t>
            </w:r>
            <w:proofErr w:type="spellEnd"/>
            <w:r w:rsidR="00F66A66" w:rsidRPr="00F66A66">
              <w:rPr>
                <w:rFonts w:ascii="Noto Sans" w:eastAsia="Noto Sans" w:hAnsi="Noto Sans" w:cs="Noto Sans"/>
                <w:color w:val="434343"/>
                <w:sz w:val="18"/>
                <w:szCs w:val="18"/>
              </w:rPr>
              <w:t xml:space="preserve"> Cognitive des </w:t>
            </w:r>
            <w:proofErr w:type="spellStart"/>
            <w:r w:rsidR="00F66A66" w:rsidRPr="00F66A66">
              <w:rPr>
                <w:rFonts w:ascii="Noto Sans" w:eastAsia="Noto Sans" w:hAnsi="Noto Sans" w:cs="Noto Sans"/>
                <w:color w:val="434343"/>
                <w:sz w:val="18"/>
                <w:szCs w:val="18"/>
              </w:rPr>
              <w:t>Céphalopodes</w:t>
            </w:r>
            <w:proofErr w:type="spellEnd"/>
            <w:r w:rsidR="00F66A66" w:rsidRPr="00F66A66">
              <w:rPr>
                <w:rFonts w:ascii="Noto Sans" w:eastAsia="Noto Sans" w:hAnsi="Noto Sans" w:cs="Noto Sans"/>
                <w:color w:val="434343"/>
                <w:sz w:val="18"/>
                <w:szCs w:val="18"/>
              </w:rPr>
              <w:t xml:space="preserve"> (NECC)</w:t>
            </w:r>
            <w:r w:rsidR="00F66A66">
              <w:rPr>
                <w:rFonts w:ascii="Noto Sans" w:eastAsia="Noto Sans" w:hAnsi="Noto Sans" w:cs="Noto Sans"/>
                <w:color w:val="434343"/>
                <w:sz w:val="18"/>
                <w:szCs w:val="18"/>
              </w:rPr>
              <w:t>,</w:t>
            </w:r>
            <w:r w:rsidR="00F66A66" w:rsidRPr="00F66A66">
              <w:rPr>
                <w:rFonts w:ascii="Noto Sans" w:eastAsia="Noto Sans" w:hAnsi="Noto Sans" w:cs="Noto Sans"/>
                <w:color w:val="434343"/>
                <w:sz w:val="18"/>
                <w:szCs w:val="18"/>
                <w:lang w:val="en-GB"/>
              </w:rPr>
              <w:t xml:space="preserve"> </w:t>
            </w:r>
            <w:r w:rsidRPr="005E45BF">
              <w:rPr>
                <w:rFonts w:ascii="Noto Sans" w:eastAsia="Noto Sans" w:hAnsi="Noto Sans" w:cs="Noto Sans"/>
                <w:color w:val="434343"/>
                <w:sz w:val="18"/>
                <w:szCs w:val="18"/>
                <w:lang w:val="en-GB"/>
              </w:rPr>
              <w:t>Campus 5</w:t>
            </w:r>
            <w:r>
              <w:rPr>
                <w:rFonts w:ascii="Noto Sans" w:eastAsia="Noto Sans" w:hAnsi="Noto Sans" w:cs="Noto Sans"/>
                <w:color w:val="434343"/>
                <w:sz w:val="18"/>
                <w:szCs w:val="18"/>
                <w:lang w:val="en-GB"/>
              </w:rPr>
              <w:t>,</w:t>
            </w:r>
            <w:r w:rsidRPr="005E45BF">
              <w:rPr>
                <w:rFonts w:ascii="Noto Sans" w:eastAsia="Noto Sans" w:hAnsi="Noto Sans" w:cs="Noto Sans"/>
                <w:color w:val="434343"/>
                <w:sz w:val="18"/>
                <w:szCs w:val="18"/>
                <w:lang w:val="en-GB"/>
              </w:rPr>
              <w:t xml:space="preserve"> J.</w:t>
            </w:r>
            <w:r w:rsidR="00F66A66">
              <w:rPr>
                <w:rFonts w:ascii="Noto Sans" w:eastAsia="Noto Sans" w:hAnsi="Noto Sans" w:cs="Noto Sans"/>
                <w:color w:val="434343"/>
                <w:sz w:val="18"/>
                <w:szCs w:val="18"/>
                <w:lang w:val="en-GB"/>
              </w:rPr>
              <w:t xml:space="preserve"> </w:t>
            </w:r>
            <w:r w:rsidRPr="005E45BF">
              <w:rPr>
                <w:rFonts w:ascii="Noto Sans" w:eastAsia="Noto Sans" w:hAnsi="Noto Sans" w:cs="Noto Sans"/>
                <w:color w:val="434343"/>
                <w:sz w:val="18"/>
                <w:szCs w:val="18"/>
                <w:lang w:val="en-GB"/>
              </w:rPr>
              <w:t>Horowitz</w:t>
            </w:r>
            <w:r w:rsidR="00F66A66">
              <w:rPr>
                <w:rFonts w:ascii="Noto Sans" w:eastAsia="Noto Sans" w:hAnsi="Noto Sans" w:cs="Noto Sans"/>
                <w:color w:val="434343"/>
                <w:sz w:val="18"/>
                <w:szCs w:val="18"/>
                <w:lang w:val="en-GB"/>
              </w:rPr>
              <w:t>,</w:t>
            </w:r>
            <w:r w:rsidR="00F66A66">
              <w:rPr>
                <w:rFonts w:ascii="Noto Sans" w:eastAsia="Noto Sans" w:hAnsi="Noto Sans" w:cs="Noto Sans"/>
                <w:color w:val="434343"/>
                <w:sz w:val="18"/>
                <w:szCs w:val="18"/>
              </w:rPr>
              <w:t xml:space="preserve"> </w:t>
            </w:r>
          </w:p>
          <w:p w14:paraId="4C57ED78" w14:textId="5585757F" w:rsidR="00A907D9" w:rsidRDefault="005E45BF">
            <w:pPr>
              <w:rPr>
                <w:rFonts w:ascii="Noto Sans" w:eastAsia="Noto Sans" w:hAnsi="Noto Sans" w:cs="Noto Sans"/>
                <w:color w:val="434343"/>
                <w:sz w:val="18"/>
                <w:szCs w:val="18"/>
              </w:rPr>
            </w:pPr>
            <w:r w:rsidRPr="005E45BF">
              <w:rPr>
                <w:rFonts w:ascii="Noto Sans" w:eastAsia="Noto Sans" w:hAnsi="Noto Sans" w:cs="Noto Sans"/>
                <w:color w:val="434343"/>
                <w:sz w:val="18"/>
                <w:szCs w:val="18"/>
                <w:lang w:val="en-GB"/>
              </w:rPr>
              <w:t xml:space="preserve">14032 </w:t>
            </w:r>
            <w:r>
              <w:rPr>
                <w:rFonts w:ascii="Noto Sans" w:eastAsia="Noto Sans" w:hAnsi="Noto Sans" w:cs="Noto Sans"/>
                <w:color w:val="434343"/>
                <w:sz w:val="18"/>
                <w:szCs w:val="18"/>
                <w:lang w:val="en-GB"/>
              </w:rPr>
              <w:t>Caen, France)</w:t>
            </w:r>
            <w:r w:rsidR="00DB1E30">
              <w:rPr>
                <w:rFonts w:ascii="Noto Sans" w:eastAsia="Noto Sans" w:hAnsi="Noto Sans" w:cs="Noto Sans"/>
                <w:color w:val="434343"/>
                <w:sz w:val="18"/>
                <w:szCs w:val="18"/>
              </w:rPr>
              <w:t xml:space="preserve"> </w:t>
            </w:r>
            <w:r w:rsidR="00DB1E30">
              <w:rPr>
                <w:rFonts w:ascii="Noto Sans" w:eastAsia="Noto Sans" w:hAnsi="Noto Sans" w:cs="Noto Sans"/>
                <w:color w:val="434343"/>
                <w:sz w:val="18"/>
                <w:szCs w:val="18"/>
              </w:rPr>
              <w:t>which hold</w:t>
            </w:r>
            <w:r w:rsidR="00DB1E30">
              <w:rPr>
                <w:rFonts w:ascii="Noto Sans" w:eastAsia="Noto Sans" w:hAnsi="Noto Sans" w:cs="Noto Sans"/>
                <w:color w:val="434343"/>
                <w:sz w:val="18"/>
                <w:szCs w:val="18"/>
              </w:rPr>
              <w:t xml:space="preserve"> the relevant collection authorisations. An independent field-collection permit was therefore not required by the authors.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3DDF5F"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N/A — study describes a non-pathogen invertebrate reference genome and is not subject to dual-use </w:t>
            </w:r>
            <w:r>
              <w:rPr>
                <w:rFonts w:ascii="Noto Sans" w:eastAsia="Noto Sans" w:hAnsi="Noto Sans" w:cs="Noto Sans"/>
                <w:color w:val="434343"/>
                <w:sz w:val="18"/>
                <w:szCs w:val="18"/>
              </w:rPr>
              <w:t>research of concern regulations.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AF23FE"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049101"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w:t>
            </w:r>
          </w:p>
          <w:p w14:paraId="503BA303"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All exclusion / inclusion criteria were pre-established and are stated in the relevant analysis sections.</w:t>
            </w:r>
          </w:p>
          <w:p w14:paraId="1AE98727"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(i) Bulk RNA-seq: genes retained only if ≥10 counts in ≥3 samples prior to DESeq2 ("Bulk RNA-seq analysis"); GO terms restricted to those annotating 5–500 genes in the expressed-gene universe.</w:t>
            </w:r>
          </w:p>
          <w:p w14:paraId="0BF2AD93"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(ii) Coverage analysis: uniquely mapping reads only (STAR); MAPQ ≥ 10 for HiFi count_coverage; only chromosomes with ≥10% reduction in median normalised depth considered for sex-chromosome calls.</w:t>
            </w:r>
          </w:p>
          <w:p w14:paraId="77F9A209"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(iii) Synteny analysis: minimum block size 5 anchor genes, maximum 5 intervening non-anchors, no secondary syntenic hits, etc. (parameter values in "Whole genome alignment and synteny analysis").</w:t>
            </w:r>
          </w:p>
          <w:p w14:paraId="3ECA37F8"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(iv) Gene-family analysis: orthogroups present in a single species were excluded; orthogroups with ≥100 copies in any species were separated prior to CAFE5 modelling ("Gene family expansion analysis").</w:t>
            </w:r>
          </w:p>
          <w:p w14:paraId="6ED1F2F1"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No animal-level exclusions occurred; the F1 individual was the sole source of all DNA, Iso-Seq, Omni-C, and short-read DNA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61FD31"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Materials and Methods </w:t>
            </w:r>
            <w:r>
              <w:rPr>
                <w:rFonts w:ascii="Noto Sans" w:eastAsia="Noto Sans" w:hAnsi="Noto Sans" w:cs="Noto Sans"/>
                <w:color w:val="434343"/>
                <w:sz w:val="18"/>
                <w:szCs w:val="18"/>
              </w:rPr>
              <w:t>(multiple sub-sections).</w:t>
            </w:r>
          </w:p>
          <w:p w14:paraId="553AFB05"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Coverage analysis: empirical p-values for breakpoint trans-contact rates against the genome-wide background distribution; one-tailed Wilcoxon rank-sum test for the three DToL breakpoints jointly.</w:t>
            </w:r>
          </w:p>
          <w:p w14:paraId="52BCCDD3"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Sex-chromosome analysis: one-sided Wilcoxon rank-sum test of per-chromosome normalised </w:t>
            </w:r>
            <w:r>
              <w:rPr>
                <w:rFonts w:ascii="Noto Sans" w:eastAsia="Noto Sans" w:hAnsi="Noto Sans" w:cs="Noto Sans"/>
                <w:color w:val="434343"/>
                <w:sz w:val="18"/>
                <w:szCs w:val="18"/>
              </w:rPr>
              <w:lastRenderedPageBreak/>
              <w:t>depth windows against all remaining chromosomes; p-values Benjamini-Hochberg adjusted.</w:t>
            </w:r>
          </w:p>
          <w:p w14:paraId="3030FDC8"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Gene-family expansion: CAFE5 v5.1.1 — four candidate models compared (base; Gamma with k = 2, 3, 4 rate categories); the Gamma k = 3 model was selected on the basis of the best (lowest) final log-likelihood; significant families called at p &lt; 0.05 after Bonferroni correction.</w:t>
            </w:r>
          </w:p>
          <w:p w14:paraId="6284AB3C"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RNA-seq differential expression: DESeq2 v1.42.0 Wald test in a one-vs-all design; log2 fold changes shrunk with apeglm; tissue markers defined by padj &lt; 0.05 (Benjamini-Hochberg), log2FC &gt; 1, mean target-tissue expression &gt; 5.</w:t>
            </w:r>
          </w:p>
          <w:p w14:paraId="16AA04E0"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GO enrichment: hypergeometric over-representation test via clusterProfiler's enricher(); Benjamini-Hochberg adjustment; FDR &lt; 0.05.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89C451"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3D2115"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"Data availability" section.</w:t>
            </w:r>
          </w:p>
          <w:p w14:paraId="6F2AEB4F" w14:textId="7DB551C3" w:rsidR="00A907D9" w:rsidRDefault="00DB1E30" w:rsidP="001C067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Genome </w:t>
            </w:r>
            <w:r>
              <w:rPr>
                <w:rFonts w:ascii="Noto Sans" w:eastAsia="Noto Sans" w:hAnsi="Noto Sans" w:cs="Noto Sans"/>
                <w:color w:val="434343"/>
                <w:sz w:val="18"/>
                <w:szCs w:val="18"/>
              </w:rPr>
              <w:t>assembly and raw data: NCBI BioProject PRJNA1091451; SRA study SRP570862. Genome as</w:t>
            </w:r>
            <w:r>
              <w:rPr>
                <w:rFonts w:ascii="Noto Sans" w:eastAsia="Noto Sans" w:hAnsi="Noto Sans" w:cs="Noto Sans"/>
                <w:color w:val="434343"/>
                <w:sz w:val="18"/>
                <w:szCs w:val="18"/>
              </w:rPr>
              <w:t>se</w:t>
            </w:r>
            <w:r>
              <w:rPr>
                <w:rFonts w:ascii="Noto Sans" w:eastAsia="Noto Sans" w:hAnsi="Noto Sans" w:cs="Noto Sans"/>
                <w:color w:val="434343"/>
                <w:sz w:val="18"/>
                <w:szCs w:val="18"/>
              </w:rPr>
              <w:t xml:space="preserve">mbly </w:t>
            </w:r>
            <w:r w:rsidR="001C067E" w:rsidRPr="001C067E">
              <w:rPr>
                <w:rFonts w:ascii="Noto Sans" w:eastAsia="Noto Sans" w:hAnsi="Noto Sans" w:cs="Noto Sans"/>
                <w:color w:val="434343"/>
                <w:sz w:val="18"/>
                <w:szCs w:val="18"/>
              </w:rPr>
              <w:t>GCA_050097725.1</w:t>
            </w:r>
            <w:r>
              <w:rPr>
                <w:rFonts w:ascii="Noto Sans" w:eastAsia="Noto Sans" w:hAnsi="Noto Sans" w:cs="Noto Sans"/>
                <w:color w:val="434343"/>
                <w:sz w:val="18"/>
                <w:szCs w:val="18"/>
              </w:rPr>
              <w:t xml:space="preserve">. Annotation files: </w:t>
            </w:r>
            <w:r w:rsidR="001C067E" w:rsidRPr="001C067E">
              <w:rPr>
                <w:rFonts w:ascii="Noto Sans" w:eastAsia="Noto Sans" w:hAnsi="Noto Sans" w:cs="Noto Sans"/>
                <w:color w:val="434343"/>
                <w:sz w:val="18"/>
                <w:szCs w:val="18"/>
              </w:rPr>
              <w:t>https://public.brain.mpg.de/</w:t>
            </w:r>
            <w:r w:rsidR="001C067E" w:rsidRPr="001C067E">
              <w:rPr>
                <w:rFonts w:ascii="Noto Sans" w:eastAsia="Noto Sans" w:hAnsi="Noto Sans" w:cs="Noto Sans"/>
                <w:color w:val="434343"/>
                <w:sz w:val="18"/>
                <w:szCs w:val="18"/>
              </w:rPr>
              <w:t>L</w:t>
            </w:r>
            <w:r w:rsidR="001C067E" w:rsidRPr="001C067E">
              <w:rPr>
                <w:rFonts w:ascii="Noto Sans" w:eastAsia="Noto Sans" w:hAnsi="Noto Sans" w:cs="Noto Sans"/>
                <w:color w:val="434343"/>
                <w:sz w:val="18"/>
                <w:szCs w:val="18"/>
              </w:rPr>
              <w:t>aurent/sepoff/annotation/</w:t>
            </w:r>
            <w:r w:rsidR="001C067E">
              <w:rPr>
                <w:rFonts w:ascii="Noto Sans" w:eastAsia="Noto Sans" w:hAnsi="Noto Sans" w:cs="Noto Sans"/>
                <w:color w:val="434343"/>
                <w:sz w:val="18"/>
                <w:szCs w:val="18"/>
              </w:rPr>
              <w:t xml:space="preserve"> and </w:t>
            </w:r>
            <w:r w:rsidR="001C067E" w:rsidRPr="001C067E">
              <w:rPr>
                <w:rFonts w:ascii="Noto Sans" w:eastAsia="Noto Sans" w:hAnsi="Noto Sans" w:cs="Noto Sans"/>
                <w:color w:val="434343"/>
                <w:sz w:val="18"/>
                <w:szCs w:val="18"/>
              </w:rPr>
              <w:t>doi:10.17617/</w:t>
            </w:r>
            <w:proofErr w:type="gramStart"/>
            <w:r w:rsidR="001C067E" w:rsidRPr="001C067E">
              <w:rPr>
                <w:rFonts w:ascii="Noto Sans" w:eastAsia="Noto Sans" w:hAnsi="Noto Sans" w:cs="Noto Sans"/>
                <w:color w:val="434343"/>
                <w:sz w:val="18"/>
                <w:szCs w:val="18"/>
              </w:rPr>
              <w:t>3.CGO</w:t>
            </w:r>
            <w:proofErr w:type="gramEnd"/>
            <w:r w:rsidR="001C067E" w:rsidRPr="001C067E">
              <w:rPr>
                <w:rFonts w:ascii="Noto Sans" w:eastAsia="Noto Sans" w:hAnsi="Noto Sans" w:cs="Noto Sans"/>
                <w:color w:val="434343"/>
                <w:sz w:val="18"/>
                <w:szCs w:val="18"/>
              </w:rPr>
              <w:t>7QG</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216E1" w14:textId="5143E846"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Main text, Table 2 ("Overview of gene annotation of 13 molluscan species used for gene family analysis"). Accession numbers and source URLs are given there for each reused proteome / genome (RefSeq, Ensembl, GWH, and custom sources).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84A634"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90B61"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"Data availability" section.</w:t>
            </w:r>
          </w:p>
          <w:p w14:paraId="3966770F" w14:textId="7F7E5F73"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Code for genome assembly and annotation: </w:t>
            </w:r>
            <w:proofErr w:type="gramStart"/>
            <w:r>
              <w:rPr>
                <w:rFonts w:ascii="Noto Sans" w:eastAsia="Noto Sans" w:hAnsi="Noto Sans" w:cs="Noto Sans"/>
                <w:color w:val="434343"/>
                <w:sz w:val="18"/>
                <w:szCs w:val="18"/>
              </w:rPr>
              <w:t>https://gitlab.mpcdf.mpg.de/mpibr/laur/cuttlefishomics/soffgenome  under</w:t>
            </w:r>
            <w:proofErr w:type="gramEnd"/>
            <w:r>
              <w:rPr>
                <w:rFonts w:ascii="Noto Sans" w:eastAsia="Noto Sans" w:hAnsi="Noto Sans" w:cs="Noto Sans"/>
                <w:color w:val="434343"/>
                <w:sz w:val="18"/>
                <w:szCs w:val="18"/>
              </w:rPr>
              <w:t xml:space="preserve"> MIT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F246BA"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Materials and Methods. All reused software is cited inline with tool name, version, and reference (e.g., hifiasm, YAHS, </w:t>
            </w:r>
            <w:r>
              <w:rPr>
                <w:rFonts w:ascii="Noto Sans" w:eastAsia="Noto Sans" w:hAnsi="Noto Sans" w:cs="Noto Sans"/>
                <w:color w:val="434343"/>
                <w:sz w:val="18"/>
                <w:szCs w:val="18"/>
              </w:rPr>
              <w:t>BRAKER3, RepeatMasker, RepeatModeler, GENESPACE, OrthoFinder, MCScanX, CAFE5, STAR, DESeq2, clusterProfiler, etc.). See also the accompanying Key Resources Table for full citations, DOIs and (where available) RRIDs.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9023F7"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"Animal husbandry" and "Tissue preparation" sections.</w:t>
            </w:r>
          </w:p>
          <w:p w14:paraId="53C07EC4"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Animal work followed: EU Directive 2010/63/EU; the German animal welfare act; FELASA guidelines; the Guidelines for the Care and Welfare of Cephalopods in Research (Fiorito et al. 2015; Ponte et al. 2023); and the cephalopod anaesthesia/euthanasia recommendations of Andrews et al. 2013.</w:t>
            </w:r>
          </w:p>
          <w:p w14:paraId="1ACBFC59"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ARRIVE: a separate ARRIVE checklist is not provided as animal use was limited to tissue collection under terminal anaesthesia (non-regulated procedure under EU Directive 2010/63/EU); the items relevant to </w:t>
            </w:r>
            <w:r>
              <w:rPr>
                <w:rFonts w:ascii="Noto Sans" w:eastAsia="Noto Sans" w:hAnsi="Noto Sans" w:cs="Noto Sans"/>
                <w:color w:val="434343"/>
                <w:sz w:val="18"/>
                <w:szCs w:val="18"/>
              </w:rPr>
              <w:lastRenderedPageBreak/>
              <w:t>such use are covered in this MDAR checklist.</w:t>
            </w:r>
          </w:p>
          <w:p w14:paraId="1E9C9F53" w14:textId="77777777" w:rsidR="00A907D9" w:rsidRDefault="00DB1E30">
            <w:pPr>
              <w:rPr>
                <w:rFonts w:ascii="Noto Sans" w:eastAsia="Noto Sans" w:hAnsi="Noto Sans" w:cs="Noto Sans"/>
                <w:color w:val="434343"/>
                <w:sz w:val="18"/>
                <w:szCs w:val="18"/>
              </w:rPr>
            </w:pPr>
            <w:r>
              <w:rPr>
                <w:rFonts w:ascii="Noto Sans" w:eastAsia="Noto Sans" w:hAnsi="Noto Sans" w:cs="Noto Sans"/>
                <w:color w:val="434343"/>
                <w:sz w:val="18"/>
                <w:szCs w:val="18"/>
              </w:rPr>
              <w:t>STRANGE: N/A — no behavioural component.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7FAC">
      <w:pPr>
        <w:spacing w:before="80"/>
      </w:pPr>
      <w:bookmarkStart w:id="3" w:name="_cm0qssfkw66b" w:colFirst="0" w:colLast="0"/>
      <w:bookmarkEnd w:id="3"/>
      <w:r>
        <w:rPr>
          <w:noProof/>
        </w:rPr>
      </w:r>
      <w:r w:rsidR="00A27FAC">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  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  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8064FE"/>
    <w:multiLevelType w:val="multilevel"/>
    <w:tmpl w:val="76BC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 w:numId="5" w16cid:durableId="683436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2D93"/>
    <w:rsid w:val="000B600B"/>
    <w:rsid w:val="001B3BCC"/>
    <w:rsid w:val="001C067E"/>
    <w:rsid w:val="002209A8"/>
    <w:rsid w:val="003207AE"/>
    <w:rsid w:val="003D5AF6"/>
    <w:rsid w:val="00400C53"/>
    <w:rsid w:val="00427975"/>
    <w:rsid w:val="004A60AA"/>
    <w:rsid w:val="004E2C31"/>
    <w:rsid w:val="00504915"/>
    <w:rsid w:val="00596775"/>
    <w:rsid w:val="005B0259"/>
    <w:rsid w:val="005E45BF"/>
    <w:rsid w:val="00672822"/>
    <w:rsid w:val="007054B6"/>
    <w:rsid w:val="0078687E"/>
    <w:rsid w:val="007D5DB6"/>
    <w:rsid w:val="00894B58"/>
    <w:rsid w:val="009C7B26"/>
    <w:rsid w:val="00A11E52"/>
    <w:rsid w:val="00A27FAC"/>
    <w:rsid w:val="00A374F2"/>
    <w:rsid w:val="00A907D9"/>
    <w:rsid w:val="00B2483D"/>
    <w:rsid w:val="00B876B8"/>
    <w:rsid w:val="00BD41E9"/>
    <w:rsid w:val="00C84413"/>
    <w:rsid w:val="00DB1E30"/>
    <w:rsid w:val="00F102CC"/>
    <w:rsid w:val="00F66A6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27FAC"/>
    <w:rPr>
      <w:color w:val="0000FF" w:themeColor="hyperlink"/>
      <w:u w:val="single"/>
    </w:rPr>
  </w:style>
  <w:style w:type="character" w:styleId="UnresolvedMention">
    <w:name w:val="Unresolved Mention"/>
    <w:basedOn w:val="DefaultParagraphFont"/>
    <w:uiPriority w:val="99"/>
    <w:semiHidden/>
    <w:unhideWhenUsed/>
    <w:rsid w:val="00A27FAC"/>
    <w:rPr>
      <w:color w:val="605E5C"/>
      <w:shd w:val="clear" w:color="auto" w:fill="E1DFDD"/>
    </w:rPr>
  </w:style>
  <w:style w:type="paragraph" w:styleId="ListParagraph">
    <w:name w:val="List Paragraph"/>
    <w:basedOn w:val="Normal"/>
    <w:uiPriority w:val="34"/>
    <w:qFormat/>
    <w:rsid w:val="00A374F2"/>
    <w:pPr>
      <w:ind w:left="720"/>
      <w:contextualSpacing/>
    </w:pPr>
  </w:style>
  <w:style w:type="character" w:styleId="FollowedHyperlink">
    <w:name w:val="FollowedHyperlink"/>
    <w:basedOn w:val="DefaultParagraphFont"/>
    <w:uiPriority w:val="99"/>
    <w:semiHidden/>
    <w:unhideWhenUsed/>
    <w:rsid w:val="001C0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01776">
      <w:bodyDiv w:val="1"/>
      <w:marLeft w:val="0"/>
      <w:marRight w:val="0"/>
      <w:marTop w:val="0"/>
      <w:marBottom w:val="0"/>
      <w:divBdr>
        <w:top w:val="none" w:sz="0" w:space="0" w:color="auto"/>
        <w:left w:val="none" w:sz="0" w:space="0" w:color="auto"/>
        <w:bottom w:val="none" w:sz="0" w:space="0" w:color="auto"/>
        <w:right w:val="none" w:sz="0" w:space="0" w:color="auto"/>
      </w:divBdr>
    </w:div>
    <w:div w:id="2056856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Rencken</cp:lastModifiedBy>
  <cp:revision>18</cp:revision>
  <dcterms:created xsi:type="dcterms:W3CDTF">2022-02-28T12:21:00Z</dcterms:created>
  <dcterms:modified xsi:type="dcterms:W3CDTF">2026-05-12T10:12:00Z</dcterms:modified>
</cp:coreProperties>
</file>