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proofErr w:type="spellStart"/>
      <w:r w:rsidR="002209A8">
        <w:rPr>
          <w:rFonts w:eastAsia="Calibri"/>
        </w:rPr>
        <w:fldChar w:fldCharType="begin"/>
      </w:r>
      <w:r w:rsidR="002209A8">
        <w:instrText xml:space="preserve"> HYPERLINK "http://biosharing.org/" \h </w:instrText>
      </w:r>
      <w:r w:rsidR="002209A8">
        <w:rPr>
          <w:rFonts w:eastAsia="Calibri"/>
        </w:rPr>
        <w:fldChar w:fldCharType="separate"/>
      </w:r>
      <w:r>
        <w:rPr>
          <w:rFonts w:ascii="Noto Sans" w:eastAsia="Noto Sans" w:hAnsi="Noto Sans" w:cs="Noto Sans"/>
          <w:color w:val="1155CC"/>
          <w:sz w:val="20"/>
          <w:szCs w:val="20"/>
          <w:u w:val="single"/>
        </w:rPr>
        <w:t>BioSharing</w:t>
      </w:r>
      <w:proofErr w:type="spellEnd"/>
      <w:r>
        <w:rPr>
          <w:rFonts w:ascii="Noto Sans" w:eastAsia="Noto Sans" w:hAnsi="Noto Sans" w:cs="Noto Sans"/>
          <w:color w:val="1155CC"/>
          <w:sz w:val="20"/>
          <w:szCs w:val="20"/>
          <w:u w:val="single"/>
        </w:rPr>
        <w:t xml:space="preserve"> Information Resource</w:t>
      </w:r>
      <w:r w:rsidR="002209A8">
        <w:rPr>
          <w:rFonts w:ascii="Noto Sans" w:eastAsia="Noto Sans" w:hAnsi="Noto Sans" w:cs="Noto Sans"/>
          <w:color w:val="1155CC"/>
          <w:sz w:val="20"/>
          <w:szCs w:val="20"/>
          <w:u w:val="single"/>
        </w:rPr>
        <w:fldChar w:fldCharType="end"/>
      </w:r>
      <w:r>
        <w:rPr>
          <w:rFonts w:ascii="Noto Sans" w:eastAsia="Noto Sans" w:hAnsi="Noto Sans" w:cs="Noto Sans"/>
          <w:sz w:val="20"/>
          <w:szCs w:val="20"/>
        </w:rPr>
        <w:t>), or animal research (see the </w:t>
      </w:r>
      <w:hyperlink r:id="rId9">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0">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1">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5"/>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17F427BC" w:rsidR="00F102CC" w:rsidRPr="003D5AF6" w:rsidRDefault="00F102CC">
            <w:pPr>
              <w:rPr>
                <w:rFonts w:ascii="Noto Sans" w:eastAsia="Noto Sans" w:hAnsi="Noto Sans" w:cs="Noto Sans"/>
                <w:bCs/>
                <w:color w:val="434343"/>
                <w:sz w:val="18"/>
                <w:szCs w:val="18"/>
              </w:rPr>
            </w:pPr>
            <w:r>
              <w:rPr>
                <w:sz w:val="18"/>
              </w:rPr>
              <w:t>The only newly created materials are the designed RNA aptamers (Ta variants and Ta</w:t>
            </w:r>
            <w:r w:rsidRPr="00E824B7">
              <w:rPr>
                <w:sz w:val="18"/>
                <w:vertAlign w:val="superscript"/>
              </w:rPr>
              <w:t>G34C</w:t>
            </w:r>
            <w:r>
              <w:rPr>
                <w:sz w:val="18"/>
              </w:rPr>
              <w:t>). Their complete sequences are provided in Supplementary File 1 (Table B) and in Materials and Methods (sections 4.1 and 4.8), so they can be freely synthesised by any laboratory. No physical materials are distributed and no restrictions apply to their access or use.</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334797D8" w:rsidR="00F102CC" w:rsidRPr="003D5AF6" w:rsidRDefault="00F102CC">
            <w:pPr>
              <w:rPr>
                <w:rFonts w:ascii="Noto Sans" w:eastAsia="Noto Sans" w:hAnsi="Noto Sans" w:cs="Noto Sans"/>
                <w:bCs/>
                <w:color w:val="434343"/>
                <w:sz w:val="18"/>
                <w:szCs w:val="18"/>
              </w:rPr>
            </w:pP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2">
              <w:r>
                <w:rPr>
                  <w:rFonts w:ascii="Noto Sans" w:eastAsia="Noto Sans" w:hAnsi="Noto Sans" w:cs="Noto Sans"/>
                  <w:color w:val="434343"/>
                  <w:sz w:val="18"/>
                  <w:szCs w:val="18"/>
                </w:rPr>
                <w:t xml:space="preserve"> </w:t>
              </w:r>
            </w:hyperlink>
            <w:hyperlink r:id="rId13">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7777777" w:rsidR="00F102CC" w:rsidRPr="003D5AF6" w:rsidRDefault="00F102CC">
            <w:pPr>
              <w:rPr>
                <w:rFonts w:ascii="Noto Sans" w:eastAsia="Noto Sans" w:hAnsi="Noto Sans" w:cs="Noto Sans"/>
                <w:bCs/>
                <w:color w:val="434343"/>
                <w:sz w:val="18"/>
                <w:szCs w:val="18"/>
              </w:rPr>
            </w:pPr>
            <w:r>
              <w:rPr>
                <w:sz w:val="18"/>
              </w:rPr>
              <w:t>Materials and Methods, section 4.8, and Key Resources Table. Mouse monoclonal anti-SARS-CoV-2 neutralizing antibody (Sino Biological, Cat# 40592-R001); SARS-CoV-2 Spike RBD protein (HuaBio, Cat# HA210064).</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74E5EDA1" w:rsidR="00F102CC" w:rsidRPr="003D5AF6" w:rsidRDefault="00F102CC">
            <w:pPr>
              <w:rPr>
                <w:rFonts w:ascii="Noto Sans" w:eastAsia="Noto Sans" w:hAnsi="Noto Sans" w:cs="Noto Sans"/>
                <w:bCs/>
                <w:color w:val="434343"/>
                <w:sz w:val="18"/>
                <w:szCs w:val="18"/>
              </w:rPr>
            </w:pP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lastRenderedPageBreak/>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3D5AF6" w:rsidRDefault="00F102CC">
            <w:pPr>
              <w:rPr>
                <w:rFonts w:ascii="Noto Sans" w:eastAsia="Noto Sans" w:hAnsi="Noto Sans" w:cs="Noto Sans"/>
                <w:bCs/>
                <w:color w:val="434343"/>
                <w:sz w:val="18"/>
                <w:szCs w:val="18"/>
              </w:rPr>
            </w:pPr>
            <w:r>
              <w:rPr>
                <w:sz w:val="18"/>
              </w:rPr>
              <w:t>Supplementary File 1 (Table B); Materials and Methods sections 4.1 and 4.8. All aptamer RNA sequences are listed in full.</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5C9901C6" w:rsidR="00F102CC" w:rsidRPr="003D5AF6" w:rsidRDefault="00F102CC">
            <w:pPr>
              <w:rPr>
                <w:rFonts w:ascii="Noto Sans" w:eastAsia="Noto Sans" w:hAnsi="Noto Sans" w:cs="Noto Sans"/>
                <w:bCs/>
                <w:color w:val="434343"/>
                <w:sz w:val="18"/>
                <w:szCs w:val="18"/>
              </w:rPr>
            </w:pP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33DA3E7D" w:rsidR="00F102CC" w:rsidRPr="003D5AF6" w:rsidRDefault="00F102CC">
            <w:pPr>
              <w:rPr>
                <w:rFonts w:ascii="Noto Sans" w:eastAsia="Noto Sans" w:hAnsi="Noto Sans" w:cs="Noto Sans"/>
                <w:bCs/>
                <w:color w:val="434343"/>
                <w:sz w:val="18"/>
                <w:szCs w:val="18"/>
              </w:rPr>
            </w:pPr>
            <w:r>
              <w:rPr>
                <w:sz w:val="18"/>
              </w:rPr>
              <w:t>N/A</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569C04C5" w:rsidR="00F102CC" w:rsidRPr="003D5AF6" w:rsidRDefault="00F102CC">
            <w:pPr>
              <w:rPr>
                <w:rFonts w:ascii="Noto Sans" w:eastAsia="Noto Sans" w:hAnsi="Noto Sans" w:cs="Noto Sans"/>
                <w:bCs/>
                <w:color w:val="434343"/>
                <w:sz w:val="18"/>
                <w:szCs w:val="18"/>
              </w:rPr>
            </w:pPr>
            <w:r>
              <w:rPr>
                <w:sz w:val="18"/>
              </w:rPr>
              <w:t>N/A</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3A6FDEB8" w:rsidR="00F102CC" w:rsidRPr="003D5AF6" w:rsidRDefault="00F102CC">
            <w:pPr>
              <w:rPr>
                <w:rFonts w:ascii="Noto Sans" w:eastAsia="Noto Sans" w:hAnsi="Noto Sans" w:cs="Noto Sans"/>
                <w:bCs/>
                <w:color w:val="434343"/>
                <w:sz w:val="18"/>
                <w:szCs w:val="18"/>
              </w:rPr>
            </w:pPr>
            <w:r>
              <w:rPr>
                <w:sz w:val="18"/>
              </w:rPr>
              <w:t>N/A</w:t>
            </w: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77777777" w:rsidR="00F102CC" w:rsidRPr="003D5AF6" w:rsidRDefault="00F102CC">
            <w:pPr>
              <w:rPr>
                <w:rFonts w:ascii="Noto Sans" w:eastAsia="Noto Sans" w:hAnsi="Noto Sans" w:cs="Noto Sans"/>
                <w:bCs/>
                <w:color w:val="434343"/>
                <w:sz w:val="18"/>
                <w:szCs w:val="18"/>
              </w:rPr>
            </w:pPr>
            <w:r>
              <w:rPr>
                <w:sz w:val="18"/>
              </w:rPr>
              <w:t>N/A</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70C01AEC" w:rsidR="00F102CC" w:rsidRPr="003D5AF6" w:rsidRDefault="00F102CC">
            <w:pPr>
              <w:rPr>
                <w:rFonts w:ascii="Noto Sans" w:eastAsia="Noto Sans" w:hAnsi="Noto Sans" w:cs="Noto Sans"/>
                <w:bCs/>
                <w:color w:val="434343"/>
                <w:sz w:val="18"/>
                <w:szCs w:val="18"/>
              </w:rPr>
            </w:pPr>
            <w:r>
              <w:rPr>
                <w:sz w:val="18"/>
              </w:rPr>
              <w:t>N/A</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77777777" w:rsidR="00F102CC" w:rsidRPr="003D5AF6" w:rsidRDefault="00F102CC">
            <w:pPr>
              <w:rPr>
                <w:rFonts w:ascii="Noto Sans" w:eastAsia="Noto Sans" w:hAnsi="Noto Sans" w:cs="Noto Sans"/>
                <w:bCs/>
                <w:color w:val="434343"/>
                <w:sz w:val="18"/>
                <w:szCs w:val="18"/>
              </w:rPr>
            </w:pPr>
            <w:r>
              <w:rPr>
                <w:sz w:val="18"/>
              </w:rPr>
              <w:t>N/A</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 xml:space="preserve">If collected and within the bounds of privacy constraints </w:t>
            </w:r>
            <w:r>
              <w:rPr>
                <w:rFonts w:ascii="Noto Sans" w:eastAsia="Noto Sans" w:hAnsi="Noto Sans" w:cs="Noto Sans"/>
                <w:color w:val="434343"/>
                <w:sz w:val="18"/>
                <w:szCs w:val="18"/>
              </w:rPr>
              <w:lastRenderedPageBreak/>
              <w:t>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14D5C706" w:rsidR="00F102CC" w:rsidRDefault="00F102CC">
            <w:pPr>
              <w:rPr>
                <w:rFonts w:ascii="Noto Sans" w:eastAsia="Noto Sans" w:hAnsi="Noto Sans" w:cs="Noto Sans"/>
                <w:b/>
                <w:color w:val="434343"/>
                <w:sz w:val="18"/>
                <w:szCs w:val="18"/>
              </w:rPr>
            </w:pPr>
            <w:r>
              <w:rPr>
                <w:sz w:val="18"/>
              </w:rPr>
              <w:t>N/A</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6"/>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6840EB3F" w:rsidR="00F102CC" w:rsidRPr="003D5AF6" w:rsidRDefault="00F102CC">
            <w:pPr>
              <w:spacing w:line="225" w:lineRule="auto"/>
              <w:rPr>
                <w:rFonts w:ascii="Noto Sans" w:eastAsia="Noto Sans" w:hAnsi="Noto Sans" w:cs="Noto Sans"/>
                <w:bCs/>
                <w:color w:val="434343"/>
                <w:sz w:val="18"/>
                <w:szCs w:val="18"/>
              </w:rPr>
            </w:pPr>
            <w:r>
              <w:rPr>
                <w:sz w:val="18"/>
              </w:rPr>
              <w:t>N/A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r>
              <w:rPr>
                <w:sz w:val="18"/>
              </w:rPr>
              <w:t>Materials and Methods, section 4.8 “EMSA experiments”; the EMSA protocol was adapted from reference [54].</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1D8DC753" w:rsidR="00F102CC" w:rsidRPr="003D5AF6" w:rsidRDefault="00F102CC">
            <w:pPr>
              <w:spacing w:line="225" w:lineRule="auto"/>
              <w:rPr>
                <w:rFonts w:ascii="Noto Sans" w:eastAsia="Noto Sans" w:hAnsi="Noto Sans" w:cs="Noto Sans"/>
                <w:bCs/>
                <w:color w:val="434343"/>
                <w:sz w:val="18"/>
                <w:szCs w:val="18"/>
              </w:rPr>
            </w:pP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D998B6"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C46D03" w14:textId="63248328" w:rsidR="00F102CC" w:rsidRPr="003D5AF6" w:rsidRDefault="00F102CC">
            <w:pPr>
              <w:spacing w:line="225" w:lineRule="auto"/>
              <w:rPr>
                <w:rFonts w:ascii="Noto Sans" w:eastAsia="Noto Sans" w:hAnsi="Noto Sans" w:cs="Noto Sans"/>
                <w:bCs/>
                <w:color w:val="434343"/>
                <w:sz w:val="18"/>
                <w:szCs w:val="18"/>
              </w:rPr>
            </w:pPr>
            <w:r>
              <w:rPr>
                <w:sz w:val="18"/>
              </w:rPr>
              <w:t>N/A</w:t>
            </w: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66D6483"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DB5D726" w14:textId="0AC884BA" w:rsidR="00F102CC" w:rsidRDefault="00F102CC">
            <w:pPr>
              <w:spacing w:line="225" w:lineRule="auto"/>
              <w:rPr>
                <w:rFonts w:ascii="Noto Sans" w:eastAsia="Noto Sans" w:hAnsi="Noto Sans" w:cs="Noto Sans"/>
                <w:b/>
                <w:color w:val="434343"/>
                <w:sz w:val="18"/>
                <w:szCs w:val="18"/>
              </w:rPr>
            </w:pPr>
            <w:r>
              <w:rPr>
                <w:sz w:val="18"/>
              </w:rPr>
              <w:t>N/A</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AE9083" w14:textId="49989C53" w:rsidR="00F102CC" w:rsidRPr="003D5AF6" w:rsidRDefault="00F102CC">
            <w:pPr>
              <w:spacing w:line="225" w:lineRule="auto"/>
              <w:rPr>
                <w:rFonts w:ascii="Noto Sans" w:eastAsia="Noto Sans" w:hAnsi="Noto Sans" w:cs="Noto Sans"/>
                <w:bCs/>
                <w:color w:val="434343"/>
                <w:sz w:val="18"/>
                <w:szCs w:val="18"/>
              </w:rPr>
            </w:pPr>
            <w:r>
              <w:rPr>
                <w:sz w:val="18"/>
              </w:rPr>
              <w:t>N/A</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2BB68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057DC8" w14:textId="7EB2044D" w:rsidR="00F102CC" w:rsidRPr="003D5AF6" w:rsidRDefault="00F102CC">
            <w:pPr>
              <w:spacing w:line="225" w:lineRule="auto"/>
              <w:rPr>
                <w:rFonts w:ascii="Noto Sans" w:eastAsia="Noto Sans" w:hAnsi="Noto Sans" w:cs="Noto Sans"/>
                <w:bCs/>
                <w:color w:val="434343"/>
                <w:sz w:val="18"/>
                <w:szCs w:val="18"/>
              </w:rPr>
            </w:pPr>
            <w:r>
              <w:rPr>
                <w:sz w:val="18"/>
              </w:rPr>
              <w:t>N/A</w:t>
            </w:r>
          </w:p>
        </w:tc>
      </w:tr>
      <w:tr w:rsidR="00F102CC" w14:paraId="14D7061B" w14:textId="77777777">
        <w:trPr>
          <w:trHeight w:val="425"/>
        </w:trPr>
        <w:tc>
          <w:tcPr>
            <w:tcW w:w="5595" w:type="dxa"/>
            <w:tcBorders>
              <w:top w:val="nil"/>
              <w:left w:val="nil"/>
              <w:bottom w:val="nil"/>
              <w:right w:val="nil"/>
            </w:tcBorders>
            <w:shd w:val="clear" w:color="auto" w:fill="auto"/>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shd w:val="clear" w:color="auto" w:fill="auto"/>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shd w:val="clear" w:color="auto" w:fill="auto"/>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0CFE7C" w14:textId="77777777" w:rsidR="00F102CC" w:rsidRPr="003D5AF6" w:rsidRDefault="00F102CC">
            <w:pPr>
              <w:spacing w:line="225" w:lineRule="auto"/>
              <w:rPr>
                <w:rFonts w:ascii="Noto Sans" w:eastAsia="Noto Sans" w:hAnsi="Noto Sans" w:cs="Noto Sans"/>
                <w:bCs/>
                <w:color w:val="434343"/>
                <w:sz w:val="18"/>
                <w:szCs w:val="18"/>
              </w:rPr>
            </w:pPr>
            <w:r>
              <w:rPr>
                <w:sz w:val="18"/>
              </w:rPr>
              <w:t>Materials and Methods, section 4.8, and figure legends. EMSA experiments were performed in three independent biological replicates.</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 xml:space="preserve">Define whether data describe technical or biological </w:t>
            </w:r>
            <w:r>
              <w:rPr>
                <w:rFonts w:ascii="Noto Sans" w:eastAsia="Noto Sans" w:hAnsi="Noto Sans" w:cs="Noto Sans"/>
                <w:color w:val="434343"/>
                <w:sz w:val="18"/>
                <w:szCs w:val="18"/>
                <w:highlight w:val="white"/>
              </w:rPr>
              <w:lastRenderedPageBreak/>
              <w:t>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E8B9FB" w14:textId="77777777" w:rsidR="00F102CC" w:rsidRPr="003D5AF6" w:rsidRDefault="00F102CC">
            <w:pPr>
              <w:spacing w:line="225" w:lineRule="auto"/>
              <w:rPr>
                <w:rFonts w:ascii="Noto Sans" w:eastAsia="Noto Sans" w:hAnsi="Noto Sans" w:cs="Noto Sans"/>
                <w:bCs/>
                <w:color w:val="434343"/>
                <w:sz w:val="18"/>
                <w:szCs w:val="18"/>
              </w:rPr>
            </w:pPr>
            <w:r>
              <w:rPr>
                <w:sz w:val="18"/>
              </w:rPr>
              <w:lastRenderedPageBreak/>
              <w:t xml:space="preserve">Biological replicates (n = 3); stated in Materials and Methods section 4.8 and </w:t>
            </w:r>
            <w:r>
              <w:rPr>
                <w:sz w:val="18"/>
              </w:rPr>
              <w:lastRenderedPageBreak/>
              <w:t>the relevant figure legends.</w:t>
            </w: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003A7F" w14:textId="76223028" w:rsidR="00F102CC" w:rsidRPr="003D5AF6" w:rsidRDefault="00F102CC">
            <w:pPr>
              <w:spacing w:line="225" w:lineRule="auto"/>
              <w:rPr>
                <w:rFonts w:ascii="Noto Sans" w:eastAsia="Noto Sans" w:hAnsi="Noto Sans" w:cs="Noto Sans"/>
                <w:bCs/>
                <w:color w:val="434343"/>
                <w:sz w:val="18"/>
                <w:szCs w:val="18"/>
              </w:rPr>
            </w:pPr>
            <w:r>
              <w:rPr>
                <w:sz w:val="18"/>
              </w:rPr>
              <w:t>N/A</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6BA9B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5B8D86" w14:textId="189E6E70" w:rsidR="00F102CC" w:rsidRPr="003D5AF6" w:rsidRDefault="00F102CC">
            <w:pPr>
              <w:spacing w:line="225" w:lineRule="auto"/>
              <w:rPr>
                <w:rFonts w:ascii="Noto Sans" w:eastAsia="Noto Sans" w:hAnsi="Noto Sans" w:cs="Noto Sans"/>
                <w:bCs/>
                <w:color w:val="434343"/>
                <w:sz w:val="18"/>
                <w:szCs w:val="18"/>
              </w:rPr>
            </w:pPr>
            <w:r>
              <w:rPr>
                <w:sz w:val="18"/>
              </w:rPr>
              <w:t>N/A</w:t>
            </w: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9D4B66" w14:textId="77777777" w:rsidR="00F102CC" w:rsidRPr="003D5AF6" w:rsidRDefault="00F102CC">
            <w:pPr>
              <w:spacing w:line="225" w:lineRule="auto"/>
              <w:rPr>
                <w:rFonts w:ascii="Noto Sans" w:eastAsia="Noto Sans" w:hAnsi="Noto Sans" w:cs="Noto Sans"/>
                <w:bCs/>
                <w:color w:val="434343"/>
                <w:sz w:val="18"/>
                <w:szCs w:val="18"/>
              </w:rPr>
            </w:pPr>
            <w:r>
              <w:rPr>
                <w:sz w:val="18"/>
              </w:rPr>
              <w:t>N/A</w:t>
            </w:r>
          </w:p>
        </w:tc>
      </w:tr>
      <w:tr w:rsidR="00F102CC" w14:paraId="79A7C842" w14:textId="77777777">
        <w:trPr>
          <w:trHeight w:val="425"/>
        </w:trPr>
        <w:tc>
          <w:tcPr>
            <w:tcW w:w="5595" w:type="dxa"/>
            <w:tcBorders>
              <w:top w:val="nil"/>
              <w:left w:val="nil"/>
              <w:bottom w:val="single" w:sz="8" w:space="0" w:color="000000"/>
              <w:right w:val="nil"/>
            </w:tcBorders>
            <w:shd w:val="clear" w:color="auto" w:fill="auto"/>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shd w:val="clear" w:color="auto" w:fill="auto"/>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shd w:val="clear" w:color="auto" w:fill="auto"/>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DDCC7B" w14:textId="10FF7490" w:rsidR="00F102CC" w:rsidRPr="003D5AF6" w:rsidRDefault="00F102CC">
            <w:pPr>
              <w:spacing w:line="225" w:lineRule="auto"/>
              <w:rPr>
                <w:rFonts w:ascii="Noto Sans" w:eastAsia="Noto Sans" w:hAnsi="Noto Sans" w:cs="Noto Sans"/>
                <w:bCs/>
                <w:color w:val="434343"/>
                <w:sz w:val="18"/>
                <w:szCs w:val="18"/>
              </w:rPr>
            </w:pPr>
            <w:r>
              <w:rPr>
                <w:sz w:val="18"/>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7"/>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306ED2" w14:textId="77777777" w:rsidR="00F102CC" w:rsidRPr="003D5AF6" w:rsidRDefault="00F102CC">
            <w:pPr>
              <w:spacing w:line="225" w:lineRule="auto"/>
              <w:rPr>
                <w:rFonts w:ascii="Noto Sans" w:eastAsia="Noto Sans" w:hAnsi="Noto Sans" w:cs="Noto Sans"/>
                <w:bCs/>
                <w:color w:val="434343"/>
                <w:sz w:val="18"/>
                <w:szCs w:val="18"/>
              </w:rPr>
            </w:pPr>
            <w:r>
              <w:rPr>
                <w:sz w:val="18"/>
              </w:rPr>
              <w:t>No data points were omitted from the analyses; no exclusion criteria were applied.</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182D3B" w14:textId="332782CB" w:rsidR="00F102CC" w:rsidRPr="003D5AF6" w:rsidRDefault="00F102CC">
            <w:pPr>
              <w:spacing w:line="225" w:lineRule="auto"/>
              <w:rPr>
                <w:rFonts w:ascii="Noto Sans" w:eastAsia="Noto Sans" w:hAnsi="Noto Sans" w:cs="Noto Sans"/>
                <w:bCs/>
                <w:color w:val="434343"/>
                <w:sz w:val="18"/>
                <w:szCs w:val="18"/>
              </w:rPr>
            </w:pPr>
          </w:p>
        </w:tc>
      </w:tr>
      <w:tr w:rsidR="00F102CC" w14:paraId="3864D7CC"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E0127B" w14:textId="77777777" w:rsidR="00F102CC" w:rsidRPr="003D5AF6" w:rsidRDefault="00F102CC">
            <w:pPr>
              <w:spacing w:line="225" w:lineRule="auto"/>
              <w:rPr>
                <w:rFonts w:ascii="Noto Sans" w:eastAsia="Noto Sans" w:hAnsi="Noto Sans" w:cs="Noto Sans"/>
                <w:bCs/>
                <w:color w:val="434343"/>
                <w:sz w:val="18"/>
                <w:szCs w:val="18"/>
              </w:rPr>
            </w:pPr>
            <w:r>
              <w:rPr>
                <w:sz w:val="18"/>
              </w:rPr>
              <w:t>Materials and Methods sections 4.4 (MM/GBSA), 4.6 and 4.7 (FEP / FEP-HREX), and 4.8 (EMSA), and figure legends. Dissociation constants (K</w:t>
            </w:r>
            <w:r w:rsidRPr="00E824B7">
              <w:rPr>
                <w:sz w:val="18"/>
                <w:vertAlign w:val="subscript"/>
              </w:rPr>
              <w:t>d</w:t>
            </w:r>
            <w:r>
              <w:rPr>
                <w:sz w:val="18"/>
              </w:rPr>
              <w:t xml:space="preserve">) were fitted with GraphPad Prism 8; EMSA data are presented as mean ± SD of three biological replicates; computed </w:t>
            </w:r>
            <w:r>
              <w:rPr>
                <w:sz w:val="18"/>
              </w:rPr>
              <w:lastRenderedPageBreak/>
              <w:t>binding free energies are reported as mean ± SEM over independent runs.</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90A381" w14:textId="77777777" w:rsidR="00F102CC" w:rsidRPr="003D5AF6" w:rsidRDefault="00F102CC">
            <w:pPr>
              <w:spacing w:line="225" w:lineRule="auto"/>
              <w:rPr>
                <w:rFonts w:ascii="Noto Sans" w:eastAsia="Noto Sans" w:hAnsi="Noto Sans" w:cs="Noto Sans"/>
                <w:bCs/>
                <w:color w:val="434343"/>
                <w:sz w:val="18"/>
                <w:szCs w:val="18"/>
              </w:rPr>
            </w:pPr>
            <w:r>
              <w:rPr>
                <w:sz w:val="18"/>
              </w:rPr>
              <w:t>Data Availability Statement and submission form.</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 xml:space="preserve">When newly created datasets are publicly available, provide accession number in repository OR DOI and licensing details </w:t>
            </w:r>
            <w:proofErr w:type="spellStart"/>
            <w:r>
              <w:rPr>
                <w:rFonts w:ascii="Noto Sans" w:eastAsia="Noto Sans" w:hAnsi="Noto Sans" w:cs="Noto Sans"/>
                <w:color w:val="434343"/>
                <w:sz w:val="18"/>
                <w:szCs w:val="18"/>
                <w:highlight w:val="white"/>
              </w:rPr>
              <w:t>where</w:t>
            </w:r>
            <w:proofErr w:type="spellEnd"/>
            <w:r>
              <w:rPr>
                <w:rFonts w:ascii="Noto Sans" w:eastAsia="Noto Sans" w:hAnsi="Noto Sans" w:cs="Noto Sans"/>
                <w:color w:val="434343"/>
                <w:sz w:val="18"/>
                <w:szCs w:val="18"/>
                <w:highlight w:val="white"/>
              </w:rPr>
              <w:t xml:space="preserve"> available.</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FCD14D" w14:textId="2B9B0CA7" w:rsidR="00F102CC" w:rsidRPr="003D5AF6" w:rsidRDefault="00F102CC">
            <w:pPr>
              <w:spacing w:line="225" w:lineRule="auto"/>
              <w:rPr>
                <w:rFonts w:ascii="Noto Sans" w:eastAsia="Noto Sans" w:hAnsi="Noto Sans" w:cs="Noto Sans"/>
                <w:bCs/>
                <w:color w:val="434343"/>
                <w:sz w:val="18"/>
                <w:szCs w:val="18"/>
              </w:rPr>
            </w:pPr>
            <w:r>
              <w:rPr>
                <w:sz w:val="18"/>
              </w:rPr>
              <w:t>Source data and representative structural / simulation files, together with the CAAMO analysis code, are publicly available at https://github.com/yqyang733/</w:t>
            </w:r>
            <w:r w:rsidR="00E824B7">
              <w:rPr>
                <w:sz w:val="18"/>
              </w:rPr>
              <w:t>CAAMO</w:t>
            </w:r>
            <w:r>
              <w:rPr>
                <w:sz w:val="18"/>
              </w:rPr>
              <w:t xml:space="preserve"> (see Data Availability Statement).</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F67B00" w14:textId="662A54CB" w:rsidR="00F102CC" w:rsidRPr="003D5AF6" w:rsidRDefault="00F102CC">
            <w:pPr>
              <w:spacing w:line="225" w:lineRule="auto"/>
              <w:rPr>
                <w:rFonts w:ascii="Noto Sans" w:eastAsia="Noto Sans" w:hAnsi="Noto Sans" w:cs="Noto Sans"/>
                <w:bCs/>
                <w:color w:val="434343"/>
                <w:sz w:val="18"/>
                <w:szCs w:val="18"/>
              </w:rPr>
            </w:pP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F0859A" w14:textId="77777777" w:rsidR="00F102CC" w:rsidRPr="003D5AF6" w:rsidRDefault="00F102CC">
            <w:pPr>
              <w:spacing w:line="225" w:lineRule="auto"/>
              <w:rPr>
                <w:rFonts w:ascii="Noto Sans" w:eastAsia="Noto Sans" w:hAnsi="Noto Sans" w:cs="Noto Sans"/>
                <w:bCs/>
                <w:color w:val="434343"/>
                <w:sz w:val="18"/>
                <w:szCs w:val="18"/>
              </w:rPr>
            </w:pPr>
            <w:r>
              <w:rPr>
                <w:sz w:val="18"/>
              </w:rPr>
              <w:t>Reused structures obtained from the RCSB PDB: 6LZG, 7CDI, 7DK4 and 7K4N (cited in Materials and Methods).</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423DA9" w14:textId="0103DAE6" w:rsidR="00F102CC" w:rsidRPr="003D5AF6" w:rsidRDefault="00F102CC">
            <w:pPr>
              <w:spacing w:line="225" w:lineRule="auto"/>
              <w:rPr>
                <w:rFonts w:ascii="Noto Sans" w:eastAsia="Noto Sans" w:hAnsi="Noto Sans" w:cs="Noto Sans"/>
                <w:bCs/>
                <w:color w:val="434343"/>
                <w:sz w:val="18"/>
                <w:szCs w:val="18"/>
              </w:rPr>
            </w:pPr>
          </w:p>
        </w:tc>
      </w:tr>
      <w:tr w:rsidR="00F102CC" w14:paraId="196EA570" w14:textId="77777777">
        <w:trPr>
          <w:trHeight w:val="425"/>
        </w:trPr>
        <w:tc>
          <w:tcPr>
            <w:tcW w:w="5565" w:type="dxa"/>
            <w:tcBorders>
              <w:top w:val="nil"/>
              <w:left w:val="nil"/>
              <w:bottom w:val="single" w:sz="8" w:space="0" w:color="000000"/>
              <w:right w:val="nil"/>
            </w:tcBorders>
            <w:shd w:val="clear" w:color="auto" w:fill="auto"/>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shd w:val="clear" w:color="auto" w:fill="auto"/>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shd w:val="clear" w:color="auto" w:fill="auto"/>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B52AB8" w14:textId="51C59739" w:rsidR="00F102CC" w:rsidRPr="003D5AF6" w:rsidRDefault="00F102CC">
            <w:pPr>
              <w:spacing w:line="225" w:lineRule="auto"/>
              <w:rPr>
                <w:rFonts w:ascii="Noto Sans" w:eastAsia="Noto Sans" w:hAnsi="Noto Sans" w:cs="Noto Sans"/>
                <w:bCs/>
                <w:color w:val="434343"/>
                <w:sz w:val="18"/>
                <w:szCs w:val="18"/>
              </w:rPr>
            </w:pPr>
            <w:r>
              <w:rPr>
                <w:sz w:val="18"/>
              </w:rPr>
              <w:t>Data Availability Statement. All CAAMO analysis code is / will be publicly available at https://github.com/yqyang733/</w:t>
            </w:r>
            <w:r w:rsidR="0070431A">
              <w:rPr>
                <w:sz w:val="18"/>
              </w:rPr>
              <w:t>CAAMO</w:t>
            </w:r>
            <w:r>
              <w:rPr>
                <w:sz w:val="18"/>
              </w:rPr>
              <w:t>.</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034BAE5" w14:textId="0BF1534B" w:rsidR="00F102CC" w:rsidRPr="003D5AF6" w:rsidRDefault="00F102CC">
            <w:pPr>
              <w:spacing w:line="225" w:lineRule="auto"/>
              <w:rPr>
                <w:rFonts w:ascii="Noto Sans" w:eastAsia="Noto Sans" w:hAnsi="Noto Sans" w:cs="Noto Sans"/>
                <w:bCs/>
                <w:color w:val="434343"/>
                <w:sz w:val="18"/>
                <w:szCs w:val="18"/>
              </w:rPr>
            </w:pP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t>
            </w:r>
            <w:proofErr w:type="spellStart"/>
            <w:r w:rsidR="00427975">
              <w:rPr>
                <w:rFonts w:ascii="Noto Sans" w:eastAsia="Noto Sans" w:hAnsi="Noto Sans" w:cs="Noto Sans"/>
                <w:color w:val="434343"/>
                <w:sz w:val="18"/>
                <w:szCs w:val="18"/>
              </w:rPr>
              <w:t>where</w:t>
            </w:r>
            <w:proofErr w:type="spellEnd"/>
            <w:r w:rsidR="00427975">
              <w:rPr>
                <w:rFonts w:ascii="Noto Sans" w:eastAsia="Noto Sans" w:hAnsi="Noto Sans" w:cs="Noto Sans"/>
                <w:color w:val="434343"/>
                <w:sz w:val="18"/>
                <w:szCs w:val="18"/>
              </w:rPr>
              <w:t xml:space="preserve"> available. State any restrictions on code availability or accessibility.</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816E11" w14:textId="55E2ACF2" w:rsidR="00F102CC" w:rsidRPr="003D5AF6" w:rsidRDefault="00F102CC">
            <w:pPr>
              <w:spacing w:line="225" w:lineRule="auto"/>
              <w:rPr>
                <w:rFonts w:ascii="Noto Sans" w:eastAsia="Noto Sans" w:hAnsi="Noto Sans" w:cs="Noto Sans"/>
                <w:bCs/>
                <w:color w:val="434343"/>
              </w:rPr>
            </w:pPr>
            <w:r>
              <w:rPr>
                <w:sz w:val="18"/>
              </w:rPr>
              <w:t>https://github.com/yqyang733/</w:t>
            </w:r>
            <w:r w:rsidR="001C6652">
              <w:rPr>
                <w:sz w:val="18"/>
              </w:rPr>
              <w:t>CAAMO</w:t>
            </w:r>
            <w:bookmarkStart w:id="2" w:name="_GoBack"/>
            <w:bookmarkEnd w:id="2"/>
            <w:r>
              <w:rPr>
                <w:sz w:val="18"/>
              </w:rPr>
              <w:t xml:space="preserve"> (see Data Availability Statement).</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6875B8" w14:textId="44151E64" w:rsidR="00F102CC" w:rsidRPr="003D5AF6" w:rsidRDefault="00F102CC">
            <w:pPr>
              <w:spacing w:line="225" w:lineRule="auto"/>
              <w:rPr>
                <w:rFonts w:ascii="Noto Sans" w:eastAsia="Noto Sans" w:hAnsi="Noto Sans" w:cs="Noto Sans"/>
                <w:bCs/>
                <w:color w:val="434343"/>
                <w:sz w:val="18"/>
                <w:szCs w:val="18"/>
              </w:rPr>
            </w:pP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A59D3A" w14:textId="77777777" w:rsidR="00F102CC" w:rsidRPr="003D5AF6" w:rsidRDefault="00F102CC">
            <w:pPr>
              <w:spacing w:line="225" w:lineRule="auto"/>
              <w:rPr>
                <w:rFonts w:ascii="Noto Sans" w:eastAsia="Noto Sans" w:hAnsi="Noto Sans" w:cs="Noto Sans"/>
                <w:bCs/>
                <w:color w:val="434343"/>
                <w:sz w:val="18"/>
                <w:szCs w:val="18"/>
              </w:rPr>
            </w:pPr>
            <w:r>
              <w:rPr>
                <w:sz w:val="18"/>
              </w:rPr>
              <w:t>Third-party software (GROMACS, IsRNA2, FARFAR2, SimRNA, iFoldRNA, RNAComposer, Mfold, HADDOCK, HDOCK, ZDOCK, RosettaDock, gmx_MMPBSA, UCSF ChimeraX, ImageJ, GraphPad Prism) is cited in Materials and Methods and the Key Resources Table.</w:t>
            </w:r>
          </w:p>
        </w:tc>
        <w:tc>
          <w:tcPr>
            <w:tcW w:w="97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8D9987" w14:textId="793BC5DE" w:rsidR="00F102CC" w:rsidRPr="003D5AF6" w:rsidRDefault="00F102CC">
            <w:pPr>
              <w:spacing w:line="225" w:lineRule="auto"/>
              <w:rPr>
                <w:rFonts w:ascii="Noto Sans" w:eastAsia="Noto Sans" w:hAnsi="Noto Sans" w:cs="Noto Sans"/>
                <w:bCs/>
                <w:color w:val="434343"/>
                <w:sz w:val="18"/>
                <w:szCs w:val="18"/>
              </w:rPr>
            </w:pP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3" w:name="_qing2gdaj9k6" w:colFirst="0" w:colLast="0"/>
      <w:bookmarkEnd w:id="3"/>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8"/>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B93BA4" w14:textId="0522CE96" w:rsidR="00F102CC" w:rsidRPr="003D5AF6" w:rsidRDefault="00F102CC">
            <w:pPr>
              <w:spacing w:line="225" w:lineRule="auto"/>
              <w:rPr>
                <w:rFonts w:ascii="Noto Sans" w:eastAsia="Noto Sans" w:hAnsi="Noto Sans" w:cs="Noto Sans"/>
                <w:bCs/>
                <w:color w:val="434343"/>
                <w:sz w:val="18"/>
                <w:szCs w:val="18"/>
              </w:rPr>
            </w:pPr>
            <w:r>
              <w:rPr>
                <w:sz w:val="18"/>
              </w:rPr>
              <w:t>N/A</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020C2D">
      <w:pPr>
        <w:spacing w:before="80"/>
      </w:pPr>
      <w:bookmarkStart w:id="4" w:name="_cm0qssfkw66b" w:colFirst="0" w:colLast="0"/>
      <w:bookmarkEnd w:id="4"/>
      <w:r>
        <w:rPr>
          <w:noProof/>
        </w:rPr>
        <w:pict w14:anchorId="5E7F9325">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4">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 xml:space="preserve">High-throughput sequence data should be uploaded before submission, with a private link for reviewers provided (these are available from both GEO and </w:t>
      </w:r>
      <w:proofErr w:type="spellStart"/>
      <w:r>
        <w:t>ArrayExpress</w:t>
      </w:r>
      <w:proofErr w:type="spellEnd"/>
      <w:r>
        <w:t>)</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5"/>
      <w:footerReference w:type="default" r:id="rId16"/>
      <w:headerReference w:type="first" r:id="rId17"/>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7BB52D" w14:textId="77777777" w:rsidR="00020C2D" w:rsidRDefault="00020C2D">
      <w:r>
        <w:separator/>
      </w:r>
    </w:p>
  </w:endnote>
  <w:endnote w:type="continuationSeparator" w:id="0">
    <w:p w14:paraId="35EF0A58" w14:textId="77777777" w:rsidR="00020C2D" w:rsidRDefault="00020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Noto Sans">
    <w:altName w:val="Mangal"/>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7B8054" w14:textId="77777777" w:rsidR="00020C2D" w:rsidRDefault="00020C2D">
      <w:r>
        <w:separator/>
      </w:r>
    </w:p>
  </w:footnote>
  <w:footnote w:type="continuationSeparator" w:id="0">
    <w:p w14:paraId="176CC4DD" w14:textId="77777777" w:rsidR="00020C2D" w:rsidRDefault="00020C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861E9" w14:textId="2B8215BA" w:rsidR="004E2C31" w:rsidRDefault="004E2C31">
    <w:pPr>
      <w:pStyle w:val="a9"/>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20C2D"/>
    <w:rsid w:val="000B600B"/>
    <w:rsid w:val="001B3BCC"/>
    <w:rsid w:val="001C6652"/>
    <w:rsid w:val="002209A8"/>
    <w:rsid w:val="003D5AF6"/>
    <w:rsid w:val="00400C53"/>
    <w:rsid w:val="00427975"/>
    <w:rsid w:val="004E2C31"/>
    <w:rsid w:val="005B0259"/>
    <w:rsid w:val="0070431A"/>
    <w:rsid w:val="007054B6"/>
    <w:rsid w:val="0078687E"/>
    <w:rsid w:val="009C7B26"/>
    <w:rsid w:val="00A11E52"/>
    <w:rsid w:val="00B2483D"/>
    <w:rsid w:val="00BD41E9"/>
    <w:rsid w:val="00C84413"/>
    <w:rsid w:val="00E824B7"/>
    <w:rsid w:val="00F102CC"/>
    <w:rsid w:val="00F9104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EastAsia" w:hAnsi="Calibri" w:cs="Calibri"/>
        <w:sz w:val="22"/>
        <w:szCs w:val="22"/>
        <w:lang w:val="en-US" w:eastAsia="en-GB"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top w:w="100" w:type="dxa"/>
        <w:left w:w="100" w:type="dxa"/>
        <w:bottom w:w="100" w:type="dxa"/>
        <w:right w:w="100" w:type="dxa"/>
      </w:tblCellMar>
    </w:tblPr>
  </w:style>
  <w:style w:type="table" w:customStyle="1" w:styleId="a6">
    <w:basedOn w:val="a1"/>
    <w:tblPr>
      <w:tblStyleRowBandSize w:val="1"/>
      <w:tblStyleColBandSize w:val="1"/>
      <w:tblCellMar>
        <w:top w:w="100" w:type="dxa"/>
        <w:left w:w="100" w:type="dxa"/>
        <w:bottom w:w="100" w:type="dxa"/>
        <w:right w:w="100" w:type="dxa"/>
      </w:tblCellMar>
    </w:tblPr>
  </w:style>
  <w:style w:type="table" w:customStyle="1" w:styleId="a7">
    <w:basedOn w:val="a1"/>
    <w:tblPr>
      <w:tblStyleRowBandSize w:val="1"/>
      <w:tblStyleColBandSize w:val="1"/>
      <w:tblCellMar>
        <w:top w:w="100" w:type="dxa"/>
        <w:left w:w="100" w:type="dxa"/>
        <w:bottom w:w="100" w:type="dxa"/>
        <w:right w:w="100" w:type="dxa"/>
      </w:tblCellMar>
    </w:tblPr>
  </w:style>
  <w:style w:type="table" w:customStyle="1" w:styleId="a8">
    <w:basedOn w:val="a1"/>
    <w:tblPr>
      <w:tblStyleRowBandSize w:val="1"/>
      <w:tblStyleColBandSize w:val="1"/>
      <w:tblCellMar>
        <w:top w:w="100" w:type="dxa"/>
        <w:left w:w="100" w:type="dxa"/>
        <w:bottom w:w="100" w:type="dxa"/>
        <w:right w:w="100" w:type="dxa"/>
      </w:tblCellMar>
    </w:tblPr>
  </w:style>
  <w:style w:type="paragraph" w:styleId="a9">
    <w:name w:val="header"/>
    <w:basedOn w:val="a"/>
    <w:link w:val="aa"/>
    <w:uiPriority w:val="99"/>
    <w:unhideWhenUsed/>
    <w:rsid w:val="004E2C31"/>
    <w:pPr>
      <w:tabs>
        <w:tab w:val="center" w:pos="4513"/>
        <w:tab w:val="right" w:pos="9026"/>
      </w:tabs>
    </w:pPr>
  </w:style>
  <w:style w:type="character" w:customStyle="1" w:styleId="aa">
    <w:name w:val="页眉 字符"/>
    <w:basedOn w:val="a0"/>
    <w:link w:val="a9"/>
    <w:uiPriority w:val="99"/>
    <w:rsid w:val="004E2C31"/>
  </w:style>
  <w:style w:type="paragraph" w:styleId="ab">
    <w:name w:val="footer"/>
    <w:basedOn w:val="a"/>
    <w:link w:val="ac"/>
    <w:uiPriority w:val="99"/>
    <w:unhideWhenUsed/>
    <w:rsid w:val="004E2C31"/>
    <w:pPr>
      <w:tabs>
        <w:tab w:val="center" w:pos="4513"/>
        <w:tab w:val="right" w:pos="9026"/>
      </w:tabs>
    </w:pPr>
  </w:style>
  <w:style w:type="character" w:customStyle="1" w:styleId="ac">
    <w:name w:val="页脚 字符"/>
    <w:basedOn w:val="a0"/>
    <w:link w:val="ab"/>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scicrunch.org/resources"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viewer.elifesciences.org/author-guide/journal-policies"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038/d41586-020-0175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plosbiology.org/article/info:doi/10.1371/journal.pbio.1000412" TargetMode="External"/><Relationship Id="rId14" Type="http://schemas.openxmlformats.org/officeDocument/2006/relationships/hyperlink" Target="https://doi.org/10.7554/eLife.4817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1748</Words>
  <Characters>9966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yanqing yang</cp:lastModifiedBy>
  <cp:revision>11</cp:revision>
  <dcterms:created xsi:type="dcterms:W3CDTF">2022-02-28T12:21:00Z</dcterms:created>
  <dcterms:modified xsi:type="dcterms:W3CDTF">2026-06-11T14:09:00Z</dcterms:modified>
</cp:coreProperties>
</file>