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B7C3D" w14:textId="77777777" w:rsidR="004E2C31" w:rsidRDefault="004E2C31">
      <w:pPr>
        <w:spacing w:before="60" w:line="227" w:lineRule="auto"/>
        <w:jc w:val="center"/>
        <w:rPr>
          <w:rFonts w:ascii="Noto Sans" w:eastAsia="Noto Sans" w:hAnsi="Noto Sans" w:cs="Noto Sans"/>
          <w:b/>
          <w:sz w:val="26"/>
          <w:szCs w:val="26"/>
          <w:u w:val="single"/>
        </w:rPr>
      </w:pPr>
    </w:p>
    <w:p w14:paraId="716A087F"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0BD4F643"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03F82111" w14:textId="77777777" w:rsidR="00F102CC" w:rsidRDefault="00F102CC">
      <w:pPr>
        <w:rPr>
          <w:rFonts w:ascii="Noto Sans" w:eastAsia="Noto Sans" w:hAnsi="Noto Sans" w:cs="Noto Sans"/>
          <w:sz w:val="20"/>
          <w:szCs w:val="20"/>
        </w:rPr>
      </w:pPr>
    </w:p>
    <w:p w14:paraId="6119298B"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1D5BA552"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5FE1FCE0" w14:textId="77777777"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7BAEFF27" w14:textId="77777777" w:rsidR="00F102CC" w:rsidRPr="003D5AF6" w:rsidRDefault="00F102CC">
      <w:pPr>
        <w:rPr>
          <w:rFonts w:ascii="Noto Sans" w:eastAsia="Noto Sans" w:hAnsi="Noto Sans" w:cs="Noto Sans"/>
          <w:b/>
          <w:color w:val="434343"/>
          <w:sz w:val="16"/>
          <w:szCs w:val="16"/>
        </w:rPr>
      </w:pPr>
    </w:p>
    <w:p w14:paraId="037F7CF3"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4CE91A78"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25A93D2B"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689C70B6"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0940CC96"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49CEB0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2F06C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C9207C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2E100F3"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15F55D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00FD9FEC" w14:textId="7284A9A6" w:rsidR="00E52BBD" w:rsidRDefault="00000000">
            <w:r>
              <w:rPr>
                <w:sz w:val="18"/>
              </w:rPr>
              <w:t>Materials and Methods: Generation of IFNAR1 and IFNLR1 KO primordial germ cells; Generation of IFNAR1−/− and IFNLR1−/− chickens; Animals; Data/Materials availability statement. Supplementary File 1</w:t>
            </w:r>
            <w:r w:rsidR="001A7766">
              <w:rPr>
                <w:sz w:val="18"/>
              </w:rPr>
              <w:t>a</w:t>
            </w:r>
            <w:r>
              <w:rPr>
                <w:sz w:val="18"/>
              </w:rPr>
              <w:t>. Newly generated IFNAR1−/− and IFNLR1−/− chicken lines/PGC clones are described; availability should be stated in the manuscript subject to institutional and animal-use restrictions.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1CECC8D3" w14:textId="77777777" w:rsidR="00F102CC" w:rsidRPr="003D5AF6" w:rsidRDefault="00F102CC">
            <w:pPr>
              <w:rPr>
                <w:rFonts w:ascii="Noto Sans" w:eastAsia="Noto Sans" w:hAnsi="Noto Sans" w:cs="Noto Sans"/>
                <w:bCs/>
                <w:color w:val="434343"/>
                <w:sz w:val="18"/>
                <w:szCs w:val="18"/>
              </w:rPr>
            </w:pPr>
          </w:p>
        </w:tc>
      </w:tr>
      <w:tr w:rsidR="00F102CC" w14:paraId="77D5A549" w14:textId="77777777">
        <w:trPr>
          <w:trHeight w:val="425"/>
        </w:trPr>
        <w:tc>
          <w:tcPr>
            <w:tcW w:w="5550" w:type="dxa"/>
            <w:tcBorders>
              <w:top w:val="nil"/>
              <w:left w:val="nil"/>
              <w:bottom w:val="nil"/>
              <w:right w:val="nil"/>
            </w:tcBorders>
            <w:tcMar>
              <w:top w:w="100" w:type="dxa"/>
              <w:left w:w="100" w:type="dxa"/>
              <w:bottom w:w="100" w:type="dxa"/>
              <w:right w:w="100" w:type="dxa"/>
            </w:tcMar>
          </w:tcPr>
          <w:p w14:paraId="4CEE3564" w14:textId="77777777"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69832E05"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688956D9"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C99472"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A32D548"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B2D1D6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CE922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02F6780"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5F50AEA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54A3E2D" w14:textId="06729C09" w:rsidR="00E52BBD" w:rsidRDefault="00000000">
            <w:r>
              <w:rPr>
                <w:sz w:val="18"/>
              </w:rPr>
              <w:t>Materials and Methods: Flow cytometry; Western blot and RT-PCR. Supplementary File 1</w:t>
            </w:r>
            <w:r w:rsidR="001A7766">
              <w:rPr>
                <w:sz w:val="18"/>
              </w:rPr>
              <w:t>e</w:t>
            </w:r>
            <w:r>
              <w:rPr>
                <w:sz w:val="18"/>
              </w:rPr>
              <w:t xml:space="preserve"> lists antibody names, suppliers, clones/internal codes, and concentrations used for FACS. Western blot antibodies are described in the Methods.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7C400C93" w14:textId="77777777" w:rsidR="00F102CC" w:rsidRPr="003D5AF6" w:rsidRDefault="00F102CC">
            <w:pPr>
              <w:rPr>
                <w:rFonts w:ascii="Noto Sans" w:eastAsia="Noto Sans" w:hAnsi="Noto Sans" w:cs="Noto Sans"/>
                <w:bCs/>
                <w:color w:val="434343"/>
                <w:sz w:val="18"/>
                <w:szCs w:val="18"/>
              </w:rPr>
            </w:pPr>
          </w:p>
        </w:tc>
      </w:tr>
      <w:tr w:rsidR="00F102CC" w14:paraId="3CF00CB5"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75A27C54"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58892C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1372FA11"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25562A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0244DE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BCC673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BA05E7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0687CB"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0B7B0C9"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205E75C" w14:textId="482D9D4A" w:rsidR="00E52BBD" w:rsidRDefault="00000000">
            <w:r>
              <w:rPr>
                <w:sz w:val="18"/>
              </w:rPr>
              <w:t>Supplementary File 1</w:t>
            </w:r>
            <w:r w:rsidR="001A7766">
              <w:rPr>
                <w:sz w:val="18"/>
              </w:rPr>
              <w:t>a,b,c,f</w:t>
            </w:r>
            <w:r>
              <w:rPr>
                <w:sz w:val="18"/>
              </w:rPr>
              <w:t>. sgRNA, ssODN, primers, probes, amplicon sizes, accession numbers, and primer sources are provided.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789942F" w14:textId="77777777" w:rsidR="00F102CC" w:rsidRPr="003D5AF6" w:rsidRDefault="00F102CC">
            <w:pPr>
              <w:rPr>
                <w:rFonts w:ascii="Noto Sans" w:eastAsia="Noto Sans" w:hAnsi="Noto Sans" w:cs="Noto Sans"/>
                <w:bCs/>
                <w:color w:val="434343"/>
                <w:sz w:val="18"/>
                <w:szCs w:val="18"/>
              </w:rPr>
            </w:pPr>
          </w:p>
        </w:tc>
      </w:tr>
      <w:tr w:rsidR="00F102CC" w14:paraId="084682A5"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699463D7"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7CC71AED"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7D60DE8B"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7701FD26"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40EA91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178C2B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0D2187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3EED3462"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2598C2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0634714" w14:textId="77777777" w:rsidR="00E52BBD" w:rsidRDefault="00000000">
            <w:r>
              <w:rPr>
                <w:sz w:val="18"/>
              </w:rPr>
              <w:t>Materials and Methods: Experimental design; Western blot and RT-PCR. Cell lines/cell materials include MDCK cells, CEC-32 #511 reporter cells expressing firefly luciferase under the chicken Mx promoter, and chicken embryonic fibroblast cultures. Culture/selection conditions are described where used.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5BAAB4F6" w14:textId="77777777" w:rsidR="00F102CC" w:rsidRPr="003D5AF6" w:rsidRDefault="00F102CC">
            <w:pPr>
              <w:rPr>
                <w:rFonts w:ascii="Noto Sans" w:eastAsia="Noto Sans" w:hAnsi="Noto Sans" w:cs="Noto Sans"/>
                <w:bCs/>
                <w:color w:val="434343"/>
                <w:sz w:val="18"/>
                <w:szCs w:val="18"/>
              </w:rPr>
            </w:pPr>
          </w:p>
        </w:tc>
      </w:tr>
      <w:tr w:rsidR="00F102CC" w14:paraId="121483F4"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FF667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D0B05C0" w14:textId="77777777" w:rsidR="00E52BBD" w:rsidRDefault="00000000">
            <w:r>
              <w:rPr>
                <w:sz w:val="18"/>
              </w:rPr>
              <w:t>Materials and Methods: Western blot and RT-PCR. Primary chicken embryonic fibroblasts were isolated from ED10 embryos of defined genotypes (WT, IFNAR1+/−, IFNAR1−/−); species, developmental stage, and genetic modification status are provided.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0AE86FC5" w14:textId="77777777" w:rsidR="00F102CC" w:rsidRPr="003D5AF6" w:rsidRDefault="00F102CC">
            <w:pPr>
              <w:rPr>
                <w:rFonts w:ascii="Noto Sans" w:eastAsia="Noto Sans" w:hAnsi="Noto Sans" w:cs="Noto Sans"/>
                <w:bCs/>
                <w:color w:val="434343"/>
                <w:sz w:val="18"/>
                <w:szCs w:val="18"/>
              </w:rPr>
            </w:pPr>
          </w:p>
        </w:tc>
      </w:tr>
      <w:tr w:rsidR="00F102CC" w14:paraId="6A7834D3"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3816E1A3"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0DAF45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ADBB9EA"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0C22D2D"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08F754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A9394A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ABA1B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3D823B4A"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4BFAB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1DD9FAF" w14:textId="22690D50" w:rsidR="00E52BBD" w:rsidRDefault="00000000">
            <w:r>
              <w:rPr>
                <w:sz w:val="18"/>
              </w:rPr>
              <w:t xml:space="preserve">Materials and Methods: Animals; Experimental design; figure legends. Species/strain/source: SPF </w:t>
            </w:r>
            <w:r w:rsidR="00980CAD" w:rsidRPr="00980CAD">
              <w:rPr>
                <w:sz w:val="18"/>
              </w:rPr>
              <w:t>Lohman selected leghorn</w:t>
            </w:r>
            <w:r>
              <w:rPr>
                <w:sz w:val="18"/>
              </w:rPr>
              <w:t xml:space="preserve"> chickens from ValoBioMedia, housed at TUM Animal Research Center. Sex/age/genotype are provided for ED10/ED11/ED18 embryos, 1-month-old chicks, 5-week-old immunized chicks, and 27-week-old hens; genotypes include WT, IFNAR1−/−, IFNLR1−/− and heterozygous controls where relevant.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E43E3AC" w14:textId="77777777" w:rsidR="00F102CC" w:rsidRPr="003D5AF6" w:rsidRDefault="00F102CC">
            <w:pPr>
              <w:rPr>
                <w:rFonts w:ascii="Noto Sans" w:eastAsia="Noto Sans" w:hAnsi="Noto Sans" w:cs="Noto Sans"/>
                <w:bCs/>
                <w:color w:val="434343"/>
                <w:sz w:val="18"/>
                <w:szCs w:val="18"/>
              </w:rPr>
            </w:pPr>
          </w:p>
        </w:tc>
      </w:tr>
      <w:tr w:rsidR="00F102CC" w14:paraId="7BABDFDA"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295ED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6278F6E" w14:textId="77777777" w:rsidR="00E52BBD" w:rsidRDefault="00000000">
            <w:r>
              <w:rPr>
                <w:sz w:val="18"/>
              </w:rPr>
              <w:t>Not applicable; no field-captured animals were used.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6B65370" w14:textId="77777777" w:rsidR="00E52BBD" w:rsidRDefault="00000000">
            <w:pPr>
              <w:jc w:val="center"/>
            </w:pPr>
            <w:r>
              <w:rPr>
                <w:sz w:val="18"/>
              </w:rPr>
              <w:t>X</w:t>
            </w:r>
          </w:p>
        </w:tc>
      </w:tr>
      <w:tr w:rsidR="00F102CC" w14:paraId="0943DAE1"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0BB7AB2E"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202EB64A"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3B13FFA9"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C30EA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B308D1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0A2147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4F7A99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25C6D174"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90E94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151B409" w14:textId="77777777" w:rsidR="00E52BBD" w:rsidRDefault="00000000">
            <w:r>
              <w:rPr>
                <w:sz w:val="18"/>
              </w:rPr>
              <w:t>Not applicable; no plants were used.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674B168" w14:textId="77777777" w:rsidR="00E52BBD" w:rsidRDefault="00000000">
            <w:pPr>
              <w:jc w:val="center"/>
            </w:pPr>
            <w:r>
              <w:rPr>
                <w:sz w:val="18"/>
              </w:rPr>
              <w:t>X</w:t>
            </w:r>
          </w:p>
        </w:tc>
      </w:tr>
      <w:tr w:rsidR="00F102CC" w14:paraId="6B822616"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5E0D7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E380651" w14:textId="1D776508" w:rsidR="00E52BBD" w:rsidRDefault="00000000">
            <w:r>
              <w:rPr>
                <w:sz w:val="18"/>
              </w:rPr>
              <w:t>Materials and Methods: Experimental design; Supplementary File 1</w:t>
            </w:r>
            <w:r w:rsidR="001A7766">
              <w:rPr>
                <w:sz w:val="18"/>
              </w:rPr>
              <w:t>d</w:t>
            </w:r>
            <w:r>
              <w:rPr>
                <w:sz w:val="18"/>
              </w:rPr>
              <w:t xml:space="preserve">. Virus strains and titers are listed, including WSN/33 (H1N1), A/Chicken/Belgium/460/2019 (H3N1), A/chicken/Saudi Arabia/CP7/1998 </w:t>
            </w:r>
            <w:r>
              <w:rPr>
                <w:sz w:val="18"/>
              </w:rPr>
              <w:lastRenderedPageBreak/>
              <w:t>(H9N2), and IBV Beaudette strain. The source of the H3N1 isolate is stated in the in vivo experimental design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56573B13" w14:textId="77777777" w:rsidR="00F102CC" w:rsidRPr="003D5AF6" w:rsidRDefault="00F102CC">
            <w:pPr>
              <w:rPr>
                <w:rFonts w:ascii="Noto Sans" w:eastAsia="Noto Sans" w:hAnsi="Noto Sans" w:cs="Noto Sans"/>
                <w:bCs/>
                <w:color w:val="434343"/>
                <w:sz w:val="18"/>
                <w:szCs w:val="18"/>
              </w:rPr>
            </w:pPr>
          </w:p>
        </w:tc>
      </w:tr>
      <w:tr w:rsidR="00F102CC" w14:paraId="2858F817"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7AFC0031"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0A04EB7"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10F88026"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1DAA018"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8324C5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CA88CF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3498E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208505F7"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3CB22E" w14:textId="77777777"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28C530D" w14:textId="77777777" w:rsidR="00E52BBD" w:rsidRDefault="00000000">
            <w:r>
              <w:rPr>
                <w:sz w:val="18"/>
              </w:rPr>
              <w:t>Not applicable; no human participants were included.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5C5AC002" w14:textId="77777777" w:rsidR="00E52BBD" w:rsidRDefault="00000000">
            <w:pPr>
              <w:jc w:val="center"/>
            </w:pPr>
            <w:r>
              <w:rPr>
                <w:sz w:val="18"/>
              </w:rPr>
              <w:t>X</w:t>
            </w:r>
          </w:p>
        </w:tc>
      </w:tr>
    </w:tbl>
    <w:p w14:paraId="2A429B2A"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58476A35"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46C245D3"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7E084C7F"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5FD8F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B87AD5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F11196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7B4D805"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6B9A4D"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7E0B40AE" w14:textId="77777777" w:rsidR="00E52BBD" w:rsidRDefault="00000000">
            <w:r>
              <w:rPr>
                <w:sz w:val="18"/>
              </w:rPr>
              <w:t>Not applicable; the study was not a clinical trial and no preregistered study protocol/DOI applies.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0BD42B5" w14:textId="77777777" w:rsidR="00E52BBD" w:rsidRDefault="00000000">
            <w:pPr>
              <w:jc w:val="center"/>
            </w:pPr>
            <w:r>
              <w:rPr>
                <w:sz w:val="18"/>
              </w:rPr>
              <w:t>X</w:t>
            </w:r>
          </w:p>
        </w:tc>
      </w:tr>
      <w:tr w:rsidR="00F102CC" w14:paraId="70DE9DF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FD00F7B"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6BEECF74"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399730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5B4FBB2"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75E34E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420D3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A58A4B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6B194B4"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289A01"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FA8F700" w14:textId="77777777" w:rsidR="00E52BBD" w:rsidRDefault="00000000">
            <w:r>
              <w:rPr>
                <w:sz w:val="18"/>
              </w:rPr>
              <w:t>Materials and Methods cite previously established protocols for PGC isolation/culture, germline transmission, CEF culture, viral propagation/titration, microbiome processing, ELISA, TCR sequencing, qPCR and flow cytometry. Full citations are provided in the References.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0187E49"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3253D928"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5A2A397"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7B6ACEC3"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B8B193B"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0C872449"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5BE9C8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19E56C02"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7BE1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D9358D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C3C83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04FAD18"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6D43C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7CDBB81" w14:textId="77777777" w:rsidR="00E52BBD" w:rsidRDefault="00000000">
            <w:r>
              <w:rPr>
                <w:sz w:val="18"/>
              </w:rPr>
              <w:t>Materials and Methods: Experimental design; figure legends. Sample sizes were determined based on standard practice in the field and prior experience. Exact n values are provided in the Methods and figure legends where applicable.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A9EFCA9"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08AC42C7"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B0596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76346B2" w14:textId="77777777" w:rsidR="00E52BBD" w:rsidRDefault="00000000">
            <w:r>
              <w:rPr>
                <w:sz w:val="18"/>
              </w:rPr>
              <w:t xml:space="preserve">Materials and Methods: Experimental design. Animals were grouped by </w:t>
            </w:r>
            <w:r>
              <w:rPr>
                <w:sz w:val="18"/>
              </w:rPr>
              <w:lastRenderedPageBreak/>
              <w:t>genotype; individuals within each genotype were randomly selected for relevant experiments. In vivo infected animals were selected randomly within genotype. For in ovo experiments, embryos were genotyped after sample collection and then assigned to WT/homozygous groups.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69BF8FF" w14:textId="77777777" w:rsidR="00F102CC" w:rsidRDefault="00F102CC">
            <w:pPr>
              <w:spacing w:line="225" w:lineRule="auto"/>
              <w:rPr>
                <w:rFonts w:ascii="Noto Sans" w:eastAsia="Noto Sans" w:hAnsi="Noto Sans" w:cs="Noto Sans"/>
                <w:b/>
                <w:color w:val="434343"/>
                <w:sz w:val="18"/>
                <w:szCs w:val="18"/>
              </w:rPr>
            </w:pPr>
          </w:p>
        </w:tc>
      </w:tr>
      <w:tr w:rsidR="00F102CC" w14:paraId="4BF1BAD1"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8A949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0673964A" w14:textId="77777777" w:rsidR="00E52BBD" w:rsidRDefault="00000000">
            <w:r>
              <w:rPr>
                <w:sz w:val="18"/>
              </w:rPr>
              <w:t>Materials and Methods: Experimental design. The in ovo viral challenge was performed blinded, with investigators unaware of genotype during infection and sample processing. Blinding was not reported for all other analyses.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B594D28"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64403C30"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398C21D"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65B925F" w14:textId="77777777" w:rsidR="00E52BBD" w:rsidRDefault="00000000">
            <w:r>
              <w:rPr>
                <w:sz w:val="18"/>
              </w:rPr>
              <w:t>Materials and Methods: Experimental design; TCR repertoire analysis; RNA isolation/cDNA synthesis/qRT-PCR; Figure 8-figure supplement 1 legend. Inclusion/exclusion was based on genotype, humane endpoints/euthanasia timing, RNA quality (RIN ≥ 8 for TCR), and stated sampling windows; only WT and homozygous embryos were selected for specified in ovo analyses.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20B3D6C"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5F946806" w14:textId="77777777">
        <w:trPr>
          <w:trHeight w:val="425"/>
        </w:trPr>
        <w:tc>
          <w:tcPr>
            <w:tcW w:w="5595" w:type="dxa"/>
            <w:tcBorders>
              <w:top w:val="nil"/>
              <w:left w:val="nil"/>
              <w:bottom w:val="nil"/>
              <w:right w:val="nil"/>
            </w:tcBorders>
            <w:tcMar>
              <w:top w:w="100" w:type="dxa"/>
              <w:left w:w="100" w:type="dxa"/>
              <w:bottom w:w="100" w:type="dxa"/>
              <w:right w:w="100" w:type="dxa"/>
            </w:tcMar>
          </w:tcPr>
          <w:p w14:paraId="0F51E31E"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5382BC0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5974595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33427915"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B678CF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97B0F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C6C56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5F275BD"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82BE42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6DBCD75" w14:textId="77777777" w:rsidR="00E52BBD" w:rsidRDefault="00000000">
            <w:r>
              <w:rPr>
                <w:sz w:val="18"/>
              </w:rPr>
              <w:t>Materials and Methods: Experimental design; figure legends. The manuscript reports the number of animals/embryos/cells per group where relevant. Experiments included independent biological replicates (animals, embryos, tissues/cells) and some technical replicates for assays.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65EAEE"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5CEC4BC6"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19BC63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00106E93" w14:textId="77777777" w:rsidR="00E52BBD" w:rsidRDefault="00000000">
            <w:r>
              <w:rPr>
                <w:sz w:val="18"/>
              </w:rPr>
              <w:t>Materials and Methods: qRT-PCR states each gene was analyzed in triplicate. Biological replicates are animals/embryos/tissues/cell cultures as described in the experimental design and figure legends; technical replicates include qPCR triplicates and assay replicates where applicable.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16EA63E"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597532F1"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023DBB6"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2AB0DB9D"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5DE5F1AC"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39DB85"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030312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3D96FD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7A4756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9AE274E"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A75FF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11A9BF2" w14:textId="77777777" w:rsidR="00E52BBD" w:rsidRDefault="00000000">
            <w:r>
              <w:rPr>
                <w:sz w:val="18"/>
              </w:rPr>
              <w:t>Not applicable; no human participants were included.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4DD5261" w14:textId="77777777" w:rsidR="00E52BBD" w:rsidRDefault="00000000">
            <w:pPr>
              <w:jc w:val="center"/>
            </w:pPr>
            <w:r>
              <w:rPr>
                <w:sz w:val="18"/>
              </w:rPr>
              <w:t>X</w:t>
            </w:r>
          </w:p>
        </w:tc>
      </w:tr>
      <w:tr w:rsidR="00F102CC" w14:paraId="080FCA82"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26D3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19BDC12" w14:textId="77777777" w:rsidR="00E52BBD" w:rsidRDefault="00000000">
            <w:r>
              <w:rPr>
                <w:sz w:val="18"/>
              </w:rPr>
              <w:t>Materials and Methods: Animals. Animal experiments were approved by the government of Upper Bavaria under licenses ROB-55.2-2532.Vet_02-20-13 and ROB-55.2-2532.Vet_02-23-100.</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3567D3F"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29B59FBA"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0D890ED"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3CBAAC" w14:textId="77777777" w:rsidR="00E52BBD" w:rsidRDefault="00000000">
            <w:r>
              <w:rPr>
                <w:sz w:val="18"/>
              </w:rPr>
              <w:t>Not applicable; no field specimens requiring permits were used.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7D24BE1" w14:textId="77777777" w:rsidR="00E52BBD" w:rsidRDefault="00000000">
            <w:pPr>
              <w:jc w:val="center"/>
            </w:pPr>
            <w:r>
              <w:rPr>
                <w:sz w:val="18"/>
              </w:rPr>
              <w:t>X</w:t>
            </w:r>
          </w:p>
        </w:tc>
      </w:tr>
      <w:tr w:rsidR="00F102CC" w14:paraId="2F8A9EF1"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37BD63C2"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77A8E45D"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4DAA4A"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3D6D30"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4005705"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C1741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34B8BC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B44D4CF"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392B0DD"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D97F3D0" w14:textId="25C03810" w:rsidR="00E52BBD" w:rsidRDefault="00000000">
            <w:r>
              <w:rPr>
                <w:sz w:val="18"/>
              </w:rPr>
              <w:t>Not applicable; the study is not described as subject to DURC regulations. Low pathogenic avian influenza strains/laboratory virus strains were used as described in Supplementary File 1</w:t>
            </w:r>
            <w:r w:rsidR="001A7766">
              <w:rPr>
                <w:sz w:val="18"/>
              </w:rPr>
              <w:t>d</w:t>
            </w:r>
            <w:r>
              <w:rPr>
                <w:sz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9715133" w14:textId="77777777" w:rsidR="00E52BBD" w:rsidRDefault="00000000">
            <w:pPr>
              <w:jc w:val="center"/>
            </w:pPr>
            <w:r>
              <w:rPr>
                <w:sz w:val="18"/>
              </w:rPr>
              <w:t>X</w:t>
            </w:r>
          </w:p>
        </w:tc>
      </w:tr>
    </w:tbl>
    <w:p w14:paraId="1AA50DC0" w14:textId="77777777" w:rsidR="00F102CC" w:rsidRDefault="00F102CC">
      <w:pPr>
        <w:spacing w:line="227" w:lineRule="auto"/>
        <w:rPr>
          <w:rFonts w:ascii="Noto Sans" w:eastAsia="Noto Sans" w:hAnsi="Noto Sans" w:cs="Noto Sans"/>
          <w:b/>
          <w:color w:val="434343"/>
          <w:sz w:val="18"/>
          <w:szCs w:val="18"/>
        </w:rPr>
      </w:pPr>
    </w:p>
    <w:p w14:paraId="490D3EAA"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1C29D747"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7F316F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C34784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3F6886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3DB4D4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C2D4BCF"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682A98D"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DAF5378" w14:textId="77777777" w:rsidR="00E52BBD" w:rsidRDefault="00000000">
            <w:r>
              <w:rPr>
                <w:sz w:val="18"/>
              </w:rPr>
              <w:t>Materials and Methods: Experimental design; TCR repertoire analysis; RNA isolation/cDNA synthesis/qRT-PCR; Figure 8-figure supplement 1 legend. Exclusions/selection were based on pre-specified genotype assignment, sampling time, humane endpoints, and RNA quality criteria. Relevant n values are reported in the figure legends.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A222D3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52B24FD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10C1F9DA"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7C9AD5C4"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B07BB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18E785F"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DAE83A4"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AFCE07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23B8C9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AD0FC6D"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1AC885C"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02F825F0" w14:textId="77777777" w:rsidR="00E52BBD" w:rsidRDefault="00000000">
            <w:r>
              <w:rPr>
                <w:sz w:val="18"/>
              </w:rPr>
              <w:t>Materials and Methods: Statistical analysis; figure legends. Statistical tests included one-way or two-way ANOVA with Tukey post hoc tests, Wilcoxon rank-sum pairwise tests, PERMANOVA, and negative binomial generalized linear modeling with Holm-adjusted post-hoc comparisons for TCR repertoire analyses. Significance threshold P ≤ 0.05.</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04D42D0D"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25E5411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1E70D4FC"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9A78F4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C2F83EF"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323958A"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FDE97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5F24E3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BAFD24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9D351F4"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2C802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613C909C" w14:textId="5170B421" w:rsidR="00E52BBD" w:rsidRDefault="00000000">
            <w:r w:rsidRPr="00104C5F">
              <w:rPr>
                <w:color w:val="000000" w:themeColor="text1"/>
                <w:sz w:val="18"/>
              </w:rPr>
              <w:t xml:space="preserve">Data availability section/submission form. All data supporting the findings are stated to be included in the article, figure source data files, and supplementary files.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6B849EF7"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5D2C0DF1"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FBF0F5"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E57AF62" w14:textId="77777777" w:rsidR="00E52BBD" w:rsidRDefault="00000000">
            <w:r>
              <w:rPr>
                <w:sz w:val="18"/>
              </w:rPr>
              <w:t>Data availability section/submission form. Microbiome sequencing data: NCBI BioProject PRJNA1472969. TCR repertoire sequencing data: NCBI BioProject PRJNA1473170. Figure source data and gel/blot source data are provided with the submission.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4F02E47"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69697959"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E1FC092"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32BA211" w14:textId="77777777" w:rsidR="00E52BBD" w:rsidRDefault="00000000">
            <w:r>
              <w:rPr>
                <w:sz w:val="18"/>
              </w:rPr>
              <w:t>Materials and Methods/References. Reused public resources/software/databases are cited or linked, including IMNGS2, RHEA, FastQC, MultiQC, MiXCR, R/tidyverse, MASS, and emmeans.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BF537C5"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0532690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0E61440B"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447C256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69B2A35F"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19B1A6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9F2F7A5"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9135C3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6C4A92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45626E4"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650F9B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B89F8DD" w14:textId="77777777" w:rsidR="00E52BBD" w:rsidRDefault="00000000">
            <w:r>
              <w:rPr>
                <w:sz w:val="18"/>
              </w:rPr>
              <w:t>Materials and Methods: Microbiome analysis; TCR repertoire analysis; Statistical analysis. No newly generated custom software/code is described as essential for replicating the main findings; analyses used established software and R packages with versions/citations where provided.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071D2662"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5F81E1B6"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81EAF86" w14:textId="7777777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C409872" w14:textId="77777777" w:rsidR="00E52BBD" w:rsidRDefault="00000000">
            <w:r>
              <w:rPr>
                <w:sz w:val="18"/>
              </w:rPr>
              <w:t>Not applicable; no newly generated custom code repository is reported.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6525357D" w14:textId="77777777" w:rsidR="00E52BBD" w:rsidRDefault="00000000">
            <w:pPr>
              <w:jc w:val="center"/>
            </w:pPr>
            <w:r>
              <w:rPr>
                <w:sz w:val="18"/>
              </w:rPr>
              <w:t>X</w:t>
            </w:r>
          </w:p>
        </w:tc>
      </w:tr>
      <w:tr w:rsidR="00F102CC" w14:paraId="34A8B068"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BCF32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FC84E66" w14:textId="77777777" w:rsidR="00E52BBD" w:rsidRDefault="00000000">
            <w:r>
              <w:rPr>
                <w:sz w:val="18"/>
              </w:rPr>
              <w:t>Materials and Methods and References provide URLs/citations/versions for reused software and packages, including FastQC v0.12.1, MultiQC v1.23, MiXCR v4.7.0, R v4.4.1/tidyverse v2.0.0, MASS v7.3-61 and emmeans v1.10.3.</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27459E0" w14:textId="77777777" w:rsidR="00F102CC" w:rsidRPr="003D5AF6" w:rsidRDefault="00F102CC">
            <w:pPr>
              <w:spacing w:line="225" w:lineRule="auto"/>
              <w:rPr>
                <w:rFonts w:ascii="Noto Sans" w:eastAsia="Noto Sans" w:hAnsi="Noto Sans" w:cs="Noto Sans"/>
                <w:bCs/>
                <w:color w:val="434343"/>
                <w:sz w:val="18"/>
                <w:szCs w:val="18"/>
              </w:rPr>
            </w:pPr>
          </w:p>
        </w:tc>
      </w:tr>
    </w:tbl>
    <w:p w14:paraId="46844AF1"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5C3BCC20"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7D12D9E3"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573DD9BE"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55E7A7AC"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AD726A9"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AF31D0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BAD642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568D6C3"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3184F3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46A3FA19" w14:textId="77777777" w:rsidR="00E52BBD" w:rsidRDefault="00000000">
            <w:r>
              <w:rPr>
                <w:sz w:val="18"/>
              </w:rPr>
              <w:t xml:space="preserve">MDAR checklist provided with the manuscript. Animal work is reported with species/strain/source, sex/age/genotype, ethics approval, sample sizes, </w:t>
            </w:r>
            <w:r>
              <w:rPr>
                <w:sz w:val="18"/>
              </w:rPr>
              <w:lastRenderedPageBreak/>
              <w:t>randomization/blinding where applicable, statistical methods, and data availability details in the Materials and Methods, figure legends, Supplementary File 1, and submission form. ARRIVE-relevant reporting elements are included where applicable.</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1BBE7A5C" w14:textId="77777777" w:rsidR="00F102CC" w:rsidRPr="003D5AF6" w:rsidRDefault="00F102CC">
            <w:pPr>
              <w:spacing w:line="225" w:lineRule="auto"/>
              <w:rPr>
                <w:rFonts w:ascii="Noto Sans" w:eastAsia="Noto Sans" w:hAnsi="Noto Sans" w:cs="Noto Sans"/>
                <w:bCs/>
                <w:color w:val="434343"/>
                <w:sz w:val="18"/>
                <w:szCs w:val="18"/>
              </w:rPr>
            </w:pPr>
          </w:p>
        </w:tc>
      </w:tr>
    </w:tbl>
    <w:p w14:paraId="5203F1A6" w14:textId="77777777" w:rsidR="00F102CC" w:rsidRDefault="00F102CC">
      <w:pPr>
        <w:spacing w:line="227" w:lineRule="auto"/>
        <w:rPr>
          <w:rFonts w:ascii="Noto Sans" w:eastAsia="Noto Sans" w:hAnsi="Noto Sans" w:cs="Noto Sans"/>
          <w:b/>
          <w:color w:val="434343"/>
          <w:sz w:val="18"/>
          <w:szCs w:val="18"/>
        </w:rPr>
      </w:pPr>
    </w:p>
    <w:p w14:paraId="7C5A3C0D" w14:textId="77777777" w:rsidR="00F102CC" w:rsidRDefault="003C37D1">
      <w:pPr>
        <w:spacing w:before="80"/>
      </w:pPr>
      <w:bookmarkStart w:id="3" w:name="_cm0qssfkw66b" w:colFirst="0" w:colLast="0"/>
      <w:bookmarkEnd w:id="3"/>
      <w:r>
        <w:rPr>
          <w:noProof/>
        </w:rPr>
        <w:pict w14:anchorId="4B7FE88D">
          <v:rect id="_x0000_i1025" alt="" style="width:451.3pt;height:.05pt;mso-width-percent:0;mso-height-percent:0;mso-width-percent:0;mso-height-percent:0" o:hralign="center" o:hrstd="t" o:hr="t" fillcolor="#a0a0a0" stroked="f"/>
        </w:pict>
      </w:r>
    </w:p>
    <w:p w14:paraId="2CBEBB41" w14:textId="77777777" w:rsidR="003D5AF6" w:rsidRDefault="003D5AF6"/>
    <w:p w14:paraId="2C22821C" w14:textId="77777777"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42E62950" w14:textId="77777777" w:rsidR="00F102CC" w:rsidRDefault="00F102CC"/>
    <w:p w14:paraId="12CBC44C" w14:textId="77777777" w:rsidR="00F102CC" w:rsidRDefault="00427975">
      <w:pPr>
        <w:rPr>
          <w:b/>
        </w:rPr>
      </w:pPr>
      <w:r>
        <w:rPr>
          <w:b/>
        </w:rPr>
        <w:t>Sample-size estimation</w:t>
      </w:r>
    </w:p>
    <w:p w14:paraId="2E36501B" w14:textId="77777777" w:rsidR="00F102CC" w:rsidRDefault="00427975">
      <w:pPr>
        <w:numPr>
          <w:ilvl w:val="0"/>
          <w:numId w:val="1"/>
        </w:numPr>
      </w:pPr>
      <w:r>
        <w:t>You should state whether an appropriate sample size was computed when the study was being designed</w:t>
      </w:r>
    </w:p>
    <w:p w14:paraId="74ABF3FF" w14:textId="77777777" w:rsidR="00F102CC" w:rsidRDefault="00427975">
      <w:pPr>
        <w:numPr>
          <w:ilvl w:val="0"/>
          <w:numId w:val="1"/>
        </w:numPr>
      </w:pPr>
      <w:r>
        <w:t>You should state the statistical method of sample size computation and any required assumptions</w:t>
      </w:r>
    </w:p>
    <w:p w14:paraId="03BC75D3" w14:textId="77777777" w:rsidR="00F102CC" w:rsidRDefault="00427975">
      <w:pPr>
        <w:numPr>
          <w:ilvl w:val="0"/>
          <w:numId w:val="1"/>
        </w:numPr>
      </w:pPr>
      <w:r>
        <w:t>If no explicit power analysis was used, you should describe how you decided what sample (replicate) size (number) to use</w:t>
      </w:r>
    </w:p>
    <w:p w14:paraId="7000E09D" w14:textId="77777777" w:rsidR="00F102CC" w:rsidRDefault="00F102CC"/>
    <w:p w14:paraId="6CB5D361" w14:textId="77777777" w:rsidR="00F102CC" w:rsidRDefault="00427975">
      <w:pPr>
        <w:rPr>
          <w:b/>
        </w:rPr>
      </w:pPr>
      <w:r>
        <w:rPr>
          <w:b/>
        </w:rPr>
        <w:t>Replicates</w:t>
      </w:r>
    </w:p>
    <w:p w14:paraId="167B231B" w14:textId="77777777" w:rsidR="00F102CC" w:rsidRDefault="00427975">
      <w:pPr>
        <w:numPr>
          <w:ilvl w:val="0"/>
          <w:numId w:val="3"/>
        </w:numPr>
      </w:pPr>
      <w:r>
        <w:t>You should report how often each experiment was performed</w:t>
      </w:r>
    </w:p>
    <w:p w14:paraId="0CFE87D2" w14:textId="77777777" w:rsidR="00F102CC" w:rsidRDefault="00427975">
      <w:pPr>
        <w:numPr>
          <w:ilvl w:val="0"/>
          <w:numId w:val="3"/>
        </w:numPr>
      </w:pPr>
      <w:r>
        <w:t>You should include a definition of biological versus technical replication</w:t>
      </w:r>
    </w:p>
    <w:p w14:paraId="1BAD41EF"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60C71B9B" w14:textId="77777777" w:rsidR="00F102CC" w:rsidRDefault="00427975">
      <w:pPr>
        <w:numPr>
          <w:ilvl w:val="0"/>
          <w:numId w:val="3"/>
        </w:numPr>
      </w:pPr>
      <w:r>
        <w:t>If you encountered any outliers, you should describe how these were handled</w:t>
      </w:r>
    </w:p>
    <w:p w14:paraId="517AE279" w14:textId="77777777" w:rsidR="00F102CC" w:rsidRDefault="00427975">
      <w:pPr>
        <w:numPr>
          <w:ilvl w:val="0"/>
          <w:numId w:val="3"/>
        </w:numPr>
      </w:pPr>
      <w:r>
        <w:t>Criteria for exclusion/inclusion of data should be clearly stated</w:t>
      </w:r>
    </w:p>
    <w:p w14:paraId="724F1BA3"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5FE43AB1" w14:textId="77777777" w:rsidR="00F102CC" w:rsidRDefault="00F102CC"/>
    <w:p w14:paraId="51AC8984" w14:textId="77777777" w:rsidR="00F102CC" w:rsidRDefault="00427975">
      <w:pPr>
        <w:rPr>
          <w:b/>
        </w:rPr>
      </w:pPr>
      <w:r>
        <w:rPr>
          <w:b/>
        </w:rPr>
        <w:t>Statistical reporting</w:t>
      </w:r>
    </w:p>
    <w:p w14:paraId="63247866" w14:textId="77777777" w:rsidR="00F102CC" w:rsidRDefault="00427975">
      <w:pPr>
        <w:numPr>
          <w:ilvl w:val="0"/>
          <w:numId w:val="2"/>
        </w:numPr>
      </w:pPr>
      <w:r>
        <w:t>Statistical analysis methods should be described and justified</w:t>
      </w:r>
    </w:p>
    <w:p w14:paraId="092BCD08" w14:textId="77777777" w:rsidR="00F102CC" w:rsidRDefault="00427975">
      <w:pPr>
        <w:numPr>
          <w:ilvl w:val="0"/>
          <w:numId w:val="2"/>
        </w:numPr>
      </w:pPr>
      <w:r>
        <w:t>Raw data should be presented in figures whenever informative to do so (typically when N per group is less than 10)</w:t>
      </w:r>
    </w:p>
    <w:p w14:paraId="70655590"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A907536"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2ED9B38" w14:textId="77777777" w:rsidR="00F102CC" w:rsidRDefault="00F102CC"/>
    <w:p w14:paraId="40687DE6" w14:textId="77777777" w:rsidR="00F102CC" w:rsidRDefault="00427975">
      <w:pPr>
        <w:rPr>
          <w:b/>
        </w:rPr>
      </w:pPr>
      <w:r>
        <w:rPr>
          <w:b/>
        </w:rPr>
        <w:t>Group allocation</w:t>
      </w:r>
    </w:p>
    <w:p w14:paraId="03B2B022"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91BB814"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F7634" w14:textId="77777777" w:rsidR="003C37D1" w:rsidRDefault="003C37D1">
      <w:r>
        <w:separator/>
      </w:r>
    </w:p>
  </w:endnote>
  <w:endnote w:type="continuationSeparator" w:id="0">
    <w:p w14:paraId="463B0E63" w14:textId="77777777" w:rsidR="003C37D1" w:rsidRDefault="003C3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A66BB"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77A3D1E5"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48657" w14:textId="77777777" w:rsidR="003C37D1" w:rsidRDefault="003C37D1">
      <w:r>
        <w:separator/>
      </w:r>
    </w:p>
  </w:footnote>
  <w:footnote w:type="continuationSeparator" w:id="0">
    <w:p w14:paraId="6DD71AC0" w14:textId="77777777" w:rsidR="003C37D1" w:rsidRDefault="003C3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165D4" w14:textId="77777777"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8C02" w14:textId="77777777"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04C5F"/>
    <w:rsid w:val="0014382E"/>
    <w:rsid w:val="001A7766"/>
    <w:rsid w:val="001B3BCC"/>
    <w:rsid w:val="002209A8"/>
    <w:rsid w:val="003A2CE7"/>
    <w:rsid w:val="003C37D1"/>
    <w:rsid w:val="003D5AF6"/>
    <w:rsid w:val="00400C53"/>
    <w:rsid w:val="00427975"/>
    <w:rsid w:val="004E2C31"/>
    <w:rsid w:val="005B0259"/>
    <w:rsid w:val="005C4467"/>
    <w:rsid w:val="007054B6"/>
    <w:rsid w:val="0078687E"/>
    <w:rsid w:val="00922EB1"/>
    <w:rsid w:val="00980CAD"/>
    <w:rsid w:val="00985A58"/>
    <w:rsid w:val="009C7B26"/>
    <w:rsid w:val="00A11E52"/>
    <w:rsid w:val="00B2483D"/>
    <w:rsid w:val="00B62C2D"/>
    <w:rsid w:val="00BD41E9"/>
    <w:rsid w:val="00C51FF8"/>
    <w:rsid w:val="00C84413"/>
    <w:rsid w:val="00E02A6C"/>
    <w:rsid w:val="00E10D89"/>
    <w:rsid w:val="00E52BBD"/>
    <w:rsid w:val="00E75647"/>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CE721"/>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2203</Words>
  <Characters>14147</Characters>
  <Application>Microsoft Office Word</Application>
  <DocSecurity>0</DocSecurity>
  <Lines>544</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Mohanned Alhussien</cp:lastModifiedBy>
  <cp:revision>5</cp:revision>
  <dcterms:created xsi:type="dcterms:W3CDTF">2026-06-04T21:33:00Z</dcterms:created>
  <dcterms:modified xsi:type="dcterms:W3CDTF">2026-06-09T09:57:00Z</dcterms:modified>
</cp:coreProperties>
</file>