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345934E7">
            <w:pPr>
              <w:rPr>
                <w:rFonts w:hint="eastAsia"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Methods</w:t>
            </w:r>
          </w:p>
          <w:p w14:paraId="676E6AE6">
            <w:pPr>
              <w:rPr>
                <w:rFonts w:hint="eastAsia" w:ascii="Noto Sans" w:hAnsi="Noto Sans" w:eastAsia="宋体" w:cs="Noto Sans"/>
                <w:bCs/>
                <w:i/>
                <w:iCs/>
                <w:color w:val="434343"/>
                <w:sz w:val="18"/>
                <w:szCs w:val="18"/>
                <w:lang w:val="en-US" w:eastAsia="zh-CN"/>
              </w:rPr>
            </w:pPr>
            <w:r>
              <w:rPr>
                <w:rFonts w:hint="eastAsia" w:ascii="Noto Sans" w:hAnsi="Noto Sans" w:eastAsia="宋体" w:cs="Noto Sans"/>
                <w:bCs/>
                <w:i/>
                <w:iCs/>
                <w:color w:val="434343"/>
                <w:sz w:val="18"/>
                <w:szCs w:val="18"/>
                <w:lang w:val="en-US" w:eastAsia="zh-CN"/>
              </w:rPr>
              <w:t>Animal model</w:t>
            </w:r>
          </w:p>
          <w:p w14:paraId="2AE1DB62">
            <w:pPr>
              <w:rPr>
                <w:rFonts w:hint="eastAsia" w:ascii="Noto Sans" w:hAnsi="Noto Sans" w:eastAsia="宋体" w:cs="Noto Sans"/>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r>
              <w:rPr>
                <w:rFonts w:hint="eastAsia" w:ascii="Noto Sans" w:hAnsi="Noto Sans" w:eastAsia="Noto Sans" w:cs="Noto Sans"/>
                <w:bCs/>
                <w:color w:val="434343"/>
                <w:sz w:val="18"/>
                <w:szCs w:val="18"/>
                <w:lang w:val="en-US" w:eastAsia="zh-CN"/>
              </w:rPr>
              <w:t>N/A</w:t>
            </w: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r>
              <w:rPr>
                <w:rFonts w:hint="eastAsia" w:ascii="Noto Sans" w:hAnsi="Noto Sans" w:eastAsia="Noto Sans" w:cs="Noto Sans"/>
                <w:bCs/>
                <w:color w:val="434343"/>
                <w:sz w:val="18"/>
                <w:szCs w:val="18"/>
                <w:lang w:val="en-US" w:eastAsia="zh-CN"/>
              </w:rPr>
              <w:t>N/A</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hint="eastAsia"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N/A</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4E0834E">
            <w:pPr>
              <w:spacing w:line="225" w:lineRule="auto"/>
              <w:rPr>
                <w:rFonts w:ascii="Noto Sans" w:hAnsi="Noto Sans" w:eastAsia="Noto Sans" w:cs="Noto Sans"/>
                <w:bCs/>
                <w:color w:val="434343"/>
                <w:sz w:val="18"/>
                <w:szCs w:val="18"/>
                <w:lang w:val="en-US"/>
              </w:rPr>
            </w:pPr>
            <w:r>
              <w:rPr>
                <w:rFonts w:ascii="Noto Sans" w:hAnsi="Noto Sans" w:eastAsia="Noto Sans" w:cs="Noto Sans"/>
                <w:bCs/>
                <w:color w:val="434343"/>
                <w:sz w:val="18"/>
                <w:szCs w:val="18"/>
                <w:lang w:val="en-US"/>
              </w:rPr>
              <w:t>Declarations</w:t>
            </w:r>
          </w:p>
          <w:p w14:paraId="6A84F2BB">
            <w:pPr>
              <w:spacing w:line="225" w:lineRule="auto"/>
              <w:rPr>
                <w:rFonts w:ascii="Noto Sans" w:hAnsi="Noto Sans" w:eastAsia="Noto Sans" w:cs="Noto Sans"/>
                <w:bCs/>
                <w:color w:val="434343"/>
                <w:sz w:val="18"/>
                <w:szCs w:val="18"/>
              </w:rPr>
            </w:pPr>
            <w:r>
              <w:rPr>
                <w:rFonts w:ascii="Noto Sans" w:hAnsi="Noto Sans" w:eastAsia="Noto Sans" w:cs="Noto Sans"/>
                <w:bCs/>
                <w:i/>
                <w:iCs/>
                <w:color w:val="434343"/>
                <w:sz w:val="18"/>
                <w:szCs w:val="18"/>
                <w:lang w:val="en-US"/>
              </w:rPr>
              <w:t>Ethics approval and consent to participate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BA16F4C">
            <w:pPr>
              <w:spacing w:line="225" w:lineRule="auto"/>
              <w:rPr>
                <w:rFonts w:ascii="Noto Sans" w:hAnsi="Noto Sans" w:eastAsia="Noto Sans" w:cs="Noto Sans"/>
                <w:bCs/>
                <w:i w:val="0"/>
                <w:iCs w:val="0"/>
                <w:color w:val="434343"/>
                <w:sz w:val="18"/>
                <w:szCs w:val="18"/>
                <w:lang w:val="en-US"/>
              </w:rPr>
            </w:pPr>
            <w:r>
              <w:rPr>
                <w:rFonts w:ascii="Noto Sans" w:hAnsi="Noto Sans" w:eastAsia="Noto Sans" w:cs="Noto Sans"/>
                <w:bCs/>
                <w:i w:val="0"/>
                <w:iCs w:val="0"/>
                <w:color w:val="434343"/>
                <w:sz w:val="18"/>
                <w:szCs w:val="18"/>
                <w:lang w:val="en-US"/>
              </w:rPr>
              <w:t>Methods</w:t>
            </w:r>
          </w:p>
          <w:p w14:paraId="399EAB39">
            <w:pPr>
              <w:spacing w:line="225" w:lineRule="auto"/>
              <w:rPr>
                <w:rFonts w:ascii="Noto Sans" w:hAnsi="Noto Sans" w:eastAsia="Noto Sans" w:cs="Noto Sans"/>
                <w:bCs/>
                <w:i/>
                <w:iCs/>
                <w:color w:val="434343"/>
                <w:sz w:val="18"/>
                <w:szCs w:val="18"/>
                <w:lang w:val="en-US"/>
              </w:rPr>
            </w:pPr>
            <w:r>
              <w:rPr>
                <w:rFonts w:ascii="Noto Sans" w:hAnsi="Noto Sans" w:eastAsia="Noto Sans" w:cs="Noto Sans"/>
                <w:bCs/>
                <w:i/>
                <w:iCs/>
                <w:color w:val="434343"/>
                <w:sz w:val="18"/>
                <w:szCs w:val="18"/>
                <w:lang w:val="en-US"/>
              </w:rPr>
              <w:t>Materials and methods</w:t>
            </w:r>
          </w:p>
          <w:p w14:paraId="34422D5E">
            <w:pPr>
              <w:spacing w:line="225" w:lineRule="auto"/>
              <w:rPr>
                <w:rFonts w:ascii="Noto Sans" w:hAnsi="Noto Sans" w:eastAsia="Noto Sans" w:cs="Noto Sans"/>
                <w:bCs/>
                <w:color w:val="434343"/>
                <w:sz w:val="18"/>
                <w:szCs w:val="18"/>
              </w:rPr>
            </w:pPr>
            <w:r>
              <w:rPr>
                <w:rFonts w:ascii="Noto Sans" w:hAnsi="Noto Sans" w:eastAsia="Noto Sans" w:cs="Noto Sans"/>
                <w:bCs/>
                <w:i/>
                <w:iCs/>
                <w:color w:val="434343"/>
                <w:sz w:val="18"/>
                <w:szCs w:val="18"/>
                <w:lang w:val="en-US"/>
              </w:rPr>
              <w:t>Quantification and statistical analysis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C2865A7">
            <w:pPr>
              <w:rPr>
                <w:rFonts w:ascii="Noto Sans" w:hAnsi="Noto Sans" w:eastAsia="Noto Sans" w:cs="Noto Sans"/>
                <w:color w:val="434343"/>
                <w:sz w:val="18"/>
                <w:szCs w:val="18"/>
                <w:lang w:val="en-US"/>
              </w:rPr>
            </w:pPr>
            <w:r>
              <w:rPr>
                <w:rFonts w:ascii="Noto Sans" w:hAnsi="Noto Sans" w:eastAsia="Noto Sans" w:cs="Noto Sans"/>
                <w:color w:val="434343"/>
                <w:sz w:val="18"/>
                <w:szCs w:val="18"/>
                <w:lang w:val="en-US"/>
              </w:rPr>
              <w:t>Declarations</w:t>
            </w:r>
          </w:p>
          <w:p w14:paraId="01848756">
            <w:pPr>
              <w:rPr>
                <w:rFonts w:ascii="Noto Sans" w:hAnsi="Noto Sans" w:eastAsia="Noto Sans" w:cs="Noto Sans"/>
                <w:bCs/>
                <w:color w:val="434343"/>
                <w:sz w:val="18"/>
                <w:szCs w:val="18"/>
              </w:rPr>
            </w:pPr>
            <w:r>
              <w:rPr>
                <w:rFonts w:ascii="Noto Sans" w:hAnsi="Noto Sans" w:eastAsia="Noto Sans" w:cs="Noto Sans"/>
                <w:i/>
                <w:iCs/>
                <w:color w:val="434343"/>
                <w:sz w:val="18"/>
                <w:szCs w:val="18"/>
                <w:lang w:val="en-US"/>
              </w:rPr>
              <w:t>Availability of data and materials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23DC58">
            <w:pPr>
              <w:rPr>
                <w:rFonts w:ascii="Noto Sans" w:hAnsi="Noto Sans" w:eastAsia="Noto Sans" w:cs="Noto Sans"/>
                <w:color w:val="434343"/>
                <w:sz w:val="18"/>
                <w:szCs w:val="18"/>
                <w:lang w:val="en-US"/>
              </w:rPr>
            </w:pPr>
            <w:r>
              <w:rPr>
                <w:rFonts w:ascii="Noto Sans" w:hAnsi="Noto Sans" w:eastAsia="Noto Sans" w:cs="Noto Sans"/>
                <w:color w:val="434343"/>
                <w:sz w:val="18"/>
                <w:szCs w:val="18"/>
                <w:lang w:val="en-US"/>
              </w:rPr>
              <w:t>Declarations</w:t>
            </w:r>
          </w:p>
          <w:p w14:paraId="600248CC">
            <w:pPr>
              <w:spacing w:line="225" w:lineRule="auto"/>
              <w:rPr>
                <w:rFonts w:ascii="Noto Sans" w:hAnsi="Noto Sans" w:eastAsia="Noto Sans" w:cs="Noto Sans"/>
                <w:bCs/>
                <w:color w:val="434343"/>
                <w:sz w:val="18"/>
                <w:szCs w:val="18"/>
              </w:rPr>
            </w:pPr>
            <w:r>
              <w:rPr>
                <w:rFonts w:ascii="Noto Sans" w:hAnsi="Noto Sans" w:eastAsia="Noto Sans" w:cs="Noto Sans"/>
                <w:i/>
                <w:iCs/>
                <w:color w:val="434343"/>
                <w:sz w:val="18"/>
                <w:szCs w:val="18"/>
                <w:lang w:val="en-US"/>
              </w:rPr>
              <w:t>Availability of data and materials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N/A</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8"/>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1D3F3C4">
            <w:pPr>
              <w:pStyle w:val="11"/>
              <w:keepNext w:val="0"/>
              <w:keepLines w:val="0"/>
              <w:widowControl/>
              <w:suppressLineNumbers w:val="0"/>
              <w:rPr>
                <w:rFonts w:ascii="Noto Sans" w:hAnsi="Noto Sans" w:eastAsia="Noto Sans" w:cs="Noto Sans"/>
                <w:color w:val="434343"/>
                <w:kern w:val="0"/>
                <w:sz w:val="18"/>
                <w:szCs w:val="18"/>
                <w:lang w:val="en-US" w:eastAsia="en-GB" w:bidi="ar-SA"/>
              </w:rPr>
            </w:pPr>
            <w:r>
              <w:rPr>
                <w:rFonts w:ascii="Noto Sans" w:hAnsi="Noto Sans" w:eastAsia="Noto Sans" w:cs="Noto Sans"/>
                <w:color w:val="434343"/>
                <w:kern w:val="0"/>
                <w:sz w:val="18"/>
                <w:szCs w:val="18"/>
                <w:lang w:val="en-US" w:eastAsia="en-GB" w:bidi="ar-SA"/>
              </w:rPr>
              <w:t>Followed the relevant ICMJE guidelines and submitted the ICMJE Forms along with the manuscript.</w:t>
            </w:r>
          </w:p>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bookmarkStart w:id="4" w:name="_GoBack"/>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bookmarkEnd w:id="4"/>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20B0604020202020204"/>
    <w:charset w:val="00"/>
    <w:family w:val="swiss"/>
    <w:pitch w:val="default"/>
    <w:sig w:usb0="00000000" w:usb1="00000000" w:usb2="00000021" w:usb3="00000000" w:csb0="0000019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60CA3F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0"/>
    <w:unhideWhenUsed/>
    <w:qFormat/>
    <w:uiPriority w:val="99"/>
    <w:pPr>
      <w:tabs>
        <w:tab w:val="center" w:pos="4513"/>
        <w:tab w:val="right" w:pos="9026"/>
      </w:tabs>
    </w:pPr>
  </w:style>
  <w:style w:type="paragraph" w:styleId="9">
    <w:name w:val="header"/>
    <w:basedOn w:val="1"/>
    <w:link w:val="19"/>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10"/>
    <w:pPr>
      <w:keepNext/>
      <w:keepLines/>
      <w:spacing w:before="480" w:after="120"/>
    </w:pPr>
    <w:rPr>
      <w:b/>
      <w:sz w:val="72"/>
      <w:szCs w:val="72"/>
    </w:rPr>
  </w:style>
  <w:style w:type="table" w:customStyle="1" w:styleId="15">
    <w:name w:val="_Style 11"/>
    <w:basedOn w:val="13"/>
    <w:qFormat/>
    <w:uiPriority w:val="0"/>
    <w:tblPr>
      <w:tblCellMar>
        <w:top w:w="100" w:type="dxa"/>
        <w:left w:w="100" w:type="dxa"/>
        <w:bottom w:w="100" w:type="dxa"/>
        <w:right w:w="100" w:type="dxa"/>
      </w:tblCellMar>
    </w:tblPr>
  </w:style>
  <w:style w:type="table" w:customStyle="1" w:styleId="16">
    <w:name w:val="_Style 12"/>
    <w:basedOn w:val="13"/>
    <w:qFormat/>
    <w:uiPriority w:val="0"/>
    <w:tblPr>
      <w:tblCellMar>
        <w:top w:w="100" w:type="dxa"/>
        <w:left w:w="100" w:type="dxa"/>
        <w:bottom w:w="100" w:type="dxa"/>
        <w:right w:w="100" w:type="dxa"/>
      </w:tblCellMar>
    </w:tblPr>
  </w:style>
  <w:style w:type="table" w:customStyle="1" w:styleId="17">
    <w:name w:val="_Style 13"/>
    <w:basedOn w:val="13"/>
    <w:qFormat/>
    <w:uiPriority w:val="0"/>
    <w:tblPr>
      <w:tblCellMar>
        <w:top w:w="100" w:type="dxa"/>
        <w:left w:w="100" w:type="dxa"/>
        <w:bottom w:w="100" w:type="dxa"/>
        <w:right w:w="100" w:type="dxa"/>
      </w:tblCellMar>
    </w:tblPr>
  </w:style>
  <w:style w:type="table" w:customStyle="1" w:styleId="18">
    <w:name w:val="_Style 14"/>
    <w:basedOn w:val="13"/>
    <w:qFormat/>
    <w:uiPriority w:val="0"/>
    <w:tblPr>
      <w:tblCellMar>
        <w:top w:w="100" w:type="dxa"/>
        <w:left w:w="100" w:type="dxa"/>
        <w:bottom w:w="100" w:type="dxa"/>
        <w:right w:w="100" w:type="dxa"/>
      </w:tblCellMar>
    </w:tblPr>
  </w:style>
  <w:style w:type="character" w:customStyle="1" w:styleId="19">
    <w:name w:val="Header Char"/>
    <w:basedOn w:val="14"/>
    <w:link w:val="9"/>
    <w:qFormat/>
    <w:uiPriority w:val="99"/>
  </w:style>
  <w:style w:type="character" w:customStyle="1" w:styleId="20">
    <w:name w:val="Footer Char"/>
    <w:basedOn w:val="14"/>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1211</Words>
  <Characters>7497</Characters>
  <Lines>67</Lines>
  <Paragraphs>18</Paragraphs>
  <TotalTime>9</TotalTime>
  <ScaleCrop>false</ScaleCrop>
  <LinksUpToDate>false</LinksUpToDate>
  <CharactersWithSpaces>8622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macon</dc:creator>
  <cp:lastModifiedBy>Cherish</cp:lastModifiedBy>
  <dcterms:modified xsi:type="dcterms:W3CDTF">2025-09-20T01:44:53Z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eyJoZGlkIjoiMzEwNTM5NzYwMDRjMzkwZTVkZjY2ODkwMGIxNGU0OTUiLCJ1c2VySWQiOiIyMTA3MjM1ODAifQ==</vt:lpwstr>
  </property>
  <property fmtid="{D5CDD505-2E9C-101B-9397-08002B2CF9AE}" pid="3" name="KSOProductBuildVer">
    <vt:lpwstr>2052-12.1.0.19302</vt:lpwstr>
  </property>
  <property fmtid="{D5CDD505-2E9C-101B-9397-08002B2CF9AE}" pid="4" name="ICV">
    <vt:lpwstr>A2B1F0C69666439BAE9E7E14AB5F8362_12</vt:lpwstr>
  </property>
</Properties>
</file>