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27BCAE">
      <w:pPr>
        <w:widowControl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kern w:val="0"/>
          <w:sz w:val="24"/>
          <w:szCs w:val="24"/>
          <w:lang w:eastAsia="zh-CN" w:bidi="ar"/>
        </w:rPr>
        <w:t xml:space="preserve">Supplementary </w:t>
      </w:r>
      <w:r>
        <w:rPr>
          <w:rFonts w:ascii="Times New Roman" w:hAnsi="Times New Roman" w:eastAsia="Times New Roman" w:cs="Times New Roman"/>
          <w:b/>
          <w:bCs/>
          <w:color w:val="000000"/>
          <w:kern w:val="0"/>
          <w:sz w:val="24"/>
          <w:szCs w:val="24"/>
          <w:lang w:eastAsia="zh-CN" w:bidi="ar"/>
        </w:rPr>
        <w:t xml:space="preserve">File </w:t>
      </w:r>
      <w:r>
        <w:rPr>
          <w:rFonts w:hint="eastAsia" w:ascii="Times New Roman" w:hAnsi="Times New Roman" w:eastAsia="Times New Roman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18</w:t>
      </w:r>
      <w:bookmarkStart w:id="0" w:name="_GoBack"/>
      <w:bookmarkEnd w:id="0"/>
      <w:r>
        <w:rPr>
          <w:rFonts w:ascii="Times New Roman" w:hAnsi="Times New Roman" w:eastAsia="Times New Roman" w:cs="Times New Roman"/>
          <w:b/>
          <w:bCs/>
          <w:color w:val="000000"/>
          <w:kern w:val="0"/>
          <w:sz w:val="24"/>
          <w:szCs w:val="24"/>
          <w:lang w:eastAsia="zh-CN" w:bidi="ar"/>
        </w:rPr>
        <w:t>. GO analysis for MG_cluster3 top genes only (S≥2)</w:t>
      </w:r>
    </w:p>
    <w:tbl>
      <w:tblPr>
        <w:tblStyle w:val="2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6"/>
        <w:gridCol w:w="7117"/>
        <w:gridCol w:w="473"/>
      </w:tblGrid>
      <w:tr w14:paraId="616770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23811">
            <w:pPr>
              <w:widowControl w:val="0"/>
              <w:spacing w:after="0" w:line="480" w:lineRule="auto"/>
              <w:textAlignment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zh-CN" w:bidi="ar"/>
              </w:rPr>
              <w:t>GO_ID</w:t>
            </w:r>
          </w:p>
        </w:tc>
        <w:tc>
          <w:tcPr>
            <w:tcW w:w="3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635B7">
            <w:pPr>
              <w:widowControl w:val="0"/>
              <w:spacing w:after="0" w:line="480" w:lineRule="auto"/>
              <w:textAlignment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zh-CN" w:bidi="ar"/>
              </w:rPr>
              <w:t>GO_Term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D37AE">
            <w:pPr>
              <w:widowControl w:val="0"/>
              <w:spacing w:after="0" w:line="480" w:lineRule="auto"/>
              <w:textAlignment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zh-CN" w:bidi="ar"/>
              </w:rPr>
              <w:t>S</w:t>
            </w:r>
          </w:p>
        </w:tc>
      </w:tr>
      <w:tr w14:paraId="35E5D4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56C9C7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"http://amigo.geneontology.org/amigo/term/GO:0007568"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t>GO:0007568</w:t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6E46A9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obsolete aging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ECF918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8</w:t>
            </w:r>
          </w:p>
        </w:tc>
      </w:tr>
      <w:tr w14:paraId="12C05E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877ED5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"http://amigo.geneontology.org/amigo/term/GO:0043025"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t>GO:0043025</w:t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2282E9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neuronal cell body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EF10CA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7</w:t>
            </w:r>
          </w:p>
        </w:tc>
      </w:tr>
      <w:tr w14:paraId="655B99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E8A0E2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"http://amigo.geneontology.org/amigo/term/GO:0001666"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t>GO:0001666</w:t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9E2CDF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response to hypoxia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8903CB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6</w:t>
            </w:r>
          </w:p>
        </w:tc>
      </w:tr>
      <w:tr w14:paraId="60C2E5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22F624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"http://amigo.geneontology.org/amigo/term/GO:1901216"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t>GO:1901216</w:t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389322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obsolete positive regulation of neuron death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12A5AB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4</w:t>
            </w:r>
          </w:p>
        </w:tc>
      </w:tr>
      <w:tr w14:paraId="72271C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CFA254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"http://amigo.geneontology.org/amigo/term/GO:0032570"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t>GO:0032570</w:t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8A4596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response to progesterone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DE39A7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4</w:t>
            </w:r>
          </w:p>
        </w:tc>
      </w:tr>
      <w:tr w14:paraId="59504C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C2F441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"http://amigo.geneontology.org/amigo/term/GO:0005788"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t>GO:0005788</w:t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5FD400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endoplasmic reticulum lumen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1B11E5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4</w:t>
            </w:r>
          </w:p>
        </w:tc>
      </w:tr>
      <w:tr w14:paraId="1E0BD3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7CB403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"http://amigo.geneontology.org/amigo/term/GO:0019911"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t>GO:0019911</w:t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10A616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structural constituent of myelin sheath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52731F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4</w:t>
            </w:r>
          </w:p>
        </w:tc>
      </w:tr>
      <w:tr w14:paraId="0E40E8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29983B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"http://amigo.geneontology.org/amigo/term/GO:0031115"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t>GO:0031115</w:t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DD0330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negative regulation of microtubule polymerization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02E4FA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3</w:t>
            </w:r>
          </w:p>
        </w:tc>
      </w:tr>
      <w:tr w14:paraId="031A9A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02CAA7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"http://amigo.geneontology.org/amigo/term/GO:0048260"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t>GO:0048260</w:t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C568E8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positive regulation of receptor-mediated endocytosis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6635E1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3</w:t>
            </w:r>
          </w:p>
        </w:tc>
      </w:tr>
      <w:tr w14:paraId="38371D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190E3C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"http://amigo.geneontology.org/amigo/term/GO:0005790"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t>GO:0005790</w:t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A4A37B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smooth endoplasmic reticulum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415321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3</w:t>
            </w:r>
          </w:p>
        </w:tc>
      </w:tr>
      <w:tr w14:paraId="52987B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3EED94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"http://amigo.geneontology.org/amigo/term/GO:0071944"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t>GO:0071944</w:t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D3580F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cell periphery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34F617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3</w:t>
            </w:r>
          </w:p>
        </w:tc>
      </w:tr>
      <w:tr w14:paraId="3A78D2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F3C6D1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"http://amigo.geneontology.org/amigo/term/GO:0051787"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t>GO:0051787</w:t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AD7ED1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misfolded protein binding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2D7F6F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3</w:t>
            </w:r>
          </w:p>
        </w:tc>
      </w:tr>
      <w:tr w14:paraId="121882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1E52F5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"http://amigo.geneontology.org/amigo/term/GO:1905907"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t>GO:1905907</w:t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9A9391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negative regulation of amyloid fibril formation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6AEDE5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2</w:t>
            </w:r>
          </w:p>
        </w:tc>
      </w:tr>
      <w:tr w14:paraId="57FA45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D21710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"http://amigo.geneontology.org/amigo/term/GO:1902949"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t>GO:1902949</w:t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E6F450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positive regulation of tau-protein kinase activity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A8C01E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2</w:t>
            </w:r>
          </w:p>
        </w:tc>
      </w:tr>
      <w:tr w14:paraId="2994D7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CBE2DF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"http://amigo.geneontology.org/amigo/term/GO:0033269"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t>GO:0033269</w:t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7F35A5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internode region of axon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0B5723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2</w:t>
            </w:r>
          </w:p>
        </w:tc>
      </w:tr>
      <w:tr w14:paraId="027CFD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1EE1B3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"http://amigo.geneontology.org/amigo/term/GO:0034663"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t>GO:0034663</w:t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0F99A1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endoplasmic reticulum chaperone complex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7FB856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2</w:t>
            </w:r>
          </w:p>
        </w:tc>
      </w:tr>
      <w:tr w14:paraId="531273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BFDCDD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"http://amigo.geneontology.org/amigo/term/GO:0005528"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t>GO:0005528</w:t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2626E3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FK506 binding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EABB36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2</w:t>
            </w:r>
          </w:p>
        </w:tc>
      </w:tr>
      <w:tr w14:paraId="01E194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5595E7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"http://amigo.geneontology.org/amigo/term/GO:0050750"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t>GO:0050750</w:t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3DCA52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low-density lipoprotein particle receptor binding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95A39F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2</w:t>
            </w:r>
          </w:p>
        </w:tc>
      </w:tr>
      <w:tr w14:paraId="18267A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2938AD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"http://amigo.geneontology.org/amigo/term/GO:0042623"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t>GO:0042623</w:t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F99E07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ATP hydrolysis activity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434F64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2</w:t>
            </w:r>
          </w:p>
        </w:tc>
      </w:tr>
    </w:tbl>
    <w:p w14:paraId="3C86FD60"/>
    <w:sectPr>
      <w:pgSz w:w="12240" w:h="15840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8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26F"/>
    <w:rsid w:val="001309BF"/>
    <w:rsid w:val="00280CE0"/>
    <w:rsid w:val="004A1977"/>
    <w:rsid w:val="00542CAF"/>
    <w:rsid w:val="005528B5"/>
    <w:rsid w:val="006863C3"/>
    <w:rsid w:val="007E25F5"/>
    <w:rsid w:val="0087126F"/>
    <w:rsid w:val="008A11B1"/>
    <w:rsid w:val="0096767B"/>
    <w:rsid w:val="00C24A0E"/>
    <w:rsid w:val="00FF14C2"/>
    <w:rsid w:val="5A721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en-US" w:eastAsia="en-US" w:bidi="ar-SA"/>
      <w14:ligatures w14:val="standardContextual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125</Words>
  <Characters>827</Characters>
  <Lines>15</Lines>
  <Paragraphs>4</Paragraphs>
  <TotalTime>1</TotalTime>
  <ScaleCrop>false</ScaleCrop>
  <LinksUpToDate>false</LinksUpToDate>
  <CharactersWithSpaces>891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2025-05-18T10:39:00Z</dcterms:created>
  <dc:creator>Author</dc:creator>
  <cp:lastModifiedBy>Cherish</cp:lastModifiedBy>
  <dcterms:modified xsi:type="dcterms:W3CDTF">2025-09-23T02:24:47Z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eyJoZGlkIjoiMzEwNTM5NzYwMDRjMzkwZTVkZjY2ODkwMGIxNGU0OTUiLCJ1c2VySWQiOiIyMTA3MjM1ODAifQ==</vt:lpwstr>
  </property>
  <property fmtid="{D5CDD505-2E9C-101B-9397-08002B2CF9AE}" pid="3" name="KSOProductBuildVer">
    <vt:lpwstr>2052-12.1.0.19302</vt:lpwstr>
  </property>
  <property fmtid="{D5CDD505-2E9C-101B-9397-08002B2CF9AE}" pid="4" name="ICV">
    <vt:lpwstr>723C6E6E9C6245BCA599F7EA6AA2A769_12</vt:lpwstr>
  </property>
</Properties>
</file>