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713" w:rsidRPr="00835EC6" w:rsidRDefault="00835EC6">
      <w:pPr>
        <w:rPr>
          <w:sz w:val="18"/>
          <w:szCs w:val="18"/>
        </w:rPr>
      </w:pPr>
    </w:p>
    <w:p w:rsidR="00835EC6" w:rsidRPr="00835EC6" w:rsidRDefault="00835EC6">
      <w:pPr>
        <w:rPr>
          <w:sz w:val="18"/>
          <w:szCs w:val="18"/>
        </w:rPr>
      </w:pPr>
    </w:p>
    <w:tbl>
      <w:tblPr>
        <w:tblW w:w="15480" w:type="dxa"/>
        <w:tblInd w:w="-30" w:type="dxa"/>
        <w:tblLayout w:type="fixed"/>
        <w:tblLook w:val="0000" w:firstRow="0" w:lastRow="0" w:firstColumn="0" w:lastColumn="0" w:noHBand="0" w:noVBand="0"/>
      </w:tblPr>
      <w:tblGrid>
        <w:gridCol w:w="2280"/>
        <w:gridCol w:w="1260"/>
        <w:gridCol w:w="1350"/>
        <w:gridCol w:w="1260"/>
        <w:gridCol w:w="1170"/>
        <w:gridCol w:w="1260"/>
        <w:gridCol w:w="1260"/>
        <w:gridCol w:w="1170"/>
        <w:gridCol w:w="4470"/>
      </w:tblGrid>
      <w:tr w:rsidR="00835EC6" w:rsidRPr="00835EC6" w:rsidTr="00835EC6">
        <w:tblPrEx>
          <w:tblCellMar>
            <w:top w:w="0" w:type="dxa"/>
            <w:bottom w:w="0" w:type="dxa"/>
          </w:tblCellMar>
        </w:tblPrEx>
        <w:trPr>
          <w:trHeight w:val="74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NPY1 Peptides</w:t>
            </w:r>
          </w:p>
        </w:tc>
        <w:tc>
          <w:tcPr>
            <w:tcW w:w="1260" w:type="dxa"/>
            <w:tcBorders>
              <w:top w:val="nil"/>
              <w:left w:val="nil"/>
              <w:bottom w:val="nil"/>
              <w:right w:val="nil"/>
            </w:tcBorders>
          </w:tcPr>
          <w:p w:rsidR="00835EC6" w:rsidRPr="00835EC6" w:rsidRDefault="00835EC6" w:rsidP="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NPY1 OE in</w:t>
            </w:r>
          </w:p>
          <w:p w:rsidR="00835EC6" w:rsidRPr="00835EC6" w:rsidRDefault="00835EC6" w:rsidP="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WT 68/WT-68</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NPY1 OE in WT 83//WT-83</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Average</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p-value</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 xml:space="preserve">NPY1 OE in </w:t>
            </w:r>
            <w:proofErr w:type="spellStart"/>
            <w:r w:rsidRPr="00835EC6">
              <w:rPr>
                <w:rFonts w:ascii="Calibri" w:hAnsi="Calibri" w:cs="Calibri"/>
                <w:b/>
                <w:i/>
                <w:color w:val="000000"/>
                <w:sz w:val="18"/>
                <w:szCs w:val="18"/>
              </w:rPr>
              <w:t>pid</w:t>
            </w:r>
            <w:proofErr w:type="spellEnd"/>
            <w:r w:rsidRPr="00835EC6">
              <w:rPr>
                <w:rFonts w:ascii="Calibri" w:hAnsi="Calibri" w:cs="Calibri"/>
                <w:b/>
                <w:color w:val="000000"/>
                <w:sz w:val="18"/>
                <w:szCs w:val="18"/>
              </w:rPr>
              <w:t xml:space="preserve"> 68/WT-68</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 xml:space="preserve">NPY1 OE in </w:t>
            </w:r>
            <w:proofErr w:type="spellStart"/>
            <w:r w:rsidRPr="00835EC6">
              <w:rPr>
                <w:rFonts w:ascii="Calibri" w:hAnsi="Calibri" w:cs="Calibri"/>
                <w:b/>
                <w:i/>
                <w:color w:val="000000"/>
                <w:sz w:val="18"/>
                <w:szCs w:val="18"/>
              </w:rPr>
              <w:t>pid</w:t>
            </w:r>
            <w:proofErr w:type="spellEnd"/>
            <w:r w:rsidRPr="00835EC6">
              <w:rPr>
                <w:rFonts w:ascii="Calibri" w:hAnsi="Calibri" w:cs="Calibri"/>
                <w:b/>
                <w:i/>
                <w:color w:val="000000"/>
                <w:sz w:val="18"/>
                <w:szCs w:val="18"/>
              </w:rPr>
              <w:t xml:space="preserve"> </w:t>
            </w:r>
            <w:r w:rsidRPr="00835EC6">
              <w:rPr>
                <w:rFonts w:ascii="Calibri" w:hAnsi="Calibri" w:cs="Calibri"/>
                <w:b/>
                <w:color w:val="000000"/>
                <w:sz w:val="18"/>
                <w:szCs w:val="18"/>
              </w:rPr>
              <w:t>83/WT-83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Average</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b/>
                <w:color w:val="000000"/>
                <w:sz w:val="18"/>
                <w:szCs w:val="18"/>
              </w:rPr>
            </w:pPr>
            <w:r w:rsidRPr="00835EC6">
              <w:rPr>
                <w:rFonts w:ascii="Calibri" w:hAnsi="Calibri" w:cs="Calibri"/>
                <w:b/>
                <w:color w:val="000000"/>
                <w:sz w:val="18"/>
                <w:szCs w:val="18"/>
              </w:rPr>
              <w:t>p value</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ILVNPETITWSYTFNR</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2.35559248</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2.4135503</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2.38457139</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1.98E-05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2.21619975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2.35693343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2.28656659</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5.56E-05</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15.7900748</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15.7282527</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15.7591638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3.47E-05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9.64734912</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14.5077545</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12.0775518</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highlight w:val="yellow"/>
              </w:rPr>
              <w:t>0.00028</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2.67605261</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2.61597069</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2.64601165</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4.33E-05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2.08450455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2.19393103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2.13921779</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0.00013303</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SGGGAQLMPSR</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5.86865743</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5.28826611</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5.57846177</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6.27E-05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3.94201085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4.5143918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4.22820132</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0.00032349</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3.25636105</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3.69909646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3.47772875</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9.22E-05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2.79779869</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3.20416118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3.00097994</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0.00010021</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SSEVSSGSSQSPPAK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1.90655777</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2.09629989</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2.00142883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0.00015918</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1.75657155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1.95325049</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1.85491102</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0.00033173</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7.52570342</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8.72233498</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8.1240192</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0.00078166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7.33410315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5.57817461</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6.45613888</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0.00056868</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4.02351215</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4.49813655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4.26082435</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0.00139384</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4.23358793</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3.30034108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3.76696451</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0.00073176</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3.76376127</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3.9373259</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3.85054358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0.00152686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3.94591283</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2.88089402</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3.41340343</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0.00133111</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22.737353</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21.7293264</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22.2333397</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0.00164477</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22.9081916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15.4378037</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highlight w:val="yellow"/>
              </w:rPr>
            </w:pPr>
            <w:r w:rsidRPr="00835EC6">
              <w:rPr>
                <w:rFonts w:ascii="Calibri" w:hAnsi="Calibri" w:cs="Calibri"/>
                <w:color w:val="000000"/>
                <w:sz w:val="18"/>
                <w:szCs w:val="18"/>
                <w:highlight w:val="yellow"/>
              </w:rPr>
              <w:t>19.1729976</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highlight w:val="yellow"/>
              </w:rPr>
              <w:t>0.00031642</w:t>
            </w:r>
            <w:bookmarkStart w:id="0" w:name="_GoBack"/>
            <w:bookmarkEnd w:id="0"/>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1.86599246</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2.0258777</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1.94593508</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0.00267761</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1.58544666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1.96489964</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1.77517315</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0.00531702</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3.88225666</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3.52063452</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3.70144559</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0.00277971</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4.08073192</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2.65260553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3.36666872</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0.00306056</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proofErr w:type="spellStart"/>
            <w:r w:rsidRPr="00835EC6">
              <w:rPr>
                <w:rFonts w:ascii="Calibri" w:hAnsi="Calibri" w:cs="Calibri"/>
                <w:color w:val="000000"/>
                <w:sz w:val="18"/>
                <w:szCs w:val="18"/>
              </w:rPr>
              <w:t>ANHSPVASVAAssHSPVEK</w:t>
            </w:r>
            <w:proofErr w:type="spellEnd"/>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1.75264424</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1.91621441</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1.83442933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0.00348417</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1.42846438</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1.88351342</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1.6559889</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0.00868568</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ANHSPVASVAASSHSPVEK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2.41617929</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2.98021238</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2.69819583</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0.00518181</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2.66996976</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2.15429695</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2.41213335</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0.00151103</w:t>
            </w:r>
          </w:p>
        </w:tc>
      </w:tr>
      <w:tr w:rsidR="00835EC6" w:rsidRPr="00835EC6" w:rsidTr="00835EC6">
        <w:tblPrEx>
          <w:tblCellMar>
            <w:top w:w="0" w:type="dxa"/>
            <w:bottom w:w="0" w:type="dxa"/>
          </w:tblCellMar>
        </w:tblPrEx>
        <w:trPr>
          <w:trHeight w:val="300"/>
        </w:trPr>
        <w:tc>
          <w:tcPr>
            <w:tcW w:w="228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LHEASVK</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2.06468683</w:t>
            </w:r>
          </w:p>
        </w:tc>
        <w:tc>
          <w:tcPr>
            <w:tcW w:w="135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1.73796425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1.90132554</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0.01196239</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2.02413175</w:t>
            </w:r>
          </w:p>
        </w:tc>
        <w:tc>
          <w:tcPr>
            <w:tcW w:w="126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1.8241927</w:t>
            </w:r>
          </w:p>
        </w:tc>
        <w:tc>
          <w:tcPr>
            <w:tcW w:w="11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1.92416223</w:t>
            </w:r>
          </w:p>
        </w:tc>
        <w:tc>
          <w:tcPr>
            <w:tcW w:w="4470" w:type="dxa"/>
            <w:tcBorders>
              <w:top w:val="nil"/>
              <w:left w:val="nil"/>
              <w:bottom w:val="nil"/>
              <w:right w:val="nil"/>
            </w:tcBorders>
          </w:tcPr>
          <w:p w:rsidR="00835EC6" w:rsidRPr="00835EC6" w:rsidRDefault="00835EC6">
            <w:pPr>
              <w:autoSpaceDE w:val="0"/>
              <w:autoSpaceDN w:val="0"/>
              <w:adjustRightInd w:val="0"/>
              <w:rPr>
                <w:rFonts w:ascii="Calibri" w:hAnsi="Calibri" w:cs="Calibri"/>
                <w:color w:val="000000"/>
                <w:sz w:val="18"/>
                <w:szCs w:val="18"/>
              </w:rPr>
            </w:pPr>
            <w:r w:rsidRPr="00835EC6">
              <w:rPr>
                <w:rFonts w:ascii="Calibri" w:hAnsi="Calibri" w:cs="Calibri"/>
                <w:color w:val="000000"/>
                <w:sz w:val="18"/>
                <w:szCs w:val="18"/>
              </w:rPr>
              <w:t>0.0009437</w:t>
            </w:r>
          </w:p>
        </w:tc>
      </w:tr>
    </w:tbl>
    <w:p w:rsidR="00835EC6" w:rsidRDefault="00835EC6">
      <w:pPr>
        <w:rPr>
          <w:sz w:val="18"/>
          <w:szCs w:val="18"/>
        </w:rPr>
      </w:pPr>
    </w:p>
    <w:p w:rsidR="00835EC6" w:rsidRDefault="00835EC6">
      <w:pPr>
        <w:rPr>
          <w:sz w:val="18"/>
          <w:szCs w:val="18"/>
        </w:rPr>
      </w:pPr>
    </w:p>
    <w:p w:rsidR="00835EC6" w:rsidRDefault="00835EC6" w:rsidP="00835EC6">
      <w:pPr>
        <w:pStyle w:val="NormalWeb"/>
        <w:shd w:val="clear" w:color="auto" w:fill="FFFFFF"/>
      </w:pPr>
      <w:r>
        <w:rPr>
          <w:rFonts w:ascii="Helvetica" w:hAnsi="Helvetica"/>
          <w:b/>
          <w:bCs/>
          <w:sz w:val="20"/>
          <w:szCs w:val="20"/>
        </w:rPr>
        <w:t>Supplementary file 1</w:t>
      </w:r>
      <w:r>
        <w:rPr>
          <w:rFonts w:ascii="Helvetica" w:hAnsi="Helvetica"/>
          <w:b/>
          <w:bCs/>
          <w:sz w:val="20"/>
          <w:szCs w:val="20"/>
        </w:rPr>
        <w:t xml:space="preserve">. Phospho-peptides from NPY1 protein in both WT and </w:t>
      </w:r>
      <w:r>
        <w:rPr>
          <w:rFonts w:ascii="Helvetica" w:hAnsi="Helvetica"/>
          <w:b/>
          <w:bCs/>
          <w:i/>
          <w:iCs/>
          <w:sz w:val="20"/>
          <w:szCs w:val="20"/>
        </w:rPr>
        <w:t xml:space="preserve">pid-c1 </w:t>
      </w:r>
      <w:r>
        <w:rPr>
          <w:rFonts w:ascii="Helvetica" w:hAnsi="Helvetica"/>
          <w:b/>
          <w:bCs/>
          <w:sz w:val="20"/>
          <w:szCs w:val="20"/>
        </w:rPr>
        <w:t>backgrounds</w:t>
      </w:r>
      <w:r>
        <w:rPr>
          <w:rFonts w:ascii="Helvetica" w:hAnsi="Helvetica"/>
          <w:sz w:val="20"/>
          <w:szCs w:val="20"/>
        </w:rPr>
        <w:t xml:space="preserve">. </w:t>
      </w:r>
      <w:r>
        <w:rPr>
          <w:rFonts w:ascii="Helvetica" w:hAnsi="Helvetica"/>
          <w:i/>
          <w:iCs/>
          <w:sz w:val="20"/>
          <w:szCs w:val="20"/>
        </w:rPr>
        <w:t xml:space="preserve">NPY1 </w:t>
      </w:r>
      <w:r>
        <w:rPr>
          <w:rFonts w:ascii="Helvetica" w:hAnsi="Helvetica"/>
          <w:sz w:val="20"/>
          <w:szCs w:val="20"/>
        </w:rPr>
        <w:t xml:space="preserve">overexpression T1 plants with </w:t>
      </w:r>
      <w:r>
        <w:rPr>
          <w:rFonts w:ascii="Helvetica" w:hAnsi="Helvetica"/>
          <w:i/>
          <w:iCs/>
          <w:sz w:val="20"/>
          <w:szCs w:val="20"/>
        </w:rPr>
        <w:t>pid-c1</w:t>
      </w:r>
      <w:r>
        <w:rPr>
          <w:rFonts w:ascii="Helvetica" w:hAnsi="Helvetica"/>
          <w:position w:val="6"/>
          <w:sz w:val="12"/>
          <w:szCs w:val="12"/>
        </w:rPr>
        <w:t xml:space="preserve">+/- </w:t>
      </w:r>
      <w:r>
        <w:rPr>
          <w:rFonts w:ascii="Helvetica" w:hAnsi="Helvetica"/>
          <w:sz w:val="20"/>
          <w:szCs w:val="20"/>
        </w:rPr>
        <w:t xml:space="preserve">genotype was self-pollinated. At T2 stage, three genotypes were selected: WT without transgenes and without </w:t>
      </w:r>
      <w:r>
        <w:rPr>
          <w:rFonts w:ascii="Helvetica" w:hAnsi="Helvetica"/>
          <w:i/>
          <w:iCs/>
          <w:sz w:val="20"/>
          <w:szCs w:val="20"/>
        </w:rPr>
        <w:t xml:space="preserve">pid-c1 </w:t>
      </w:r>
      <w:r>
        <w:rPr>
          <w:rFonts w:ascii="Helvetica" w:hAnsi="Helvetica"/>
          <w:sz w:val="20"/>
          <w:szCs w:val="20"/>
        </w:rPr>
        <w:t xml:space="preserve">mutation (this is called WT-xx, xx refers to the line number); NPY1 OE without </w:t>
      </w:r>
      <w:r>
        <w:rPr>
          <w:rFonts w:ascii="Helvetica" w:hAnsi="Helvetica"/>
          <w:i/>
          <w:iCs/>
          <w:sz w:val="20"/>
          <w:szCs w:val="20"/>
        </w:rPr>
        <w:t xml:space="preserve">pid-c1 </w:t>
      </w:r>
      <w:r>
        <w:rPr>
          <w:rFonts w:ascii="Helvetica" w:hAnsi="Helvetica"/>
          <w:sz w:val="20"/>
          <w:szCs w:val="20"/>
        </w:rPr>
        <w:t xml:space="preserve">mutation (Called NPY1 in WT xx); NPY1 OE in </w:t>
      </w:r>
      <w:proofErr w:type="spellStart"/>
      <w:r>
        <w:rPr>
          <w:rFonts w:ascii="Helvetica" w:hAnsi="Helvetica"/>
          <w:i/>
          <w:iCs/>
          <w:sz w:val="20"/>
          <w:szCs w:val="20"/>
        </w:rPr>
        <w:t>pid</w:t>
      </w:r>
      <w:proofErr w:type="spellEnd"/>
      <w:r>
        <w:rPr>
          <w:rFonts w:ascii="Helvetica" w:hAnsi="Helvetica"/>
          <w:i/>
          <w:iCs/>
          <w:sz w:val="20"/>
          <w:szCs w:val="20"/>
        </w:rPr>
        <w:t xml:space="preserve"> c1 </w:t>
      </w:r>
      <w:r>
        <w:rPr>
          <w:rFonts w:ascii="Helvetica" w:hAnsi="Helvetica"/>
          <w:sz w:val="20"/>
          <w:szCs w:val="20"/>
        </w:rPr>
        <w:t xml:space="preserve">(called NPY1 in </w:t>
      </w:r>
      <w:proofErr w:type="spellStart"/>
      <w:r>
        <w:rPr>
          <w:rFonts w:ascii="Helvetica" w:hAnsi="Helvetica"/>
          <w:i/>
          <w:iCs/>
          <w:sz w:val="20"/>
          <w:szCs w:val="20"/>
        </w:rPr>
        <w:t>pid</w:t>
      </w:r>
      <w:proofErr w:type="spellEnd"/>
      <w:r>
        <w:rPr>
          <w:rFonts w:ascii="Helvetica" w:hAnsi="Helvetica"/>
          <w:i/>
          <w:iCs/>
          <w:sz w:val="20"/>
          <w:szCs w:val="20"/>
        </w:rPr>
        <w:t xml:space="preserve"> </w:t>
      </w:r>
      <w:r>
        <w:rPr>
          <w:rFonts w:ascii="Helvetica" w:hAnsi="Helvetica"/>
          <w:sz w:val="20"/>
          <w:szCs w:val="20"/>
        </w:rPr>
        <w:t xml:space="preserve">xx). Inflorescence heads with flower buds of the lines were used for proteomic analysis. All of the detected NPY1peptides were more abundant in the overexpression lines than in WT. Two most abundant peptides in NPY1 OE lines were highlighted yellow. PID did not affect NPY1 phosphorylation, as all of the NPY1 phospho-peptides were detected in </w:t>
      </w:r>
      <w:r>
        <w:rPr>
          <w:rFonts w:ascii="Helvetica" w:hAnsi="Helvetica"/>
          <w:i/>
          <w:iCs/>
          <w:sz w:val="20"/>
          <w:szCs w:val="20"/>
        </w:rPr>
        <w:t xml:space="preserve">pid-c1 </w:t>
      </w:r>
      <w:r>
        <w:rPr>
          <w:rFonts w:ascii="Helvetica" w:hAnsi="Helvetica"/>
          <w:sz w:val="20"/>
          <w:szCs w:val="20"/>
        </w:rPr>
        <w:t xml:space="preserve">background. </w:t>
      </w:r>
    </w:p>
    <w:p w:rsidR="00835EC6" w:rsidRPr="00835EC6" w:rsidRDefault="00835EC6">
      <w:pPr>
        <w:rPr>
          <w:sz w:val="18"/>
          <w:szCs w:val="18"/>
        </w:rPr>
      </w:pPr>
    </w:p>
    <w:sectPr w:rsidR="00835EC6" w:rsidRPr="00835EC6" w:rsidSect="00835E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C6"/>
    <w:rsid w:val="00001CD9"/>
    <w:rsid w:val="000061D2"/>
    <w:rsid w:val="000216E5"/>
    <w:rsid w:val="0002221D"/>
    <w:rsid w:val="0002221F"/>
    <w:rsid w:val="00022BC1"/>
    <w:rsid w:val="00024589"/>
    <w:rsid w:val="000263BB"/>
    <w:rsid w:val="00027D8F"/>
    <w:rsid w:val="00027DDE"/>
    <w:rsid w:val="000307F5"/>
    <w:rsid w:val="00031101"/>
    <w:rsid w:val="00031CB8"/>
    <w:rsid w:val="0003253F"/>
    <w:rsid w:val="000355C8"/>
    <w:rsid w:val="00044BFF"/>
    <w:rsid w:val="000518E0"/>
    <w:rsid w:val="0005358F"/>
    <w:rsid w:val="00054B97"/>
    <w:rsid w:val="00060B05"/>
    <w:rsid w:val="00064BDC"/>
    <w:rsid w:val="000652D0"/>
    <w:rsid w:val="0006635C"/>
    <w:rsid w:val="00066A29"/>
    <w:rsid w:val="00074206"/>
    <w:rsid w:val="000746DD"/>
    <w:rsid w:val="000762CD"/>
    <w:rsid w:val="000821DF"/>
    <w:rsid w:val="000836B2"/>
    <w:rsid w:val="00086A85"/>
    <w:rsid w:val="00091846"/>
    <w:rsid w:val="0009377D"/>
    <w:rsid w:val="0009517D"/>
    <w:rsid w:val="00095863"/>
    <w:rsid w:val="0009727B"/>
    <w:rsid w:val="000A05DE"/>
    <w:rsid w:val="000A0689"/>
    <w:rsid w:val="000A0B1A"/>
    <w:rsid w:val="000A1A98"/>
    <w:rsid w:val="000A4444"/>
    <w:rsid w:val="000A7B28"/>
    <w:rsid w:val="000B2537"/>
    <w:rsid w:val="000B37FA"/>
    <w:rsid w:val="000B38D9"/>
    <w:rsid w:val="000B5247"/>
    <w:rsid w:val="000C3567"/>
    <w:rsid w:val="000C5B67"/>
    <w:rsid w:val="000D3840"/>
    <w:rsid w:val="000D4A61"/>
    <w:rsid w:val="000D79CF"/>
    <w:rsid w:val="000E0BE6"/>
    <w:rsid w:val="000E2B95"/>
    <w:rsid w:val="000E371E"/>
    <w:rsid w:val="000F5110"/>
    <w:rsid w:val="000F5A6F"/>
    <w:rsid w:val="000F698B"/>
    <w:rsid w:val="001006F2"/>
    <w:rsid w:val="0010268A"/>
    <w:rsid w:val="00105B1C"/>
    <w:rsid w:val="00107CDF"/>
    <w:rsid w:val="001107FC"/>
    <w:rsid w:val="0011093E"/>
    <w:rsid w:val="00111A0C"/>
    <w:rsid w:val="00117DF3"/>
    <w:rsid w:val="0012253C"/>
    <w:rsid w:val="00123517"/>
    <w:rsid w:val="00123EC0"/>
    <w:rsid w:val="00124D0A"/>
    <w:rsid w:val="001254DE"/>
    <w:rsid w:val="00125CEF"/>
    <w:rsid w:val="00132634"/>
    <w:rsid w:val="00133B62"/>
    <w:rsid w:val="00136AC9"/>
    <w:rsid w:val="00140F60"/>
    <w:rsid w:val="001453A0"/>
    <w:rsid w:val="001476B1"/>
    <w:rsid w:val="001515F5"/>
    <w:rsid w:val="001530B1"/>
    <w:rsid w:val="00155667"/>
    <w:rsid w:val="00155D39"/>
    <w:rsid w:val="00155DC2"/>
    <w:rsid w:val="00157630"/>
    <w:rsid w:val="00157AFC"/>
    <w:rsid w:val="001634C1"/>
    <w:rsid w:val="001657A2"/>
    <w:rsid w:val="00165BBE"/>
    <w:rsid w:val="00167EC2"/>
    <w:rsid w:val="001722C5"/>
    <w:rsid w:val="00173101"/>
    <w:rsid w:val="001742AF"/>
    <w:rsid w:val="00176F6E"/>
    <w:rsid w:val="001801D2"/>
    <w:rsid w:val="00180ABE"/>
    <w:rsid w:val="00181968"/>
    <w:rsid w:val="00185E99"/>
    <w:rsid w:val="00186013"/>
    <w:rsid w:val="00187A8A"/>
    <w:rsid w:val="001929EC"/>
    <w:rsid w:val="001931DD"/>
    <w:rsid w:val="001A3658"/>
    <w:rsid w:val="001A5EBE"/>
    <w:rsid w:val="001A6FA2"/>
    <w:rsid w:val="001B1CEA"/>
    <w:rsid w:val="001B2F8C"/>
    <w:rsid w:val="001B4013"/>
    <w:rsid w:val="001B7809"/>
    <w:rsid w:val="001C1605"/>
    <w:rsid w:val="001C58A3"/>
    <w:rsid w:val="001C5C57"/>
    <w:rsid w:val="001D0D63"/>
    <w:rsid w:val="001D10AB"/>
    <w:rsid w:val="001D167E"/>
    <w:rsid w:val="001D2A56"/>
    <w:rsid w:val="001D63A6"/>
    <w:rsid w:val="001E0F7E"/>
    <w:rsid w:val="001E1F41"/>
    <w:rsid w:val="001E1FB5"/>
    <w:rsid w:val="001E2529"/>
    <w:rsid w:val="001E4F49"/>
    <w:rsid w:val="001E5576"/>
    <w:rsid w:val="001E677F"/>
    <w:rsid w:val="001E7667"/>
    <w:rsid w:val="001E7F01"/>
    <w:rsid w:val="001E7FFD"/>
    <w:rsid w:val="001F033F"/>
    <w:rsid w:val="001F1CC3"/>
    <w:rsid w:val="001F39B5"/>
    <w:rsid w:val="001F4C35"/>
    <w:rsid w:val="00200E5B"/>
    <w:rsid w:val="0020163B"/>
    <w:rsid w:val="00201F1B"/>
    <w:rsid w:val="00203409"/>
    <w:rsid w:val="00205178"/>
    <w:rsid w:val="00205AAB"/>
    <w:rsid w:val="0020647E"/>
    <w:rsid w:val="002122DF"/>
    <w:rsid w:val="00213699"/>
    <w:rsid w:val="00214E79"/>
    <w:rsid w:val="002216BE"/>
    <w:rsid w:val="0022245B"/>
    <w:rsid w:val="002262C9"/>
    <w:rsid w:val="0023031B"/>
    <w:rsid w:val="00234879"/>
    <w:rsid w:val="00236D45"/>
    <w:rsid w:val="00245F5A"/>
    <w:rsid w:val="002471F4"/>
    <w:rsid w:val="002519DC"/>
    <w:rsid w:val="00260CF3"/>
    <w:rsid w:val="002674F2"/>
    <w:rsid w:val="002735D8"/>
    <w:rsid w:val="00274753"/>
    <w:rsid w:val="002807E2"/>
    <w:rsid w:val="002825D0"/>
    <w:rsid w:val="00282779"/>
    <w:rsid w:val="00282F88"/>
    <w:rsid w:val="00283AB4"/>
    <w:rsid w:val="00286392"/>
    <w:rsid w:val="00286AD0"/>
    <w:rsid w:val="0029489A"/>
    <w:rsid w:val="00295200"/>
    <w:rsid w:val="002A662A"/>
    <w:rsid w:val="002B170B"/>
    <w:rsid w:val="002B3176"/>
    <w:rsid w:val="002B5BE3"/>
    <w:rsid w:val="002B747E"/>
    <w:rsid w:val="002C1713"/>
    <w:rsid w:val="002C28B2"/>
    <w:rsid w:val="002C6FB9"/>
    <w:rsid w:val="002D1255"/>
    <w:rsid w:val="002D2EAB"/>
    <w:rsid w:val="002E54EB"/>
    <w:rsid w:val="002E5E76"/>
    <w:rsid w:val="002F467B"/>
    <w:rsid w:val="002F5F65"/>
    <w:rsid w:val="00300F6D"/>
    <w:rsid w:val="00302E13"/>
    <w:rsid w:val="00303418"/>
    <w:rsid w:val="003079D2"/>
    <w:rsid w:val="00307F1B"/>
    <w:rsid w:val="003103B4"/>
    <w:rsid w:val="00311404"/>
    <w:rsid w:val="0031162D"/>
    <w:rsid w:val="00311C9E"/>
    <w:rsid w:val="003167D9"/>
    <w:rsid w:val="00322914"/>
    <w:rsid w:val="0032528A"/>
    <w:rsid w:val="003254FC"/>
    <w:rsid w:val="003259FF"/>
    <w:rsid w:val="00325F46"/>
    <w:rsid w:val="00332115"/>
    <w:rsid w:val="00332D61"/>
    <w:rsid w:val="003335E4"/>
    <w:rsid w:val="00333FC3"/>
    <w:rsid w:val="003343C4"/>
    <w:rsid w:val="00334509"/>
    <w:rsid w:val="0033757E"/>
    <w:rsid w:val="00337E54"/>
    <w:rsid w:val="00341132"/>
    <w:rsid w:val="003426CA"/>
    <w:rsid w:val="00346951"/>
    <w:rsid w:val="00351589"/>
    <w:rsid w:val="00354E2B"/>
    <w:rsid w:val="00355274"/>
    <w:rsid w:val="00355919"/>
    <w:rsid w:val="003602AF"/>
    <w:rsid w:val="003625C6"/>
    <w:rsid w:val="00363220"/>
    <w:rsid w:val="00363734"/>
    <w:rsid w:val="0037065B"/>
    <w:rsid w:val="003722F9"/>
    <w:rsid w:val="00372F73"/>
    <w:rsid w:val="003813AC"/>
    <w:rsid w:val="0038272B"/>
    <w:rsid w:val="003834A4"/>
    <w:rsid w:val="00383654"/>
    <w:rsid w:val="0038423E"/>
    <w:rsid w:val="003868A8"/>
    <w:rsid w:val="003869C2"/>
    <w:rsid w:val="00387216"/>
    <w:rsid w:val="003877C8"/>
    <w:rsid w:val="0039099A"/>
    <w:rsid w:val="00392014"/>
    <w:rsid w:val="0039381B"/>
    <w:rsid w:val="003948C0"/>
    <w:rsid w:val="00395B86"/>
    <w:rsid w:val="00397E1A"/>
    <w:rsid w:val="003A05A7"/>
    <w:rsid w:val="003A1761"/>
    <w:rsid w:val="003A2005"/>
    <w:rsid w:val="003A2F1E"/>
    <w:rsid w:val="003A3391"/>
    <w:rsid w:val="003A42B8"/>
    <w:rsid w:val="003A5057"/>
    <w:rsid w:val="003A5945"/>
    <w:rsid w:val="003A60A1"/>
    <w:rsid w:val="003B0225"/>
    <w:rsid w:val="003B39E9"/>
    <w:rsid w:val="003B495E"/>
    <w:rsid w:val="003B68B6"/>
    <w:rsid w:val="003C1401"/>
    <w:rsid w:val="003C4CF5"/>
    <w:rsid w:val="003C5A15"/>
    <w:rsid w:val="003C6404"/>
    <w:rsid w:val="003C65E9"/>
    <w:rsid w:val="003D16E7"/>
    <w:rsid w:val="003D6B5B"/>
    <w:rsid w:val="003E59E9"/>
    <w:rsid w:val="003E5EC2"/>
    <w:rsid w:val="003E6B67"/>
    <w:rsid w:val="003E7CBD"/>
    <w:rsid w:val="003F0856"/>
    <w:rsid w:val="003F1282"/>
    <w:rsid w:val="003F59FD"/>
    <w:rsid w:val="003F69B3"/>
    <w:rsid w:val="003F6B11"/>
    <w:rsid w:val="00401500"/>
    <w:rsid w:val="00402FDE"/>
    <w:rsid w:val="00407138"/>
    <w:rsid w:val="00411E2D"/>
    <w:rsid w:val="0041204E"/>
    <w:rsid w:val="0041636D"/>
    <w:rsid w:val="00422C2B"/>
    <w:rsid w:val="00423CBD"/>
    <w:rsid w:val="00424BCB"/>
    <w:rsid w:val="00425857"/>
    <w:rsid w:val="00430DF2"/>
    <w:rsid w:val="004343B1"/>
    <w:rsid w:val="00442C19"/>
    <w:rsid w:val="00442FDB"/>
    <w:rsid w:val="00443082"/>
    <w:rsid w:val="00443684"/>
    <w:rsid w:val="00447E95"/>
    <w:rsid w:val="004506FB"/>
    <w:rsid w:val="00454F39"/>
    <w:rsid w:val="00455ABC"/>
    <w:rsid w:val="00462CCA"/>
    <w:rsid w:val="0046360F"/>
    <w:rsid w:val="00466823"/>
    <w:rsid w:val="00472935"/>
    <w:rsid w:val="00472CF7"/>
    <w:rsid w:val="0047548F"/>
    <w:rsid w:val="0047732C"/>
    <w:rsid w:val="00477813"/>
    <w:rsid w:val="00477BDA"/>
    <w:rsid w:val="004873F5"/>
    <w:rsid w:val="00495426"/>
    <w:rsid w:val="004A160B"/>
    <w:rsid w:val="004A5D5E"/>
    <w:rsid w:val="004A78BF"/>
    <w:rsid w:val="004B10A8"/>
    <w:rsid w:val="004B2510"/>
    <w:rsid w:val="004B6466"/>
    <w:rsid w:val="004B718D"/>
    <w:rsid w:val="004B78AE"/>
    <w:rsid w:val="004C1536"/>
    <w:rsid w:val="004C2271"/>
    <w:rsid w:val="004C2591"/>
    <w:rsid w:val="004C34A4"/>
    <w:rsid w:val="004C4C68"/>
    <w:rsid w:val="004C57F0"/>
    <w:rsid w:val="004C592C"/>
    <w:rsid w:val="004C70D2"/>
    <w:rsid w:val="004C70F5"/>
    <w:rsid w:val="004C7EFF"/>
    <w:rsid w:val="004D2209"/>
    <w:rsid w:val="004D2F70"/>
    <w:rsid w:val="004D4061"/>
    <w:rsid w:val="004D6094"/>
    <w:rsid w:val="004D69C9"/>
    <w:rsid w:val="004E0858"/>
    <w:rsid w:val="004E299E"/>
    <w:rsid w:val="004F026E"/>
    <w:rsid w:val="004F44E9"/>
    <w:rsid w:val="004F5144"/>
    <w:rsid w:val="004F790D"/>
    <w:rsid w:val="004F7C16"/>
    <w:rsid w:val="005001D6"/>
    <w:rsid w:val="00500A43"/>
    <w:rsid w:val="00501353"/>
    <w:rsid w:val="00503329"/>
    <w:rsid w:val="005046B3"/>
    <w:rsid w:val="00506518"/>
    <w:rsid w:val="005102FF"/>
    <w:rsid w:val="00511392"/>
    <w:rsid w:val="00516926"/>
    <w:rsid w:val="005212D2"/>
    <w:rsid w:val="00521399"/>
    <w:rsid w:val="0052716C"/>
    <w:rsid w:val="0053559B"/>
    <w:rsid w:val="00537B7B"/>
    <w:rsid w:val="005400BD"/>
    <w:rsid w:val="0054580A"/>
    <w:rsid w:val="005460AE"/>
    <w:rsid w:val="0054611A"/>
    <w:rsid w:val="00553E42"/>
    <w:rsid w:val="0055462E"/>
    <w:rsid w:val="005568F5"/>
    <w:rsid w:val="00556C14"/>
    <w:rsid w:val="00557BF8"/>
    <w:rsid w:val="00557C1B"/>
    <w:rsid w:val="00562C9C"/>
    <w:rsid w:val="0056733C"/>
    <w:rsid w:val="00573801"/>
    <w:rsid w:val="0057612B"/>
    <w:rsid w:val="00576F1C"/>
    <w:rsid w:val="005802D2"/>
    <w:rsid w:val="00581317"/>
    <w:rsid w:val="00581B8A"/>
    <w:rsid w:val="005866C7"/>
    <w:rsid w:val="005905CB"/>
    <w:rsid w:val="00590C7D"/>
    <w:rsid w:val="00593BD0"/>
    <w:rsid w:val="005969E1"/>
    <w:rsid w:val="005A0A79"/>
    <w:rsid w:val="005A45C8"/>
    <w:rsid w:val="005B3702"/>
    <w:rsid w:val="005B58D4"/>
    <w:rsid w:val="005B6B71"/>
    <w:rsid w:val="005C237A"/>
    <w:rsid w:val="005C26AF"/>
    <w:rsid w:val="005C37ED"/>
    <w:rsid w:val="005C40CC"/>
    <w:rsid w:val="005D62D4"/>
    <w:rsid w:val="005D6A97"/>
    <w:rsid w:val="005D750A"/>
    <w:rsid w:val="005E0901"/>
    <w:rsid w:val="005E171A"/>
    <w:rsid w:val="005E291A"/>
    <w:rsid w:val="005E79B1"/>
    <w:rsid w:val="005E7E8A"/>
    <w:rsid w:val="005F3627"/>
    <w:rsid w:val="005F3F6E"/>
    <w:rsid w:val="005F5658"/>
    <w:rsid w:val="00602296"/>
    <w:rsid w:val="00605E48"/>
    <w:rsid w:val="006110C2"/>
    <w:rsid w:val="00616585"/>
    <w:rsid w:val="00621A8E"/>
    <w:rsid w:val="00623489"/>
    <w:rsid w:val="00625CA3"/>
    <w:rsid w:val="006261B3"/>
    <w:rsid w:val="00626474"/>
    <w:rsid w:val="00627A32"/>
    <w:rsid w:val="0063296A"/>
    <w:rsid w:val="00635DF0"/>
    <w:rsid w:val="006363C7"/>
    <w:rsid w:val="00636E5D"/>
    <w:rsid w:val="00637286"/>
    <w:rsid w:val="0064527E"/>
    <w:rsid w:val="00647886"/>
    <w:rsid w:val="00647E97"/>
    <w:rsid w:val="00654448"/>
    <w:rsid w:val="00655124"/>
    <w:rsid w:val="0065752B"/>
    <w:rsid w:val="00657683"/>
    <w:rsid w:val="00664376"/>
    <w:rsid w:val="0066747A"/>
    <w:rsid w:val="006730FC"/>
    <w:rsid w:val="00677C9B"/>
    <w:rsid w:val="0068131A"/>
    <w:rsid w:val="00681744"/>
    <w:rsid w:val="00682F62"/>
    <w:rsid w:val="0068315A"/>
    <w:rsid w:val="00687048"/>
    <w:rsid w:val="00692821"/>
    <w:rsid w:val="00696564"/>
    <w:rsid w:val="006A1F4D"/>
    <w:rsid w:val="006A2D48"/>
    <w:rsid w:val="006A4250"/>
    <w:rsid w:val="006B0809"/>
    <w:rsid w:val="006B51E6"/>
    <w:rsid w:val="006B5F09"/>
    <w:rsid w:val="006B60AE"/>
    <w:rsid w:val="006C2F52"/>
    <w:rsid w:val="006C468A"/>
    <w:rsid w:val="006C5A7F"/>
    <w:rsid w:val="006D03F5"/>
    <w:rsid w:val="006D124F"/>
    <w:rsid w:val="006D288A"/>
    <w:rsid w:val="006D36D1"/>
    <w:rsid w:val="006D5FAB"/>
    <w:rsid w:val="006D7F44"/>
    <w:rsid w:val="006E0E32"/>
    <w:rsid w:val="006E5862"/>
    <w:rsid w:val="006E7629"/>
    <w:rsid w:val="006F281C"/>
    <w:rsid w:val="006F353C"/>
    <w:rsid w:val="006F386F"/>
    <w:rsid w:val="006F3D1C"/>
    <w:rsid w:val="006F5469"/>
    <w:rsid w:val="007008F1"/>
    <w:rsid w:val="00701EFE"/>
    <w:rsid w:val="007035D7"/>
    <w:rsid w:val="00703615"/>
    <w:rsid w:val="00713053"/>
    <w:rsid w:val="00714645"/>
    <w:rsid w:val="007157E8"/>
    <w:rsid w:val="007167A8"/>
    <w:rsid w:val="007213BE"/>
    <w:rsid w:val="007221D6"/>
    <w:rsid w:val="007240DB"/>
    <w:rsid w:val="00725622"/>
    <w:rsid w:val="00726762"/>
    <w:rsid w:val="00726D23"/>
    <w:rsid w:val="00732743"/>
    <w:rsid w:val="00732A76"/>
    <w:rsid w:val="0073306F"/>
    <w:rsid w:val="0073603E"/>
    <w:rsid w:val="00737052"/>
    <w:rsid w:val="0073755A"/>
    <w:rsid w:val="007427A9"/>
    <w:rsid w:val="0074451F"/>
    <w:rsid w:val="007446EC"/>
    <w:rsid w:val="00746E25"/>
    <w:rsid w:val="00747F90"/>
    <w:rsid w:val="0075020C"/>
    <w:rsid w:val="007523EA"/>
    <w:rsid w:val="0075649B"/>
    <w:rsid w:val="00757325"/>
    <w:rsid w:val="007575DE"/>
    <w:rsid w:val="00760622"/>
    <w:rsid w:val="00760CA8"/>
    <w:rsid w:val="007617FC"/>
    <w:rsid w:val="007621CA"/>
    <w:rsid w:val="007641A8"/>
    <w:rsid w:val="0076565C"/>
    <w:rsid w:val="00773C96"/>
    <w:rsid w:val="00777FC2"/>
    <w:rsid w:val="00781723"/>
    <w:rsid w:val="00783AED"/>
    <w:rsid w:val="007879F1"/>
    <w:rsid w:val="00792960"/>
    <w:rsid w:val="007A4452"/>
    <w:rsid w:val="007A67F9"/>
    <w:rsid w:val="007B1171"/>
    <w:rsid w:val="007B26CD"/>
    <w:rsid w:val="007B2AAD"/>
    <w:rsid w:val="007B5C32"/>
    <w:rsid w:val="007C1CFC"/>
    <w:rsid w:val="007C59D3"/>
    <w:rsid w:val="007C7826"/>
    <w:rsid w:val="007D33DC"/>
    <w:rsid w:val="007D5EE4"/>
    <w:rsid w:val="007D70A8"/>
    <w:rsid w:val="007D786E"/>
    <w:rsid w:val="007D78A3"/>
    <w:rsid w:val="007E47E0"/>
    <w:rsid w:val="007E7061"/>
    <w:rsid w:val="007E775A"/>
    <w:rsid w:val="007F0AA6"/>
    <w:rsid w:val="007F0F0D"/>
    <w:rsid w:val="007F1683"/>
    <w:rsid w:val="007F34D2"/>
    <w:rsid w:val="007F3F0E"/>
    <w:rsid w:val="007F47D1"/>
    <w:rsid w:val="00800517"/>
    <w:rsid w:val="00802E27"/>
    <w:rsid w:val="008037EA"/>
    <w:rsid w:val="00803A8B"/>
    <w:rsid w:val="0080612C"/>
    <w:rsid w:val="00806EA7"/>
    <w:rsid w:val="00807F58"/>
    <w:rsid w:val="00810CF9"/>
    <w:rsid w:val="00815658"/>
    <w:rsid w:val="00816D2B"/>
    <w:rsid w:val="00820C39"/>
    <w:rsid w:val="0082491F"/>
    <w:rsid w:val="00825D04"/>
    <w:rsid w:val="0083303B"/>
    <w:rsid w:val="00835EC6"/>
    <w:rsid w:val="00840CA1"/>
    <w:rsid w:val="00841C4C"/>
    <w:rsid w:val="008421E1"/>
    <w:rsid w:val="008453F9"/>
    <w:rsid w:val="0084584D"/>
    <w:rsid w:val="00850644"/>
    <w:rsid w:val="00852E77"/>
    <w:rsid w:val="00854D25"/>
    <w:rsid w:val="00855468"/>
    <w:rsid w:val="008569AE"/>
    <w:rsid w:val="008604CF"/>
    <w:rsid w:val="00866401"/>
    <w:rsid w:val="008754EF"/>
    <w:rsid w:val="00875BA6"/>
    <w:rsid w:val="00883C31"/>
    <w:rsid w:val="00883FAA"/>
    <w:rsid w:val="008840E9"/>
    <w:rsid w:val="00884144"/>
    <w:rsid w:val="008907A0"/>
    <w:rsid w:val="00895FD6"/>
    <w:rsid w:val="008964E0"/>
    <w:rsid w:val="00896512"/>
    <w:rsid w:val="00897AA2"/>
    <w:rsid w:val="008A00A2"/>
    <w:rsid w:val="008A3694"/>
    <w:rsid w:val="008A5943"/>
    <w:rsid w:val="008B1D0D"/>
    <w:rsid w:val="008B28BE"/>
    <w:rsid w:val="008B3D5D"/>
    <w:rsid w:val="008B4135"/>
    <w:rsid w:val="008C0E99"/>
    <w:rsid w:val="008C1767"/>
    <w:rsid w:val="008C2CB1"/>
    <w:rsid w:val="008C2CD3"/>
    <w:rsid w:val="008C4148"/>
    <w:rsid w:val="008C560B"/>
    <w:rsid w:val="008C7137"/>
    <w:rsid w:val="008D0161"/>
    <w:rsid w:val="008D29CE"/>
    <w:rsid w:val="008D4B1E"/>
    <w:rsid w:val="008D6F5D"/>
    <w:rsid w:val="008E0E25"/>
    <w:rsid w:val="008E5611"/>
    <w:rsid w:val="008F29C8"/>
    <w:rsid w:val="008F4699"/>
    <w:rsid w:val="008F474F"/>
    <w:rsid w:val="008F5656"/>
    <w:rsid w:val="008F6720"/>
    <w:rsid w:val="008F686E"/>
    <w:rsid w:val="009019D1"/>
    <w:rsid w:val="0090220D"/>
    <w:rsid w:val="009042B8"/>
    <w:rsid w:val="00905C16"/>
    <w:rsid w:val="00906368"/>
    <w:rsid w:val="00907112"/>
    <w:rsid w:val="00907B6F"/>
    <w:rsid w:val="00907B87"/>
    <w:rsid w:val="009111D5"/>
    <w:rsid w:val="0091239A"/>
    <w:rsid w:val="009132FA"/>
    <w:rsid w:val="0091397C"/>
    <w:rsid w:val="00916062"/>
    <w:rsid w:val="0092198E"/>
    <w:rsid w:val="009226D9"/>
    <w:rsid w:val="00922EB0"/>
    <w:rsid w:val="00923C9A"/>
    <w:rsid w:val="00924153"/>
    <w:rsid w:val="00925FDB"/>
    <w:rsid w:val="00926183"/>
    <w:rsid w:val="00927397"/>
    <w:rsid w:val="00933C5F"/>
    <w:rsid w:val="00936F24"/>
    <w:rsid w:val="009419FE"/>
    <w:rsid w:val="009436F9"/>
    <w:rsid w:val="00950674"/>
    <w:rsid w:val="009520E0"/>
    <w:rsid w:val="00954FBB"/>
    <w:rsid w:val="00960B9C"/>
    <w:rsid w:val="009615FC"/>
    <w:rsid w:val="00964089"/>
    <w:rsid w:val="009642CA"/>
    <w:rsid w:val="00965269"/>
    <w:rsid w:val="00965516"/>
    <w:rsid w:val="00967CDC"/>
    <w:rsid w:val="00967FD1"/>
    <w:rsid w:val="00980B21"/>
    <w:rsid w:val="00982F75"/>
    <w:rsid w:val="009833D0"/>
    <w:rsid w:val="00991AF1"/>
    <w:rsid w:val="00996873"/>
    <w:rsid w:val="009A092A"/>
    <w:rsid w:val="009A1BF7"/>
    <w:rsid w:val="009A1DB6"/>
    <w:rsid w:val="009A3B8F"/>
    <w:rsid w:val="009A606D"/>
    <w:rsid w:val="009A6801"/>
    <w:rsid w:val="009A756E"/>
    <w:rsid w:val="009B03BD"/>
    <w:rsid w:val="009B0B03"/>
    <w:rsid w:val="009B0C3B"/>
    <w:rsid w:val="009C2EC1"/>
    <w:rsid w:val="009C6032"/>
    <w:rsid w:val="009C6EFA"/>
    <w:rsid w:val="009C7508"/>
    <w:rsid w:val="009D2F10"/>
    <w:rsid w:val="009D610E"/>
    <w:rsid w:val="009E3D67"/>
    <w:rsid w:val="009E3F08"/>
    <w:rsid w:val="009E5415"/>
    <w:rsid w:val="009F067B"/>
    <w:rsid w:val="009F2879"/>
    <w:rsid w:val="009F3412"/>
    <w:rsid w:val="00A021FC"/>
    <w:rsid w:val="00A03B2F"/>
    <w:rsid w:val="00A03FCC"/>
    <w:rsid w:val="00A05EDB"/>
    <w:rsid w:val="00A069F6"/>
    <w:rsid w:val="00A113B5"/>
    <w:rsid w:val="00A11723"/>
    <w:rsid w:val="00A15FCD"/>
    <w:rsid w:val="00A23014"/>
    <w:rsid w:val="00A2378C"/>
    <w:rsid w:val="00A24D19"/>
    <w:rsid w:val="00A25BFA"/>
    <w:rsid w:val="00A30ABE"/>
    <w:rsid w:val="00A30BB3"/>
    <w:rsid w:val="00A3224D"/>
    <w:rsid w:val="00A35828"/>
    <w:rsid w:val="00A372E1"/>
    <w:rsid w:val="00A408E4"/>
    <w:rsid w:val="00A45EBB"/>
    <w:rsid w:val="00A50814"/>
    <w:rsid w:val="00A574CD"/>
    <w:rsid w:val="00A57B19"/>
    <w:rsid w:val="00A601A4"/>
    <w:rsid w:val="00A60748"/>
    <w:rsid w:val="00A653A2"/>
    <w:rsid w:val="00A65573"/>
    <w:rsid w:val="00A65B25"/>
    <w:rsid w:val="00A678AF"/>
    <w:rsid w:val="00A856A9"/>
    <w:rsid w:val="00A86229"/>
    <w:rsid w:val="00A8760E"/>
    <w:rsid w:val="00A90D4D"/>
    <w:rsid w:val="00A91197"/>
    <w:rsid w:val="00A91E3B"/>
    <w:rsid w:val="00A94598"/>
    <w:rsid w:val="00A9494D"/>
    <w:rsid w:val="00AA1407"/>
    <w:rsid w:val="00AA2F87"/>
    <w:rsid w:val="00AA6A40"/>
    <w:rsid w:val="00AB24F4"/>
    <w:rsid w:val="00AB4436"/>
    <w:rsid w:val="00AB761F"/>
    <w:rsid w:val="00AB7F6F"/>
    <w:rsid w:val="00AC46D4"/>
    <w:rsid w:val="00AC64B0"/>
    <w:rsid w:val="00AD01F3"/>
    <w:rsid w:val="00AD0475"/>
    <w:rsid w:val="00AD4086"/>
    <w:rsid w:val="00AD41F7"/>
    <w:rsid w:val="00AD54D9"/>
    <w:rsid w:val="00AD5844"/>
    <w:rsid w:val="00AD7490"/>
    <w:rsid w:val="00AE1295"/>
    <w:rsid w:val="00AE228F"/>
    <w:rsid w:val="00AE269B"/>
    <w:rsid w:val="00AE3AD4"/>
    <w:rsid w:val="00AF076C"/>
    <w:rsid w:val="00AF20E7"/>
    <w:rsid w:val="00AF61B9"/>
    <w:rsid w:val="00AF6557"/>
    <w:rsid w:val="00B004A0"/>
    <w:rsid w:val="00B01C85"/>
    <w:rsid w:val="00B027A9"/>
    <w:rsid w:val="00B04202"/>
    <w:rsid w:val="00B05EFB"/>
    <w:rsid w:val="00B07912"/>
    <w:rsid w:val="00B10399"/>
    <w:rsid w:val="00B1126D"/>
    <w:rsid w:val="00B11BC4"/>
    <w:rsid w:val="00B15237"/>
    <w:rsid w:val="00B179D1"/>
    <w:rsid w:val="00B17BB9"/>
    <w:rsid w:val="00B208D4"/>
    <w:rsid w:val="00B214AA"/>
    <w:rsid w:val="00B30DDD"/>
    <w:rsid w:val="00B312ED"/>
    <w:rsid w:val="00B31777"/>
    <w:rsid w:val="00B31885"/>
    <w:rsid w:val="00B348F5"/>
    <w:rsid w:val="00B34A57"/>
    <w:rsid w:val="00B41753"/>
    <w:rsid w:val="00B41A58"/>
    <w:rsid w:val="00B444F7"/>
    <w:rsid w:val="00B46693"/>
    <w:rsid w:val="00B46C45"/>
    <w:rsid w:val="00B50E81"/>
    <w:rsid w:val="00B510D8"/>
    <w:rsid w:val="00B54148"/>
    <w:rsid w:val="00B5663F"/>
    <w:rsid w:val="00B6549E"/>
    <w:rsid w:val="00B67979"/>
    <w:rsid w:val="00B71C0E"/>
    <w:rsid w:val="00B74228"/>
    <w:rsid w:val="00B75420"/>
    <w:rsid w:val="00B76ABA"/>
    <w:rsid w:val="00B854F8"/>
    <w:rsid w:val="00B90B78"/>
    <w:rsid w:val="00B91F24"/>
    <w:rsid w:val="00B928E1"/>
    <w:rsid w:val="00B979AA"/>
    <w:rsid w:val="00BA00A7"/>
    <w:rsid w:val="00BA4B5B"/>
    <w:rsid w:val="00BA59DD"/>
    <w:rsid w:val="00BB01AB"/>
    <w:rsid w:val="00BB6C53"/>
    <w:rsid w:val="00BC2991"/>
    <w:rsid w:val="00BC5D0E"/>
    <w:rsid w:val="00BC77F6"/>
    <w:rsid w:val="00BE2E3F"/>
    <w:rsid w:val="00BE396E"/>
    <w:rsid w:val="00BE4C13"/>
    <w:rsid w:val="00BE4F21"/>
    <w:rsid w:val="00BE529D"/>
    <w:rsid w:val="00BE6C23"/>
    <w:rsid w:val="00BE7CE1"/>
    <w:rsid w:val="00BF0077"/>
    <w:rsid w:val="00BF06D0"/>
    <w:rsid w:val="00BF404C"/>
    <w:rsid w:val="00BF5CB0"/>
    <w:rsid w:val="00C00495"/>
    <w:rsid w:val="00C03E3E"/>
    <w:rsid w:val="00C03E87"/>
    <w:rsid w:val="00C06060"/>
    <w:rsid w:val="00C1370C"/>
    <w:rsid w:val="00C161B9"/>
    <w:rsid w:val="00C170AC"/>
    <w:rsid w:val="00C21303"/>
    <w:rsid w:val="00C2377B"/>
    <w:rsid w:val="00C23AA8"/>
    <w:rsid w:val="00C24795"/>
    <w:rsid w:val="00C25743"/>
    <w:rsid w:val="00C27975"/>
    <w:rsid w:val="00C30B42"/>
    <w:rsid w:val="00C3117B"/>
    <w:rsid w:val="00C314F0"/>
    <w:rsid w:val="00C31967"/>
    <w:rsid w:val="00C32CD8"/>
    <w:rsid w:val="00C331A9"/>
    <w:rsid w:val="00C34455"/>
    <w:rsid w:val="00C41C7E"/>
    <w:rsid w:val="00C42CBE"/>
    <w:rsid w:val="00C43B1E"/>
    <w:rsid w:val="00C44124"/>
    <w:rsid w:val="00C4431C"/>
    <w:rsid w:val="00C467E7"/>
    <w:rsid w:val="00C47354"/>
    <w:rsid w:val="00C5152E"/>
    <w:rsid w:val="00C549BD"/>
    <w:rsid w:val="00C566DE"/>
    <w:rsid w:val="00C57DC0"/>
    <w:rsid w:val="00C60BDF"/>
    <w:rsid w:val="00C67E4D"/>
    <w:rsid w:val="00C71F89"/>
    <w:rsid w:val="00C769A4"/>
    <w:rsid w:val="00C77C2D"/>
    <w:rsid w:val="00C820E5"/>
    <w:rsid w:val="00C8257C"/>
    <w:rsid w:val="00C84C54"/>
    <w:rsid w:val="00C8556B"/>
    <w:rsid w:val="00C9152A"/>
    <w:rsid w:val="00C91636"/>
    <w:rsid w:val="00C929B7"/>
    <w:rsid w:val="00C94B57"/>
    <w:rsid w:val="00C959DD"/>
    <w:rsid w:val="00C97861"/>
    <w:rsid w:val="00CA717C"/>
    <w:rsid w:val="00CA7D72"/>
    <w:rsid w:val="00CB02B3"/>
    <w:rsid w:val="00CB1A07"/>
    <w:rsid w:val="00CB249D"/>
    <w:rsid w:val="00CB3B8B"/>
    <w:rsid w:val="00CB5458"/>
    <w:rsid w:val="00CC2D6F"/>
    <w:rsid w:val="00CC4B66"/>
    <w:rsid w:val="00CC4E21"/>
    <w:rsid w:val="00CC6A6A"/>
    <w:rsid w:val="00CE4789"/>
    <w:rsid w:val="00CF216B"/>
    <w:rsid w:val="00CF2C9B"/>
    <w:rsid w:val="00D02256"/>
    <w:rsid w:val="00D1748B"/>
    <w:rsid w:val="00D2017D"/>
    <w:rsid w:val="00D22E0E"/>
    <w:rsid w:val="00D22EBB"/>
    <w:rsid w:val="00D2312C"/>
    <w:rsid w:val="00D24D73"/>
    <w:rsid w:val="00D26099"/>
    <w:rsid w:val="00D2672D"/>
    <w:rsid w:val="00D2690F"/>
    <w:rsid w:val="00D27973"/>
    <w:rsid w:val="00D31D4A"/>
    <w:rsid w:val="00D326CA"/>
    <w:rsid w:val="00D340B5"/>
    <w:rsid w:val="00D41C9B"/>
    <w:rsid w:val="00D43106"/>
    <w:rsid w:val="00D46336"/>
    <w:rsid w:val="00D52B7F"/>
    <w:rsid w:val="00D551DF"/>
    <w:rsid w:val="00D55AFF"/>
    <w:rsid w:val="00D57964"/>
    <w:rsid w:val="00D64A6D"/>
    <w:rsid w:val="00D64AED"/>
    <w:rsid w:val="00D70CF3"/>
    <w:rsid w:val="00D722F9"/>
    <w:rsid w:val="00D7404E"/>
    <w:rsid w:val="00D740D9"/>
    <w:rsid w:val="00D745A3"/>
    <w:rsid w:val="00D76CC9"/>
    <w:rsid w:val="00D90A40"/>
    <w:rsid w:val="00D94806"/>
    <w:rsid w:val="00D970CD"/>
    <w:rsid w:val="00DA13C9"/>
    <w:rsid w:val="00DA578E"/>
    <w:rsid w:val="00DB0AAD"/>
    <w:rsid w:val="00DB2A15"/>
    <w:rsid w:val="00DC0E0C"/>
    <w:rsid w:val="00DC2CBA"/>
    <w:rsid w:val="00DC35A4"/>
    <w:rsid w:val="00DC5F28"/>
    <w:rsid w:val="00DD1117"/>
    <w:rsid w:val="00DD1608"/>
    <w:rsid w:val="00DD1D34"/>
    <w:rsid w:val="00DE15C6"/>
    <w:rsid w:val="00DE1D01"/>
    <w:rsid w:val="00DE5018"/>
    <w:rsid w:val="00DE717C"/>
    <w:rsid w:val="00DF39CB"/>
    <w:rsid w:val="00DF600C"/>
    <w:rsid w:val="00DF793A"/>
    <w:rsid w:val="00DF7BF1"/>
    <w:rsid w:val="00E016C1"/>
    <w:rsid w:val="00E027A3"/>
    <w:rsid w:val="00E0464A"/>
    <w:rsid w:val="00E074BE"/>
    <w:rsid w:val="00E07C8B"/>
    <w:rsid w:val="00E10776"/>
    <w:rsid w:val="00E1090C"/>
    <w:rsid w:val="00E15696"/>
    <w:rsid w:val="00E22C75"/>
    <w:rsid w:val="00E245BC"/>
    <w:rsid w:val="00E26730"/>
    <w:rsid w:val="00E27991"/>
    <w:rsid w:val="00E27D10"/>
    <w:rsid w:val="00E30766"/>
    <w:rsid w:val="00E37E16"/>
    <w:rsid w:val="00E42011"/>
    <w:rsid w:val="00E43122"/>
    <w:rsid w:val="00E54CAB"/>
    <w:rsid w:val="00E5558F"/>
    <w:rsid w:val="00E570C2"/>
    <w:rsid w:val="00E60A4D"/>
    <w:rsid w:val="00E61D2F"/>
    <w:rsid w:val="00E6315E"/>
    <w:rsid w:val="00E64DDF"/>
    <w:rsid w:val="00E67421"/>
    <w:rsid w:val="00E675B6"/>
    <w:rsid w:val="00E67746"/>
    <w:rsid w:val="00E709C2"/>
    <w:rsid w:val="00E710E7"/>
    <w:rsid w:val="00E72689"/>
    <w:rsid w:val="00E77DD5"/>
    <w:rsid w:val="00E845C6"/>
    <w:rsid w:val="00E90EFC"/>
    <w:rsid w:val="00E915BD"/>
    <w:rsid w:val="00E91E12"/>
    <w:rsid w:val="00E9475B"/>
    <w:rsid w:val="00E953A0"/>
    <w:rsid w:val="00E97408"/>
    <w:rsid w:val="00EA700F"/>
    <w:rsid w:val="00EA75C2"/>
    <w:rsid w:val="00EB0261"/>
    <w:rsid w:val="00EB3250"/>
    <w:rsid w:val="00EB615C"/>
    <w:rsid w:val="00EC0BE6"/>
    <w:rsid w:val="00EC16F6"/>
    <w:rsid w:val="00EC3964"/>
    <w:rsid w:val="00EC5265"/>
    <w:rsid w:val="00ED0F4D"/>
    <w:rsid w:val="00ED7CE3"/>
    <w:rsid w:val="00EE1C0C"/>
    <w:rsid w:val="00EE416F"/>
    <w:rsid w:val="00EE4769"/>
    <w:rsid w:val="00EE4AE2"/>
    <w:rsid w:val="00EF3F58"/>
    <w:rsid w:val="00EF4321"/>
    <w:rsid w:val="00EF6159"/>
    <w:rsid w:val="00EF78A3"/>
    <w:rsid w:val="00F00BE9"/>
    <w:rsid w:val="00F012E9"/>
    <w:rsid w:val="00F03159"/>
    <w:rsid w:val="00F04732"/>
    <w:rsid w:val="00F114F7"/>
    <w:rsid w:val="00F12769"/>
    <w:rsid w:val="00F14D81"/>
    <w:rsid w:val="00F14E3E"/>
    <w:rsid w:val="00F17ECC"/>
    <w:rsid w:val="00F21F25"/>
    <w:rsid w:val="00F25708"/>
    <w:rsid w:val="00F26065"/>
    <w:rsid w:val="00F260B3"/>
    <w:rsid w:val="00F269B5"/>
    <w:rsid w:val="00F271D1"/>
    <w:rsid w:val="00F30AE5"/>
    <w:rsid w:val="00F34978"/>
    <w:rsid w:val="00F4277A"/>
    <w:rsid w:val="00F42A01"/>
    <w:rsid w:val="00F44175"/>
    <w:rsid w:val="00F44354"/>
    <w:rsid w:val="00F44929"/>
    <w:rsid w:val="00F47447"/>
    <w:rsid w:val="00F50F80"/>
    <w:rsid w:val="00F513C6"/>
    <w:rsid w:val="00F52200"/>
    <w:rsid w:val="00F540A2"/>
    <w:rsid w:val="00F540B8"/>
    <w:rsid w:val="00F61607"/>
    <w:rsid w:val="00F63716"/>
    <w:rsid w:val="00F67339"/>
    <w:rsid w:val="00F7315C"/>
    <w:rsid w:val="00F765E8"/>
    <w:rsid w:val="00F771EF"/>
    <w:rsid w:val="00F826B2"/>
    <w:rsid w:val="00F851FF"/>
    <w:rsid w:val="00F921A0"/>
    <w:rsid w:val="00F92DDE"/>
    <w:rsid w:val="00F942BB"/>
    <w:rsid w:val="00F9430B"/>
    <w:rsid w:val="00F94E38"/>
    <w:rsid w:val="00F97565"/>
    <w:rsid w:val="00F97B3E"/>
    <w:rsid w:val="00FA138B"/>
    <w:rsid w:val="00FA3B2C"/>
    <w:rsid w:val="00FA740A"/>
    <w:rsid w:val="00FB0240"/>
    <w:rsid w:val="00FB04FA"/>
    <w:rsid w:val="00FB5BE2"/>
    <w:rsid w:val="00FB6926"/>
    <w:rsid w:val="00FC15A1"/>
    <w:rsid w:val="00FC1779"/>
    <w:rsid w:val="00FC6A32"/>
    <w:rsid w:val="00FD72D2"/>
    <w:rsid w:val="00FE1AD7"/>
    <w:rsid w:val="00FE2085"/>
    <w:rsid w:val="00FE2D4C"/>
    <w:rsid w:val="00FE31FD"/>
    <w:rsid w:val="00FE3A1D"/>
    <w:rsid w:val="00FE570C"/>
    <w:rsid w:val="00FE5D11"/>
    <w:rsid w:val="00FE65DC"/>
    <w:rsid w:val="00FF29BD"/>
    <w:rsid w:val="00FF3A20"/>
    <w:rsid w:val="00F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BBD78C"/>
  <w15:chartTrackingRefBased/>
  <w15:docId w15:val="{32A0BEA2-FB27-5043-B8DF-3957485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EC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54435">
      <w:bodyDiv w:val="1"/>
      <w:marLeft w:val="0"/>
      <w:marRight w:val="0"/>
      <w:marTop w:val="0"/>
      <w:marBottom w:val="0"/>
      <w:divBdr>
        <w:top w:val="none" w:sz="0" w:space="0" w:color="auto"/>
        <w:left w:val="none" w:sz="0" w:space="0" w:color="auto"/>
        <w:bottom w:val="none" w:sz="0" w:space="0" w:color="auto"/>
        <w:right w:val="none" w:sz="0" w:space="0" w:color="auto"/>
      </w:divBdr>
      <w:divsChild>
        <w:div w:id="1269854007">
          <w:marLeft w:val="0"/>
          <w:marRight w:val="0"/>
          <w:marTop w:val="0"/>
          <w:marBottom w:val="0"/>
          <w:divBdr>
            <w:top w:val="none" w:sz="0" w:space="0" w:color="auto"/>
            <w:left w:val="none" w:sz="0" w:space="0" w:color="auto"/>
            <w:bottom w:val="none" w:sz="0" w:space="0" w:color="auto"/>
            <w:right w:val="none" w:sz="0" w:space="0" w:color="auto"/>
          </w:divBdr>
          <w:divsChild>
            <w:div w:id="1549343484">
              <w:marLeft w:val="0"/>
              <w:marRight w:val="0"/>
              <w:marTop w:val="0"/>
              <w:marBottom w:val="0"/>
              <w:divBdr>
                <w:top w:val="none" w:sz="0" w:space="0" w:color="auto"/>
                <w:left w:val="none" w:sz="0" w:space="0" w:color="auto"/>
                <w:bottom w:val="none" w:sz="0" w:space="0" w:color="auto"/>
                <w:right w:val="none" w:sz="0" w:space="0" w:color="auto"/>
              </w:divBdr>
              <w:divsChild>
                <w:div w:id="839201397">
                  <w:marLeft w:val="0"/>
                  <w:marRight w:val="0"/>
                  <w:marTop w:val="0"/>
                  <w:marBottom w:val="0"/>
                  <w:divBdr>
                    <w:top w:val="none" w:sz="0" w:space="0" w:color="auto"/>
                    <w:left w:val="none" w:sz="0" w:space="0" w:color="auto"/>
                    <w:bottom w:val="none" w:sz="0" w:space="0" w:color="auto"/>
                    <w:right w:val="none" w:sz="0" w:space="0" w:color="auto"/>
                  </w:divBdr>
                  <w:divsChild>
                    <w:div w:id="4372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Yunde</dc:creator>
  <cp:keywords/>
  <dc:description/>
  <cp:lastModifiedBy>Yunde</cp:lastModifiedBy>
  <cp:revision>1</cp:revision>
  <dcterms:created xsi:type="dcterms:W3CDTF">2025-12-04T00:32:00Z</dcterms:created>
  <dcterms:modified xsi:type="dcterms:W3CDTF">2025-12-04T00:37:00Z</dcterms:modified>
</cp:coreProperties>
</file>