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r>
        <w:fldChar w:fldCharType="begin"/>
        <w:instrText>HYPERLINK "http://biosharing.org/" \h</w:instrText>
        <w:fldChar w:fldCharType="separate"/>
      </w:r>
      <w:r>
        <w:rPr>
          <w:rFonts w:ascii="Noto Sans" w:eastAsia="Noto Sans" w:hAnsi="Noto Sans" w:cs="Noto Sans"/>
          <w:color w:val="1155CC"/>
          <w:sz w:val="20"/>
          <w:szCs w:val="20"/>
          <w:u w:val="single"/>
        </w:rPr>
        <w:t xml:space="preserve">BioSharing Information Resource</w:t>
        <w:fldChar w:fldCharType="end"/>
      </w:r>
      <w:r>
        <w:rPr>
          <w:rFonts w:ascii="Noto Sans" w:eastAsia="Noto Sans" w:hAnsi="Noto Sans" w:cs="Noto Sans"/>
          <w:sz w:val="20"/>
          <w:szCs w:val="20"/>
        </w:rPr>
        <w:t>), or animal research (see the </w:t>
      </w:r>
      <w:hyperlink r:id="rId9">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0">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1">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r>
              <w:rPr>
                <w:rFonts w:ascii="Noto Sans" w:eastAsia="Noto Sans" w:hAnsi="Noto Sans" w:cs="Noto Sans"/>
                <w:color w:val="434343"/>
                <w:sz w:val="18"/>
                <w:szCs w:val="18"/>
              </w:rPr>
              <w:t>Resource availability, Materials availability. No new reagents were generated.</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2">
              <w:r>
                <w:rPr>
                  <w:rFonts w:ascii="Noto Sans" w:eastAsia="Noto Sans" w:hAnsi="Noto Sans" w:cs="Noto Sans"/>
                  <w:color w:val="434343"/>
                  <w:sz w:val="18"/>
                  <w:szCs w:val="18"/>
                </w:rPr>
                <w:t xml:space="preserve"> </w:t>
              </w:r>
            </w:hyperlink>
            <w:hyperlink r:id="rId13">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r>
              <w:rPr>
                <w:rFonts w:ascii="Noto Sans" w:eastAsia="Noto Sans" w:hAnsi="Noto Sans" w:cs="Noto Sans"/>
                <w:color w:val="434343"/>
                <w:sz w:val="18"/>
                <w:szCs w:val="18"/>
              </w:rPr>
              <w:t>Methods, FOS immunohistochemistry and Oxytocin immunohistochemistry; Key Resources Table (supplier, catalog number, RRID).</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r>
              <w:rPr>
                <w:rFonts w:ascii="Noto Sans" w:eastAsia="Noto Sans" w:hAnsi="Noto Sans" w:cs="Noto Sans"/>
                <w:color w:val="434343"/>
                <w:sz w:val="18"/>
                <w:szCs w:val="18"/>
              </w:rPr>
              <w:t xml:space="preserve">No novel sequences. Commercial RNAscope probes (</w:t>
            </w:r>
            <w:r>
              <w:rPr>
                <w:rFonts w:ascii="Noto Sans" w:eastAsia="Noto Sans" w:hAnsi="Noto Sans" w:cs="Noto Sans"/>
                <w:i/>
                <w:color w:val="434343"/>
                <w:sz w:val="18"/>
                <w:szCs w:val="18"/>
              </w:rPr>
              <w:t>Oxt</w:t>
            </w:r>
            <w:r>
              <w:rPr>
                <w:rFonts w:ascii="Noto Sans" w:eastAsia="Noto Sans" w:hAnsi="Noto Sans" w:cs="Noto Sans"/>
                <w:color w:val="434343"/>
                <w:sz w:val="18"/>
                <w:szCs w:val="18"/>
              </w:rPr>
              <w:t xml:space="preserve">, </w:t>
            </w:r>
            <w:r>
              <w:rPr>
                <w:rFonts w:ascii="Noto Sans" w:eastAsia="Noto Sans" w:hAnsi="Noto Sans" w:cs="Noto Sans"/>
                <w:i/>
                <w:color w:val="434343"/>
                <w:sz w:val="18"/>
                <w:szCs w:val="18"/>
              </w:rPr>
              <w:t>Fos</w:t>
            </w:r>
            <w:r>
              <w:rPr>
                <w:rFonts w:ascii="Noto Sans" w:eastAsia="Noto Sans" w:hAnsi="Noto Sans" w:cs="Noto Sans"/>
                <w:color w:val="434343"/>
                <w:sz w:val="18"/>
                <w:szCs w:val="18"/>
              </w:rPr>
              <w:t xml:space="preserve">, </w:t>
            </w:r>
            <w:r>
              <w:rPr>
                <w:rFonts w:ascii="Noto Sans" w:eastAsia="Noto Sans" w:hAnsi="Noto Sans" w:cs="Noto Sans"/>
                <w:i/>
                <w:color w:val="434343"/>
                <w:sz w:val="18"/>
                <w:szCs w:val="18"/>
              </w:rPr>
              <w:t>Oxtr</w:t>
            </w:r>
            <w:r>
              <w:rPr>
                <w:rFonts w:ascii="Noto Sans" w:eastAsia="Noto Sans" w:hAnsi="Noto Sans" w:cs="Noto Sans"/>
                <w:color w:val="434343"/>
                <w:sz w:val="18"/>
                <w:szCs w:val="18"/>
              </w:rPr>
              <w:t>; ACD Bio) and viral vectors are listed with catalog numbers in Methods and the Key Resources Table.</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3DA3E7D" w:rsidR="00F102CC" w:rsidRPr="003D5AF6" w:rsidRDefault="00F102CC">
            <w:pPr>
              <w:rPr>
                <w:rFonts w:ascii="Noto Sans" w:eastAsia="Noto Sans" w:hAnsi="Noto Sans" w:cs="Noto Sans"/>
                <w:bCs/>
                <w:color w:val="434343"/>
                <w:sz w:val="18"/>
                <w:szCs w:val="18"/>
              </w:rPr>
            </w:pPr>
            <w:r>
              <w:rPr>
                <w:rFonts w:ascii="Noto Sans" w:eastAsia="Noto Sans" w:hAnsi="Noto Sans" w:cs="Noto Sans"/>
                <w:color w:val="434343"/>
                <w:sz w:val="18"/>
                <w:szCs w:val="18"/>
              </w:rPr>
              <w:t>X</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Primary cultures: Provide species, strain, sex of origin, genetic modification status.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569C04C5" w:rsidR="00F102CC" w:rsidRPr="003D5AF6" w:rsidRDefault="00F102CC">
            <w:pPr>
              <w:rPr>
                <w:rFonts w:ascii="Noto Sans" w:eastAsia="Noto Sans" w:hAnsi="Noto Sans" w:cs="Noto Sans"/>
                <w:bCs/>
                <w:color w:val="434343"/>
                <w:sz w:val="18"/>
                <w:szCs w:val="18"/>
              </w:rPr>
            </w:pPr>
            <w:r>
              <w:rPr>
                <w:rFonts w:ascii="Noto Sans" w:eastAsia="Noto Sans" w:hAnsi="Noto Sans" w:cs="Noto Sans"/>
                <w:color w:val="434343"/>
                <w:sz w:val="18"/>
                <w:szCs w:val="18"/>
              </w:rPr>
              <w:t>X</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r>
              <w:rPr>
                <w:rFonts w:ascii="Noto Sans" w:eastAsia="Noto Sans" w:hAnsi="Noto Sans" w:cs="Noto Sans"/>
                <w:color w:val="434343"/>
                <w:sz w:val="18"/>
                <w:szCs w:val="18"/>
              </w:rPr>
              <w:t xml:space="preserve">Methods, Animals; Key Resources Table. Female </w:t>
            </w:r>
            <w:r>
              <w:rPr>
                <w:rFonts w:ascii="Noto Sans" w:eastAsia="Noto Sans" w:hAnsi="Noto Sans" w:cs="Noto Sans"/>
                <w:i/>
                <w:color w:val="434343"/>
                <w:sz w:val="18"/>
                <w:szCs w:val="18"/>
              </w:rPr>
              <w:t>Mus musculus</w:t>
            </w:r>
            <w:r>
              <w:rPr>
                <w:rFonts w:ascii="Noto Sans" w:eastAsia="Noto Sans" w:hAnsi="Noto Sans" w:cs="Noto Sans"/>
                <w:color w:val="434343"/>
                <w:sz w:val="18"/>
                <w:szCs w:val="18"/>
              </w:rPr>
              <w:t xml:space="preserve">: C57BL/6J (JAX 000664) and Oxt-IRES-Cre (JAX 024234), 8 to 20 weeks old.</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77777777" w:rsidR="00F102CC" w:rsidRPr="003D5AF6" w:rsidRDefault="00F102CC">
            <w:pPr>
              <w:rPr>
                <w:rFonts w:ascii="Noto Sans" w:eastAsia="Noto Sans" w:hAnsi="Noto Sans" w:cs="Noto Sans"/>
                <w:bCs/>
                <w:color w:val="434343"/>
                <w:sz w:val="18"/>
                <w:szCs w:val="18"/>
              </w:rPr>
            </w:pPr>
            <w:r>
              <w:rPr>
                <w:rFonts w:ascii="Noto Sans" w:eastAsia="Noto Sans" w:hAnsi="Noto Sans" w:cs="Noto Sans"/>
                <w:color w:val="434343"/>
                <w:sz w:val="18"/>
                <w:szCs w:val="18"/>
              </w:rPr>
              <w:t>X</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70C01AEC" w:rsidR="00F102CC" w:rsidRPr="003D5AF6" w:rsidRDefault="00F102CC">
            <w:pPr>
              <w:rPr>
                <w:rFonts w:ascii="Noto Sans" w:eastAsia="Noto Sans" w:hAnsi="Noto Sans" w:cs="Noto Sans"/>
                <w:bCs/>
                <w:color w:val="434343"/>
                <w:sz w:val="18"/>
                <w:szCs w:val="18"/>
              </w:rPr>
            </w:pPr>
            <w:r>
              <w:rPr>
                <w:rFonts w:ascii="Noto Sans" w:eastAsia="Noto Sans" w:hAnsi="Noto Sans" w:cs="Noto Sans"/>
                <w:color w:val="434343"/>
                <w:sz w:val="18"/>
                <w:szCs w:val="18"/>
              </w:rPr>
              <w:t>X</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77777777" w:rsidR="00F102CC" w:rsidRPr="003D5AF6" w:rsidRDefault="00F102CC">
            <w:pPr>
              <w:rPr>
                <w:rFonts w:ascii="Noto Sans" w:eastAsia="Noto Sans" w:hAnsi="Noto Sans" w:cs="Noto Sans"/>
                <w:bCs/>
                <w:color w:val="434343"/>
                <w:sz w:val="18"/>
                <w:szCs w:val="18"/>
              </w:rPr>
            </w:pPr>
            <w:r>
              <w:rPr>
                <w:rFonts w:ascii="Noto Sans" w:eastAsia="Noto Sans" w:hAnsi="Noto Sans" w:cs="Noto Sans"/>
                <w:color w:val="434343"/>
                <w:sz w:val="18"/>
                <w:szCs w:val="18"/>
              </w:rPr>
              <w:t>X</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 xml:space="preserve">sex, gender and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4D5C706" w:rsidR="00F102CC" w:rsidRDefault="00F102CC">
            <w:pPr>
              <w:rPr>
                <w:rFonts w:ascii="Noto Sans" w:eastAsia="Noto Sans" w:hAnsi="Noto Sans" w:cs="Noto Sans"/>
                <w:b/>
                <w:color w:val="434343"/>
                <w:sz w:val="18"/>
                <w:szCs w:val="18"/>
              </w:rPr>
            </w:pPr>
            <w:r>
              <w:rPr>
                <w:rFonts w:ascii="Noto Sans" w:eastAsia="Noto Sans" w:hAnsi="Noto Sans" w:cs="Noto Sans"/>
                <w:color w:val="434343"/>
                <w:sz w:val="18"/>
                <w:szCs w:val="18"/>
              </w:rPr>
              <w:t>X</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6840EB3F"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X</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Methods describe all procedures. Home cage recording follows Landen et al., 2024.</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D8DC753" w:rsidR="00F102CC" w:rsidRPr="003D5AF6" w:rsidRDefault="00F102CC">
            <w:pPr>
              <w:spacing w:line="225" w:lineRule="auto"/>
              <w:rPr>
                <w:rFonts w:ascii="Noto Sans" w:eastAsia="Noto Sans" w:hAnsi="Noto Sans" w:cs="Noto Sans"/>
                <w:bCs/>
                <w:color w:val="434343"/>
                <w:sz w:val="18"/>
                <w:szCs w:val="18"/>
              </w:rPr>
            </w:pP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10829F94" w:rsidR="00F102CC" w:rsidRPr="003C425D" w:rsidRDefault="003C425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Prospective power analyses (G*Power and R; alpha = 0.05, power = 0.80) were performed for fiber photometry and optogenetic experiments as part of the IACUC approved protocol. Photometry was powered on an effect size of 1.06 for the change in oxytocin neuron firing during social interaction (Tang et al., 2020). Optogenetics was powered on an expected core body temperature difference of 1.25 °C between ChR2 and light only stimulation (SD 0.8; Fukushima et al., 2022). Both analyses planned 8 mice per group. Formal power analyses were not performed for FOS immunohistochemistry, RNAscope, or lactation experiments. Sample sizes were similar to those of previous studies (Tang et al., 2020; Yukinaga et al., 2022; Carcea et al., 2021). Analyzed sample sizes are reported in each figure legend and Supplementary File 1.</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0C6220A7"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 xml:space="preserve">Photometry condition order (floor temperature and social context) was pseudorandomized (Figure 2C). FOS groups were defined by spontaneous behavior. Allocation of mice to ChR2+ or light only control groups was not randomized (not done).</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0AC884BA" w:rsidR="00F102CC" w:rsidRDefault="00F102CC">
            <w:pPr>
              <w:spacing w:line="225" w:lineRule="auto"/>
              <w:rPr>
                <w:rFonts w:ascii="Noto Sans" w:eastAsia="Noto Sans" w:hAnsi="Noto Sans" w:cs="Noto Sans"/>
                <w:b/>
                <w:color w:val="434343"/>
                <w:sz w:val="18"/>
                <w:szCs w:val="18"/>
              </w:rPr>
            </w:pP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4B3F3322"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 xml:space="preserve">Not done. Experimenters were not blinded to condition during data collection or manual behavioral annotation. To limit observer bias, FOS counts, calcium peak detection, and SGBS temperature extraction were automated with fixed parameters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49989C53" w:rsidR="00F102CC" w:rsidRPr="003D5AF6" w:rsidRDefault="00F102CC">
            <w:pPr>
              <w:spacing w:line="225" w:lineRule="auto"/>
              <w:rPr>
                <w:rFonts w:ascii="Noto Sans" w:eastAsia="Noto Sans" w:hAnsi="Noto Sans" w:cs="Noto Sans"/>
                <w:bCs/>
                <w:color w:val="434343"/>
                <w:sz w:val="18"/>
                <w:szCs w:val="18"/>
              </w:rPr>
            </w:pP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Methods: mice without GCaMP signal were excluded; fiber placement was confirmed histologically with no exclusions; peaks were defined as at least 6 SD above mean (7 SD for lactation); bouts under 2 min were excluded from Tb regression (Figure 3–figure supplement 1).</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lastRenderedPageBreak/>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2B8B60AA"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 xml:space="preserve">Animal and recording numbers are in each figure legend and Supplementary File 1. </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77777777"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Biological replicates are mice. Recordings, bouts, peaks, stimulations, and ROIs are repeated measures within mice, modeled with mouse ID as a random effect (Methods, Statistics).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76223028"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X</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B156033"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 xml:space="preserve">Methods, Animals. University of Wyoming IACUC, protocol 2025-0206 (continuation of protocol 20220217AN00537-01). </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189E6E70" w:rsidR="00F102CC" w:rsidRPr="003D5AF6" w:rsidRDefault="00F102CC">
            <w:pPr>
              <w:spacing w:line="225" w:lineRule="auto"/>
              <w:rPr>
                <w:rFonts w:ascii="Noto Sans" w:eastAsia="Noto Sans" w:hAnsi="Noto Sans" w:cs="Noto Sans"/>
                <w:bCs/>
                <w:color w:val="434343"/>
                <w:sz w:val="18"/>
                <w:szCs w:val="18"/>
              </w:rPr>
            </w:pP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77777777"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X</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10FF7490"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X</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6E752B47"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Exclusion criteria are listed in Methods (see Inclusion/exclusion criteria).</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lastRenderedPageBreak/>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77777777"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Methods, Statistics; figure legends; Supplementary File 1. Linear mixed models with mouse ID as a random effect account for repeated measures. Also used: linear regression with Tukey and Holm correction, logistic and Poisson regression, likelihood ratio test, and cross correlation.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77777777"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Resource availability, Data and code availability.</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6F03C1C0"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 xml:space="preserve">OSF: https://osf.io/x9kcj </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If reused data is 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0103DAE6"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X</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any computer code/software/mathematical algorithms essential for replicating the main findings of the study, whether newly generated or re-used, 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77777777"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Resource availability, Data and code availability; Methods, Computer vision analysis.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Where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7E2CC61A" w:rsidR="00F102CC" w:rsidRPr="003D5AF6" w:rsidRDefault="00F102CC">
            <w:pPr>
              <w:spacing w:line="225" w:lineRule="auto"/>
              <w:rPr>
                <w:rFonts w:ascii="Noto Sans" w:eastAsia="Noto Sans" w:hAnsi="Noto Sans" w:cs="Noto Sans"/>
                <w:bCs/>
                <w:color w:val="434343"/>
              </w:rPr>
            </w:pPr>
            <w:r>
              <w:rPr>
                <w:rFonts w:ascii="Noto Sans" w:eastAsia="Noto Sans" w:hAnsi="Noto Sans" w:cs="Noto Sans"/>
                <w:color w:val="434343"/>
                <w:sz w:val="18"/>
                <w:szCs w:val="18"/>
              </w:rPr>
              <w:t xml:space="preserve">OSF: https://osf.io/x9kcj; GitHub: https://github.com/j-landen/SGBS and https://github.com/j-landen/seq_process.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 xml:space="preserve">ThermImageJ (Tattersall, 2019; doi:10.5281/zenodo.2652896). Software and versions are in the Key Resources Table.</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793BC5DE" w:rsidR="00F102CC" w:rsidRPr="003D5AF6" w:rsidRDefault="00F102CC">
            <w:pPr>
              <w:spacing w:line="225" w:lineRule="auto"/>
              <w:rPr>
                <w:rFonts w:ascii="Noto Sans" w:eastAsia="Noto Sans" w:hAnsi="Noto Sans" w:cs="Noto Sans"/>
                <w:bCs/>
                <w:color w:val="434343"/>
                <w:sz w:val="18"/>
                <w:szCs w:val="18"/>
              </w:rPr>
            </w:pP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8E9B505" w:rsidR="00F102CC" w:rsidRPr="003D5AF6" w:rsidRDefault="00F102CC">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Animal procedures followed NIH guidelines (Methods, Animals). No ARRIVE or other reporting checklist is provided.</w:t>
            </w: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0522CE96" w:rsidR="00F102CC" w:rsidRPr="003D5AF6" w:rsidRDefault="00F102CC">
            <w:pPr>
              <w:spacing w:line="225" w:lineRule="auto"/>
              <w:rPr>
                <w:rFonts w:ascii="Noto Sans" w:eastAsia="Noto Sans" w:hAnsi="Noto Sans" w:cs="Noto Sans"/>
                <w:bCs/>
                <w:color w:val="434343"/>
                <w:sz w:val="18"/>
                <w:szCs w:val="18"/>
              </w:rPr>
            </w:pP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E32F30">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4">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5"/>
      <w:footerReference w:type="default" r:id="rId16"/>
      <w:headerReference w:type="first" r:id="rId17"/>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48948" w14:textId="77777777" w:rsidR="00E32F30" w:rsidRDefault="00E32F30">
      <w:r>
        <w:separator/>
      </w:r>
    </w:p>
  </w:endnote>
  <w:endnote w:type="continuationSeparator" w:id="0">
    <w:p w14:paraId="01E170F6" w14:textId="77777777" w:rsidR="00E32F30" w:rsidRDefault="00E32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E8611" w14:textId="77777777" w:rsidR="00E32F30" w:rsidRDefault="00E32F30">
      <w:r>
        <w:separator/>
      </w:r>
    </w:p>
  </w:footnote>
  <w:footnote w:type="continuationSeparator" w:id="0">
    <w:p w14:paraId="6783106F" w14:textId="77777777" w:rsidR="00E32F30" w:rsidRDefault="00E32F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0F679C"/>
    <w:rsid w:val="001B3BCC"/>
    <w:rsid w:val="001E6153"/>
    <w:rsid w:val="002209A8"/>
    <w:rsid w:val="003C425D"/>
    <w:rsid w:val="003D5AF6"/>
    <w:rsid w:val="00400C53"/>
    <w:rsid w:val="00427975"/>
    <w:rsid w:val="004567DC"/>
    <w:rsid w:val="004B242B"/>
    <w:rsid w:val="004E2C31"/>
    <w:rsid w:val="005B0259"/>
    <w:rsid w:val="006741E3"/>
    <w:rsid w:val="007054B6"/>
    <w:rsid w:val="0078687E"/>
    <w:rsid w:val="00953146"/>
    <w:rsid w:val="009C7B26"/>
    <w:rsid w:val="00A11E52"/>
    <w:rsid w:val="00B2483D"/>
    <w:rsid w:val="00BD41E9"/>
    <w:rsid w:val="00C07CED"/>
    <w:rsid w:val="00C84413"/>
    <w:rsid w:val="00D42278"/>
    <w:rsid w:val="00E32F30"/>
    <w:rsid w:val="00F102CC"/>
    <w:rsid w:val="00F73913"/>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 w:type="paragraph" w:styleId="NormalWeb">
    <w:name w:val="Normal (Web)"/>
    <w:basedOn w:val="Normal"/>
    <w:uiPriority w:val="99"/>
    <w:semiHidden/>
    <w:unhideWhenUsed/>
    <w:rsid w:val="003C425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883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scicrunch.org/resourc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er.elifesciences.org/author-guide/journal-polici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38/d41586-020-0175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osbiology.org/article/info:doi/10.1371/journal.pbio.1000412" TargetMode="External"/><Relationship Id="rId14" Type="http://schemas.openxmlformats.org/officeDocument/2006/relationships/hyperlink" Target="https://doi.org/10.7554/eLife.4817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1796</Words>
  <Characters>10243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Nelson, Adam Calvin</cp:lastModifiedBy>
  <cp:revision>4</cp:revision>
  <dcterms:created xsi:type="dcterms:W3CDTF">2026-10-05T16:41:00Z</dcterms:created>
  <dcterms:modified xsi:type="dcterms:W3CDTF">2026-10-07T22:20:00Z</dcterms:modified>
</cp:coreProperties>
</file>