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Materials Design Analysis Reporting (MDAR)</w:t>
      </w:r>
    </w:p>
    <w:p>
      <w:pPr>
        <w:jc w:val="center"/>
      </w:pPr>
      <w:r>
        <w:rPr>
          <w:rFonts w:ascii="Arial" w:hAnsi="Arial"/>
          <w:b/>
          <w:sz w:val="22"/>
        </w:rPr>
        <w:t>Checklist for Authors</w:t>
      </w:r>
    </w:p>
    <w:p>
      <w:pPr>
        <w:spacing w:after="40"/>
      </w:pPr>
      <w:r>
        <w:rPr>
          <w:b/>
        </w:rPr>
        <w:t xml:space="preserve">Manuscript: </w:t>
      </w:r>
      <w:r>
        <w:t>Integrated Respirometry and Metabolomics Unveil Circadian Metabolic Dynamics in Drosophila</w:t>
        <w:br/>
        <w:t>Authors: Akhtar et al.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rPr>
          <w:tblHeader w:val="true"/>
        </w:trPr>
        <w:tc>
          <w:tcPr>
            <w:tcW w:type="dxa" w:w="1800"/>
            <w:vAlign w:val="center"/>
            <w:shd w:fill="D9EAF7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MDAR item</w:t>
            </w:r>
          </w:p>
        </w:tc>
        <w:tc>
          <w:tcPr>
            <w:tcW w:type="dxa" w:w="3384"/>
            <w:vAlign w:val="center"/>
            <w:shd w:fill="D9EAF7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Minimum reporting expectation</w:t>
            </w:r>
          </w:p>
        </w:tc>
        <w:tc>
          <w:tcPr>
            <w:tcW w:type="dxa" w:w="4536"/>
            <w:vAlign w:val="center"/>
            <w:shd w:fill="D9EAF7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Where provided / response</w:t>
            </w:r>
          </w:p>
        </w:tc>
        <w:tc>
          <w:tcPr>
            <w:tcW w:type="dxa" w:w="936"/>
            <w:vAlign w:val="center"/>
            <w:shd w:fill="D9EAF7"/>
          </w:tcPr>
          <w:p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0656"/>
            <w:gridSpan w:val="4"/>
            <w:shd w:fill="E2F0D9"/>
          </w:tcPr>
          <w:p>
            <w:r>
              <w:rPr>
                <w:rFonts w:ascii="Arial" w:hAnsi="Arial"/>
                <w:b/>
                <w:sz w:val="15"/>
              </w:rPr>
              <w:t>Materials: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Newly created materials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Disclose availability of newly created materials and any restrictions.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No newly created biological materials (e.g., new strains, cell lines, plasmids, antibodies) are described in this study.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Antibodies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For commercial antibodies, provide supplier, catalogue number and RRID where available.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No antibodies are used or described.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DNA and RNA sequences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Provide sequences or repository access for short novel DNA/RNA sequences, primers or probes.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No novel DNA/RNA sequences, primers or probes are used or described.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Cell materials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For cell lines/primary cultures, report species, strain/source and relevant identifiers.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No cell lines or primary cultures are used.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Experimental animals / model organisms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Report species, strain, sex, age, genetic modification status and repository/supplier identifier where available.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sz w:val="15"/>
              </w:rPr>
              <w:t>Methods – Drosophila Strains, Entrainment and Collection. Species: Drosophila melanogaster. Strains: isogenic control (iso/iso31), fumin (fmn; Kume et al., 2005, Ref. 21), sleepless (sss; Koh et al., 2008; Chen et al., 2015; Wu et al., 2010, Refs. 22–24), and period-null (per01; Konopka and Benzer, 1971, Ref. 25). Sex: males only. Age: 5–7 days after eclosion. Housing/diet: standard cornmeal/molasses medium at 25 °C. Lighting: 12 h:12 h LD (ZT0 = lights-on; ZT12 = lights-off); WT also tested after ≥24 h in constant darkness (WT-DD). Stock/repository identifiers are not listed in the manuscript.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Plants and microbes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Report species/strain/source for plants or microbes studied.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No plants or microbial strains are experimental subjects. Background microbial metabolism is controlled in empty-food respirometry chambers, but microbes are not experimentally characterized.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Human research participants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Where applicable, report participant demographics within privacy constraints.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No human participants are included in this study.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0656"/>
            <w:gridSpan w:val="4"/>
            <w:shd w:fill="E2F0D9"/>
          </w:tcPr>
          <w:p>
            <w:r>
              <w:rPr>
                <w:rFonts w:ascii="Arial" w:hAnsi="Arial"/>
                <w:b/>
                <w:sz w:val="15"/>
              </w:rPr>
              <w:t>Design: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Study protocol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If the study was preregistered, provide registration/DOI; clinical trials require registration details.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No preregistered study protocol or clinical trial is described.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Laboratory protocol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Provide DOI/citation if detailed step-by-step protocols are available.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Methods provide detailed respirometry and gut-OCR procedures. Previously established methods are cited for metabolic-rate calculations and metabolomics (including refs. 27, 30 and 31).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Sample size determination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State whether sample size was determined prospectively; if no power analysis was used, explain how replicate number was chosen.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sz w:val="15"/>
              </w:rPr>
              <w:t>No formal power analysis was performed. Replicate number was based on the capacity of the MAVEn flow-through respirometry system (16 fly chambers) together with empirical optimization of group size; 25 flies per chamber produced a clear, reliable respiratory signal. Four chambers were used per genotype/condition in each run, and recordings were repeated across three independent experimental days, giving n = 12 chambers per genotype/condition, with chamber as the experimental unit (Methods – Respirometry Setup; Supplementary Table 3). Gut OCR used three independent runs with individual guts as the experimental unit (typically n = 12 per genotype; Methods – Gut Tissue Respirometry).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Randomisation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State whether and how samples/experimental groups were randomized; if not done, state 'not done'.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sz w:val="15"/>
              </w:rPr>
              <w:t>Not done. Experimental groups were genetically defined genotypes/conditions rather than randomly allocated treatments. Four chambers per genotype/condition were assayed within MAVEn runs.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Blinding / masking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State whether and how blinding was used during allocation, data collection or analysis; if not done, state 'not done'.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sz w:val="15"/>
              </w:rPr>
              <w:t>Not done. Genotype identity was known during chamber loading and analysis. Respirometry (VO₂, VCO₂, RQ) and gut OCR were acquired instrumentally rather than by subjective scoring.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Inclusion/exclusion criteria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State inclusion/exclusion criteria and whether they were prespecified.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Inclusion: male flies, 5–7 days old, 25 flies per respirometry chamber after optimization of group size for a clear respiratory signal (Methods – Drosophila Strains; Respirometry Setup). Whole-fly respirometry included food-only control chambers to subtract background microbial metabolism. Gut OCR inclusion: dissected male guts with OCR averaged over the 12–36 h window after loading, once tissue respiration had stabilized. Exclusion: one iso31 gut in the third per01 run was identified as an outlier using GraphPad Prism “Identify Outliers” and excluded; no other gut OCR values were removed (Methods – Gut Tissue Respirometry; Figure 9 legend). No other samples were excluded from the respirometry analyses.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Sample definition and in-laboratory replication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Report number of independent repetitions and define the experimental unit / biological versus technical replication.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Methods – Respirometry Setup and Supplementary Table 3: chamber is the experimental unit; 25 flies/chamber, 4 chambers/experiment, 3 experimental days, typically n = 12 chambers/genotype/condition. Methods – Gut Tissue Respirometry: three independent runs; individual guts analyzed (fmn vs iso31, n = 12 vs 12; per01 vs iso31, n = 12 vs 11 after one exclusion). Figure legends report n and SEM. The reused metabolomics dataset is described in Methods and refs. 27/31.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Ethics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For human/animal/specimen studies, report approving authority and approval number where applicable.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N/A. This study uses Drosophila melanogaster (an invertebrate) and includes no human participants or vertebrate animals. Institutional animal-ethics (IACUC) approval is not required for this work.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Dual Use Research of Concern (DURC)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If subject to DURC regulations, report approval authority and reference number.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No dual-use research of concern is apparent from the study design.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0656"/>
            <w:gridSpan w:val="4"/>
            <w:shd w:fill="E2F0D9"/>
          </w:tcPr>
          <w:p>
            <w:r>
              <w:rPr>
                <w:rFonts w:ascii="Arial" w:hAnsi="Arial"/>
                <w:b/>
                <w:sz w:val="15"/>
              </w:rPr>
              <w:t>Analysis: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Attrition / omitted data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Report omitted samples/data points and justification, including whether criteria were pre-established.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Methods – Gut Tissue Respirometry and Figure 9 legend: one iso31 gut in the third per01 run was excluded after identification as an outlier in Prism; no other gut OCR values were removed. Correlation plots use rank-based visualization to reduce outlier influence, but the underlying correlation selection criteria are stated.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Statistics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Describe and justify statistical tests; report n, center/dispersion, multiple-testing correction and exact p-values where appropriate.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sz w:val="15"/>
              </w:rPr>
              <w:t>Methods – Statistical Analysis, Metabolomics-respirometry integration and lag analysis, Rhythmicity analysis, Pathway Analysis, and Gut Tissue Respirometry; figure legends and tables. Analyses include Spearman correlations, genotype comparisons, Mann–Whitney testing for gut OCR, RAIN/JTK_CYCLE rhythmicity analysis with FDR adjustment, and pathway enrichment. Figure legends/Supplementary Table 3 report experimental units, n and SEM. GraphPad Prism 10 (RRID:SCR_002798) was used for applicable statistical analyses.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Data availability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Provide access details for newly created and reused datasets, including repository identifiers/DOIs/URLs where available.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sz w:val="15"/>
              </w:rPr>
              <w:t>All data used to generate the figures are provided with the article as supplemental/source-data tables. The metabolomics dataset analyzed here was previously published and is publicly available (Methods – Metabolite Extraction and LCMS Measurements; refs. 27 and 31).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Code availability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Provide access details for code/software essential to reproduce the main findings; newly generated code should be deposited where possible.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sz w:val="15"/>
              </w:rPr>
              <w:t>No newly generated custom analysis code is described. Analyses used published/commercial software: Sable Systems MAVEn Controller; GraphPad Prism 10 (RRID:SCR_002798); Nitecap with RAIN and JTK_CYCLE (Brooks et al., 2022; Thaben and Westermark, 2014; Hughes et al., 2010); and MetaboAnalyst 5.0 (RRID:SCR_015539).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5"/>
              </w:rPr>
              <w:t>N/A</w:t>
            </w:r>
          </w:p>
        </w:tc>
      </w:tr>
      <w:tr>
        <w:trPr>
          <w:cantSplit/>
        </w:trPr>
        <w:tc>
          <w:tcPr>
            <w:tcW w:type="dxa" w:w="10656"/>
            <w:gridSpan w:val="4"/>
            <w:shd w:fill="E2F0D9"/>
          </w:tcPr>
          <w:p>
            <w:r>
              <w:rPr>
                <w:rFonts w:ascii="Arial" w:hAnsi="Arial"/>
                <w:b/>
                <w:sz w:val="15"/>
              </w:rPr>
              <w:t>Reporting:</w:t>
            </w:r>
          </w:p>
        </w:tc>
      </w:tr>
      <w:tr>
        <w:trPr>
          <w:cantSplit/>
        </w:trPr>
        <w:tc>
          <w:tcPr>
            <w:tcW w:type="dxa" w:w="1800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Adherence to community standards</w:t>
            </w:r>
          </w:p>
        </w:tc>
        <w:tc>
          <w:tcPr>
            <w:tcW w:type="dxa" w:w="3384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State whether relevant reporting standards/guidelines (e.g., ARRIVE, STRANGE or other discipline-specific guidance) were followed and whether a checklist is supplied.</w:t>
            </w:r>
          </w:p>
        </w:tc>
        <w:tc>
          <w:tcPr>
            <w:tcW w:type="dxa" w:w="45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sz w:val="15"/>
              </w:rPr>
              <w:t>This MDAR checklist is supplied with the submission. The manuscript reports species, strain, sex, age, lighting/entrainment, temperature, diet, experimental unit, sample size, and the limitation of using males only (Methods; Discussion). No additional reporting checklist is cited.</w:t>
            </w:r>
          </w:p>
        </w:tc>
        <w:tc>
          <w:tcPr>
            <w:tcW w:type="dxa" w:w="936"/>
            <w:vAlign w:val="top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</w:r>
          </w:p>
        </w:tc>
      </w:tr>
    </w:tbl>
    <w:p/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