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5" w:type="dxa"/>
        <w:tblLayout w:type="fixed"/>
        <w:tblLook w:val="04A0" w:firstRow="1" w:lastRow="0" w:firstColumn="1" w:lastColumn="0" w:noHBand="0" w:noVBand="1"/>
      </w:tblPr>
      <w:tblGrid>
        <w:gridCol w:w="445"/>
        <w:gridCol w:w="1350"/>
        <w:gridCol w:w="1461"/>
        <w:gridCol w:w="3489"/>
        <w:gridCol w:w="3330"/>
      </w:tblGrid>
      <w:tr w:rsidR="00F05AB0" w:rsidRPr="00444F99" w14:paraId="63719E86" w14:textId="77777777" w:rsidTr="00F05AB0">
        <w:tc>
          <w:tcPr>
            <w:tcW w:w="445" w:type="dxa"/>
          </w:tcPr>
          <w:p w14:paraId="7C33642E" w14:textId="77777777" w:rsidR="00F05AB0" w:rsidRPr="00444F99" w:rsidRDefault="00F05AB0" w:rsidP="00B25664">
            <w:pPr>
              <w:rPr>
                <w:rFonts w:ascii="Arial" w:hAnsi="Arial" w:cs="Arial"/>
                <w:sz w:val="18"/>
                <w:szCs w:val="18"/>
              </w:rPr>
            </w:pPr>
            <w:r w:rsidRPr="00444F99">
              <w:rPr>
                <w:rFonts w:ascii="Arial" w:hAnsi="Arial" w:cs="Arial"/>
                <w:sz w:val="18"/>
                <w:szCs w:val="18"/>
              </w:rPr>
              <w:t>#</w:t>
            </w:r>
          </w:p>
        </w:tc>
        <w:tc>
          <w:tcPr>
            <w:tcW w:w="1350" w:type="dxa"/>
          </w:tcPr>
          <w:p w14:paraId="5A972A4D" w14:textId="77777777" w:rsidR="00F05AB0" w:rsidRPr="00444F99" w:rsidRDefault="00F05AB0" w:rsidP="00B25664">
            <w:pPr>
              <w:rPr>
                <w:rFonts w:ascii="Arial" w:hAnsi="Arial" w:cs="Arial"/>
                <w:sz w:val="18"/>
                <w:szCs w:val="18"/>
              </w:rPr>
            </w:pPr>
            <w:r w:rsidRPr="00444F99">
              <w:rPr>
                <w:rFonts w:ascii="Arial" w:hAnsi="Arial" w:cs="Arial"/>
                <w:sz w:val="18"/>
                <w:szCs w:val="18"/>
              </w:rPr>
              <w:t>Factor</w:t>
            </w:r>
          </w:p>
        </w:tc>
        <w:tc>
          <w:tcPr>
            <w:tcW w:w="1461" w:type="dxa"/>
          </w:tcPr>
          <w:p w14:paraId="743EB3E5" w14:textId="77777777" w:rsidR="00F05AB0" w:rsidRPr="00444F99" w:rsidRDefault="00F05AB0" w:rsidP="00B25664">
            <w:pPr>
              <w:rPr>
                <w:rFonts w:ascii="Arial" w:hAnsi="Arial" w:cs="Arial"/>
                <w:sz w:val="18"/>
                <w:szCs w:val="18"/>
              </w:rPr>
            </w:pPr>
            <w:r w:rsidRPr="00444F99">
              <w:rPr>
                <w:rFonts w:ascii="Arial" w:hAnsi="Arial" w:cs="Arial"/>
                <w:sz w:val="18"/>
                <w:szCs w:val="18"/>
              </w:rPr>
              <w:t>Levels</w:t>
            </w:r>
          </w:p>
        </w:tc>
        <w:tc>
          <w:tcPr>
            <w:tcW w:w="3489" w:type="dxa"/>
          </w:tcPr>
          <w:p w14:paraId="248855EC" w14:textId="77777777" w:rsidR="00F05AB0" w:rsidRPr="00444F99" w:rsidRDefault="00F05AB0" w:rsidP="00B25664">
            <w:pPr>
              <w:rPr>
                <w:rFonts w:ascii="Arial" w:hAnsi="Arial" w:cs="Arial"/>
                <w:sz w:val="18"/>
                <w:szCs w:val="18"/>
              </w:rPr>
            </w:pPr>
            <w:r w:rsidRPr="00444F99">
              <w:rPr>
                <w:rFonts w:ascii="Arial" w:hAnsi="Arial" w:cs="Arial"/>
                <w:sz w:val="18"/>
                <w:szCs w:val="18"/>
              </w:rPr>
              <w:t>Description</w:t>
            </w:r>
          </w:p>
        </w:tc>
        <w:tc>
          <w:tcPr>
            <w:tcW w:w="3330" w:type="dxa"/>
          </w:tcPr>
          <w:p w14:paraId="1D5510C9" w14:textId="77777777" w:rsidR="00F05AB0" w:rsidRPr="00444F99" w:rsidRDefault="00F05AB0" w:rsidP="00B25664">
            <w:pPr>
              <w:rPr>
                <w:rFonts w:ascii="Arial" w:hAnsi="Arial" w:cs="Arial"/>
                <w:sz w:val="18"/>
                <w:szCs w:val="18"/>
              </w:rPr>
            </w:pPr>
            <w:r w:rsidRPr="00444F99">
              <w:rPr>
                <w:rFonts w:ascii="Arial" w:hAnsi="Arial" w:cs="Arial"/>
                <w:sz w:val="18"/>
                <w:szCs w:val="18"/>
              </w:rPr>
              <w:t>Rationale</w:t>
            </w:r>
          </w:p>
        </w:tc>
      </w:tr>
      <w:tr w:rsidR="00F05AB0" w:rsidRPr="00444F99" w14:paraId="5AA24E76" w14:textId="77777777" w:rsidTr="00F05AB0">
        <w:tc>
          <w:tcPr>
            <w:tcW w:w="445" w:type="dxa"/>
            <w:vMerge w:val="restart"/>
          </w:tcPr>
          <w:p w14:paraId="18DB5AAA" w14:textId="77777777" w:rsidR="00F05AB0" w:rsidRPr="00444F99" w:rsidRDefault="00F05AB0" w:rsidP="00B25664">
            <w:pPr>
              <w:rPr>
                <w:rFonts w:ascii="Arial" w:hAnsi="Arial" w:cs="Arial"/>
                <w:sz w:val="18"/>
                <w:szCs w:val="18"/>
              </w:rPr>
            </w:pPr>
            <w:r w:rsidRPr="00444F99">
              <w:rPr>
                <w:rFonts w:ascii="Arial" w:hAnsi="Arial" w:cs="Arial"/>
                <w:sz w:val="18"/>
                <w:szCs w:val="18"/>
              </w:rPr>
              <w:t>1</w:t>
            </w:r>
          </w:p>
        </w:tc>
        <w:tc>
          <w:tcPr>
            <w:tcW w:w="1350" w:type="dxa"/>
            <w:vMerge w:val="restart"/>
          </w:tcPr>
          <w:p w14:paraId="3231F962" w14:textId="77777777" w:rsidR="00F05AB0" w:rsidRPr="00444F99" w:rsidRDefault="00F05AB0" w:rsidP="00B25664">
            <w:pPr>
              <w:rPr>
                <w:rFonts w:ascii="Arial" w:hAnsi="Arial" w:cs="Arial"/>
                <w:sz w:val="18"/>
                <w:szCs w:val="18"/>
              </w:rPr>
            </w:pPr>
            <w:r w:rsidRPr="00444F99">
              <w:rPr>
                <w:rFonts w:ascii="Arial" w:hAnsi="Arial" w:cs="Arial"/>
                <w:sz w:val="18"/>
                <w:szCs w:val="18"/>
              </w:rPr>
              <w:t>Task</w:t>
            </w:r>
          </w:p>
        </w:tc>
        <w:tc>
          <w:tcPr>
            <w:tcW w:w="1461" w:type="dxa"/>
          </w:tcPr>
          <w:p w14:paraId="42390556" w14:textId="77777777" w:rsidR="00F05AB0" w:rsidRPr="00444F99" w:rsidRDefault="00F05AB0" w:rsidP="00B25664">
            <w:pPr>
              <w:rPr>
                <w:rFonts w:ascii="Arial" w:hAnsi="Arial" w:cs="Arial"/>
                <w:sz w:val="18"/>
                <w:szCs w:val="18"/>
              </w:rPr>
            </w:pPr>
            <w:r w:rsidRPr="00444F99">
              <w:rPr>
                <w:rFonts w:ascii="Arial" w:hAnsi="Arial" w:cs="Arial"/>
                <w:sz w:val="18"/>
                <w:szCs w:val="18"/>
              </w:rPr>
              <w:t>Recognition</w:t>
            </w:r>
          </w:p>
        </w:tc>
        <w:tc>
          <w:tcPr>
            <w:tcW w:w="3489" w:type="dxa"/>
          </w:tcPr>
          <w:p w14:paraId="208E7AD4" w14:textId="77777777" w:rsidR="00F05AB0" w:rsidRPr="00444F99" w:rsidRDefault="00F05AB0" w:rsidP="00B25664">
            <w:pPr>
              <w:rPr>
                <w:rFonts w:ascii="Arial" w:hAnsi="Arial" w:cs="Arial"/>
                <w:sz w:val="18"/>
                <w:szCs w:val="18"/>
              </w:rPr>
            </w:pPr>
            <w:r w:rsidRPr="00444F99">
              <w:rPr>
                <w:rFonts w:ascii="Arial" w:hAnsi="Arial" w:cs="Arial"/>
                <w:sz w:val="18"/>
                <w:szCs w:val="18"/>
              </w:rPr>
              <w:t>Episodic memory tests using recognition formats; i.e., memoranda are repeated from study to test and subjects make old/new discrimination judgments</w:t>
            </w:r>
          </w:p>
        </w:tc>
        <w:tc>
          <w:tcPr>
            <w:tcW w:w="3330" w:type="dxa"/>
            <w:vMerge w:val="restart"/>
          </w:tcPr>
          <w:p w14:paraId="150ACE8A" w14:textId="77777777" w:rsidR="00F05AB0" w:rsidRPr="00444F99" w:rsidRDefault="00F05AB0" w:rsidP="00B25664">
            <w:pPr>
              <w:rPr>
                <w:rFonts w:ascii="Arial" w:hAnsi="Arial" w:cs="Arial"/>
                <w:sz w:val="18"/>
                <w:szCs w:val="18"/>
              </w:rPr>
            </w:pPr>
            <w:r w:rsidRPr="00444F99">
              <w:rPr>
                <w:rFonts w:ascii="Arial" w:hAnsi="Arial" w:cs="Arial"/>
                <w:sz w:val="18"/>
                <w:szCs w:val="18"/>
              </w:rPr>
              <w:t>Recollection is thought by many to be more heavily dependent on hippocampus and its network than familiarity, which differentially contribute to tasks using recollection and recognition formats. While Recollection tasks could have been sensitive to many types of memory processing, including familiarity, at least one aspect of performance depended on recollection. Performance of tasks with other formats could be supported by an unknown mix of recollection, familiarity, or other processes.</w:t>
            </w:r>
          </w:p>
        </w:tc>
      </w:tr>
      <w:tr w:rsidR="00F05AB0" w:rsidRPr="00444F99" w14:paraId="2A9E2597" w14:textId="77777777" w:rsidTr="00F05AB0">
        <w:tc>
          <w:tcPr>
            <w:tcW w:w="445" w:type="dxa"/>
            <w:vMerge/>
          </w:tcPr>
          <w:p w14:paraId="1FA8E5E7" w14:textId="77777777" w:rsidR="00F05AB0" w:rsidRPr="00444F99" w:rsidRDefault="00F05AB0" w:rsidP="00B25664">
            <w:pPr>
              <w:rPr>
                <w:rFonts w:ascii="Arial" w:hAnsi="Arial" w:cs="Arial"/>
                <w:sz w:val="18"/>
                <w:szCs w:val="18"/>
              </w:rPr>
            </w:pPr>
          </w:p>
        </w:tc>
        <w:tc>
          <w:tcPr>
            <w:tcW w:w="1350" w:type="dxa"/>
            <w:vMerge/>
          </w:tcPr>
          <w:p w14:paraId="2D888B03" w14:textId="77777777" w:rsidR="00F05AB0" w:rsidRPr="00444F99" w:rsidRDefault="00F05AB0" w:rsidP="00B25664">
            <w:pPr>
              <w:rPr>
                <w:rFonts w:ascii="Arial" w:hAnsi="Arial" w:cs="Arial"/>
                <w:sz w:val="18"/>
                <w:szCs w:val="18"/>
              </w:rPr>
            </w:pPr>
          </w:p>
        </w:tc>
        <w:tc>
          <w:tcPr>
            <w:tcW w:w="1461" w:type="dxa"/>
          </w:tcPr>
          <w:p w14:paraId="6A49BF7D" w14:textId="77777777" w:rsidR="00F05AB0" w:rsidRPr="00444F99" w:rsidRDefault="00F05AB0" w:rsidP="00B25664">
            <w:pPr>
              <w:rPr>
                <w:rFonts w:ascii="Arial" w:hAnsi="Arial" w:cs="Arial"/>
                <w:sz w:val="18"/>
                <w:szCs w:val="18"/>
              </w:rPr>
            </w:pPr>
            <w:r w:rsidRPr="00444F99">
              <w:rPr>
                <w:rFonts w:ascii="Arial" w:hAnsi="Arial" w:cs="Arial"/>
                <w:sz w:val="18"/>
                <w:szCs w:val="18"/>
              </w:rPr>
              <w:t>Recollection</w:t>
            </w:r>
          </w:p>
        </w:tc>
        <w:tc>
          <w:tcPr>
            <w:tcW w:w="3489" w:type="dxa"/>
          </w:tcPr>
          <w:p w14:paraId="2A44109A" w14:textId="77777777" w:rsidR="00F05AB0" w:rsidRPr="00444F99" w:rsidRDefault="00F05AB0" w:rsidP="00B25664">
            <w:pPr>
              <w:rPr>
                <w:rFonts w:ascii="Arial" w:hAnsi="Arial" w:cs="Arial"/>
                <w:sz w:val="18"/>
                <w:szCs w:val="18"/>
              </w:rPr>
            </w:pPr>
            <w:r w:rsidRPr="00444F99">
              <w:rPr>
                <w:rFonts w:ascii="Arial" w:hAnsi="Arial" w:cs="Arial"/>
                <w:sz w:val="18"/>
                <w:szCs w:val="18"/>
              </w:rPr>
              <w:t>Episodic memory tests using recollection formats; i.e., free recall, cued recall, or self-reported recollection judgments for tasks using paired associates, item-context associates, or multi-part complex stimuli as memoranda</w:t>
            </w:r>
          </w:p>
        </w:tc>
        <w:tc>
          <w:tcPr>
            <w:tcW w:w="3330" w:type="dxa"/>
            <w:vMerge/>
          </w:tcPr>
          <w:p w14:paraId="103DB6E5" w14:textId="77777777" w:rsidR="00F05AB0" w:rsidRPr="00444F99" w:rsidRDefault="00F05AB0" w:rsidP="00B25664">
            <w:pPr>
              <w:rPr>
                <w:rFonts w:ascii="Arial" w:hAnsi="Arial" w:cs="Arial"/>
                <w:sz w:val="18"/>
                <w:szCs w:val="18"/>
              </w:rPr>
            </w:pPr>
          </w:p>
        </w:tc>
      </w:tr>
      <w:tr w:rsidR="00F05AB0" w:rsidRPr="00444F99" w14:paraId="586FA0F8" w14:textId="77777777" w:rsidTr="00F05AB0">
        <w:trPr>
          <w:trHeight w:val="1322"/>
        </w:trPr>
        <w:tc>
          <w:tcPr>
            <w:tcW w:w="445" w:type="dxa"/>
            <w:vMerge/>
          </w:tcPr>
          <w:p w14:paraId="1014E6C1" w14:textId="77777777" w:rsidR="00F05AB0" w:rsidRPr="00444F99" w:rsidRDefault="00F05AB0" w:rsidP="00B25664">
            <w:pPr>
              <w:rPr>
                <w:rFonts w:ascii="Arial" w:hAnsi="Arial" w:cs="Arial"/>
                <w:sz w:val="18"/>
                <w:szCs w:val="18"/>
              </w:rPr>
            </w:pPr>
          </w:p>
        </w:tc>
        <w:tc>
          <w:tcPr>
            <w:tcW w:w="1350" w:type="dxa"/>
            <w:vMerge/>
          </w:tcPr>
          <w:p w14:paraId="0CE525E0" w14:textId="77777777" w:rsidR="00F05AB0" w:rsidRPr="00444F99" w:rsidRDefault="00F05AB0" w:rsidP="00B25664">
            <w:pPr>
              <w:rPr>
                <w:rFonts w:ascii="Arial" w:hAnsi="Arial" w:cs="Arial"/>
                <w:sz w:val="18"/>
                <w:szCs w:val="18"/>
              </w:rPr>
            </w:pPr>
          </w:p>
        </w:tc>
        <w:tc>
          <w:tcPr>
            <w:tcW w:w="1461" w:type="dxa"/>
          </w:tcPr>
          <w:p w14:paraId="4DEAB8D9" w14:textId="77777777" w:rsidR="00F05AB0" w:rsidRPr="00444F99" w:rsidRDefault="00F05AB0" w:rsidP="00B25664">
            <w:pPr>
              <w:rPr>
                <w:rFonts w:ascii="Arial" w:hAnsi="Arial" w:cs="Arial"/>
                <w:sz w:val="18"/>
                <w:szCs w:val="18"/>
              </w:rPr>
            </w:pPr>
            <w:r w:rsidRPr="00444F99">
              <w:rPr>
                <w:rFonts w:ascii="Arial" w:hAnsi="Arial" w:cs="Arial"/>
                <w:sz w:val="18"/>
                <w:szCs w:val="18"/>
              </w:rPr>
              <w:t>Other</w:t>
            </w:r>
          </w:p>
        </w:tc>
        <w:tc>
          <w:tcPr>
            <w:tcW w:w="3489" w:type="dxa"/>
          </w:tcPr>
          <w:p w14:paraId="40C238B2" w14:textId="77777777" w:rsidR="00F05AB0" w:rsidRPr="00444F99" w:rsidRDefault="00F05AB0" w:rsidP="00B25664">
            <w:pPr>
              <w:rPr>
                <w:rFonts w:ascii="Arial" w:hAnsi="Arial" w:cs="Arial"/>
                <w:sz w:val="18"/>
                <w:szCs w:val="18"/>
              </w:rPr>
            </w:pPr>
            <w:r w:rsidRPr="00444F99">
              <w:rPr>
                <w:rFonts w:ascii="Arial" w:hAnsi="Arial" w:cs="Arial"/>
                <w:sz w:val="18"/>
                <w:szCs w:val="18"/>
              </w:rPr>
              <w:t>Episodic memory tests using other formats; i.e., temporal order judgments, recall of details from videos, scored visual reproduction, and tests that assess mnemonic pattern separation</w:t>
            </w:r>
          </w:p>
        </w:tc>
        <w:tc>
          <w:tcPr>
            <w:tcW w:w="3330" w:type="dxa"/>
            <w:vMerge/>
          </w:tcPr>
          <w:p w14:paraId="7605D2A9" w14:textId="77777777" w:rsidR="00F05AB0" w:rsidRPr="00444F99" w:rsidRDefault="00F05AB0" w:rsidP="00B25664">
            <w:pPr>
              <w:rPr>
                <w:rFonts w:ascii="Arial" w:hAnsi="Arial" w:cs="Arial"/>
                <w:sz w:val="18"/>
                <w:szCs w:val="18"/>
              </w:rPr>
            </w:pPr>
          </w:p>
        </w:tc>
      </w:tr>
      <w:tr w:rsidR="00F05AB0" w:rsidRPr="00444F99" w14:paraId="6DE88323" w14:textId="77777777" w:rsidTr="00F05AB0">
        <w:tc>
          <w:tcPr>
            <w:tcW w:w="445" w:type="dxa"/>
            <w:vMerge w:val="restart"/>
          </w:tcPr>
          <w:p w14:paraId="4D7F226F" w14:textId="77777777" w:rsidR="00F05AB0" w:rsidRPr="00444F99" w:rsidRDefault="00F05AB0" w:rsidP="00B25664">
            <w:pPr>
              <w:rPr>
                <w:rFonts w:ascii="Arial" w:hAnsi="Arial" w:cs="Arial"/>
                <w:sz w:val="18"/>
                <w:szCs w:val="18"/>
              </w:rPr>
            </w:pPr>
            <w:r w:rsidRPr="00444F99">
              <w:rPr>
                <w:rFonts w:ascii="Arial" w:hAnsi="Arial" w:cs="Arial"/>
                <w:sz w:val="18"/>
                <w:szCs w:val="18"/>
              </w:rPr>
              <w:t>2</w:t>
            </w:r>
          </w:p>
        </w:tc>
        <w:tc>
          <w:tcPr>
            <w:tcW w:w="1350" w:type="dxa"/>
            <w:vMerge w:val="restart"/>
          </w:tcPr>
          <w:p w14:paraId="2158DC16" w14:textId="77777777" w:rsidR="00F05AB0" w:rsidRPr="00444F99" w:rsidRDefault="00F05AB0" w:rsidP="00B25664">
            <w:pPr>
              <w:rPr>
                <w:rFonts w:ascii="Arial" w:hAnsi="Arial" w:cs="Arial"/>
                <w:sz w:val="18"/>
                <w:szCs w:val="18"/>
              </w:rPr>
            </w:pPr>
            <w:r w:rsidRPr="00444F99">
              <w:rPr>
                <w:rFonts w:ascii="Arial" w:hAnsi="Arial" w:cs="Arial"/>
                <w:sz w:val="18"/>
                <w:szCs w:val="18"/>
              </w:rPr>
              <w:t xml:space="preserve">Targeting </w:t>
            </w:r>
          </w:p>
        </w:tc>
        <w:tc>
          <w:tcPr>
            <w:tcW w:w="1461" w:type="dxa"/>
          </w:tcPr>
          <w:p w14:paraId="68FFF0B6" w14:textId="77777777" w:rsidR="00F05AB0" w:rsidRPr="00444F99" w:rsidRDefault="00F05AB0" w:rsidP="00B25664">
            <w:pPr>
              <w:rPr>
                <w:rFonts w:ascii="Arial" w:hAnsi="Arial" w:cs="Arial"/>
                <w:sz w:val="18"/>
                <w:szCs w:val="18"/>
              </w:rPr>
            </w:pPr>
            <w:r w:rsidRPr="00444F99">
              <w:rPr>
                <w:rFonts w:ascii="Arial" w:hAnsi="Arial" w:cs="Arial"/>
                <w:sz w:val="18"/>
                <w:szCs w:val="18"/>
              </w:rPr>
              <w:t>Individual</w:t>
            </w:r>
          </w:p>
        </w:tc>
        <w:tc>
          <w:tcPr>
            <w:tcW w:w="3489" w:type="dxa"/>
          </w:tcPr>
          <w:p w14:paraId="3DC26337" w14:textId="77777777" w:rsidR="00F05AB0" w:rsidRPr="00444F99" w:rsidRDefault="00F05AB0" w:rsidP="00B25664">
            <w:pPr>
              <w:rPr>
                <w:rFonts w:ascii="Arial" w:hAnsi="Arial" w:cs="Arial"/>
                <w:sz w:val="18"/>
                <w:szCs w:val="18"/>
              </w:rPr>
            </w:pPr>
            <w:r w:rsidRPr="00444F99">
              <w:rPr>
                <w:rFonts w:ascii="Arial" w:hAnsi="Arial" w:cs="Arial"/>
                <w:sz w:val="18"/>
                <w:szCs w:val="18"/>
              </w:rPr>
              <w:t>The location where TMS was applied was determined by subject-specific analysis of functional or structural MRI connectivity of hippocampus; i.e., a location of parietal/occipital neocortex was targeted based on a maximal connectivity value with hippocampus defined in each subject.</w:t>
            </w:r>
          </w:p>
        </w:tc>
        <w:tc>
          <w:tcPr>
            <w:tcW w:w="3330" w:type="dxa"/>
            <w:vMerge w:val="restart"/>
          </w:tcPr>
          <w:p w14:paraId="6564FA70" w14:textId="77777777" w:rsidR="00F05AB0" w:rsidRPr="00444F99" w:rsidRDefault="00F05AB0" w:rsidP="00B25664">
            <w:pPr>
              <w:rPr>
                <w:rFonts w:ascii="Arial" w:hAnsi="Arial" w:cs="Arial"/>
                <w:sz w:val="18"/>
                <w:szCs w:val="18"/>
              </w:rPr>
            </w:pPr>
            <w:r w:rsidRPr="00444F99">
              <w:rPr>
                <w:rFonts w:ascii="Arial" w:hAnsi="Arial" w:cs="Arial"/>
                <w:sz w:val="18"/>
                <w:szCs w:val="18"/>
              </w:rPr>
              <w:t>Individualized targeting has been used in many studies based on the assumption that network structure varies across people and that indirect influences of stimulation on the hippocampus are transsynaptic and predicted by connectivity. Group targeting assumes that there is sufficient homogeneity across subjects to reliably affect networks, or was based on hypotheses about specific parietal areas that happen to be among hippocampal network areas typically targeted using individualized targeting approaches.</w:t>
            </w:r>
          </w:p>
        </w:tc>
      </w:tr>
      <w:tr w:rsidR="00F05AB0" w:rsidRPr="00444F99" w14:paraId="2BC92ECA" w14:textId="77777777" w:rsidTr="00F05AB0">
        <w:tc>
          <w:tcPr>
            <w:tcW w:w="445" w:type="dxa"/>
            <w:vMerge/>
          </w:tcPr>
          <w:p w14:paraId="0BFBB780" w14:textId="77777777" w:rsidR="00F05AB0" w:rsidRPr="00444F99" w:rsidRDefault="00F05AB0" w:rsidP="00B25664">
            <w:pPr>
              <w:rPr>
                <w:rFonts w:ascii="Arial" w:hAnsi="Arial" w:cs="Arial"/>
                <w:sz w:val="18"/>
                <w:szCs w:val="18"/>
              </w:rPr>
            </w:pPr>
          </w:p>
        </w:tc>
        <w:tc>
          <w:tcPr>
            <w:tcW w:w="1350" w:type="dxa"/>
            <w:vMerge/>
          </w:tcPr>
          <w:p w14:paraId="52BB5EA0" w14:textId="77777777" w:rsidR="00F05AB0" w:rsidRPr="00444F99" w:rsidRDefault="00F05AB0" w:rsidP="00B25664">
            <w:pPr>
              <w:rPr>
                <w:rFonts w:ascii="Arial" w:hAnsi="Arial" w:cs="Arial"/>
                <w:sz w:val="18"/>
                <w:szCs w:val="18"/>
              </w:rPr>
            </w:pPr>
          </w:p>
        </w:tc>
        <w:tc>
          <w:tcPr>
            <w:tcW w:w="1461" w:type="dxa"/>
          </w:tcPr>
          <w:p w14:paraId="7929F1A5" w14:textId="77777777" w:rsidR="00F05AB0" w:rsidRPr="00444F99" w:rsidRDefault="00F05AB0" w:rsidP="00B25664">
            <w:pPr>
              <w:rPr>
                <w:rFonts w:ascii="Arial" w:hAnsi="Arial" w:cs="Arial"/>
                <w:sz w:val="18"/>
                <w:szCs w:val="18"/>
              </w:rPr>
            </w:pPr>
            <w:r w:rsidRPr="00444F99">
              <w:rPr>
                <w:rFonts w:ascii="Arial" w:hAnsi="Arial" w:cs="Arial"/>
                <w:sz w:val="18"/>
                <w:szCs w:val="18"/>
              </w:rPr>
              <w:t>Group/atlas</w:t>
            </w:r>
          </w:p>
        </w:tc>
        <w:tc>
          <w:tcPr>
            <w:tcW w:w="3489" w:type="dxa"/>
          </w:tcPr>
          <w:p w14:paraId="592838C2" w14:textId="77777777" w:rsidR="00F05AB0" w:rsidRPr="00444F99" w:rsidRDefault="00F05AB0" w:rsidP="00B25664">
            <w:pPr>
              <w:rPr>
                <w:rFonts w:ascii="Arial" w:hAnsi="Arial" w:cs="Arial"/>
                <w:sz w:val="18"/>
                <w:szCs w:val="18"/>
              </w:rPr>
            </w:pPr>
            <w:r w:rsidRPr="00444F99">
              <w:rPr>
                <w:rFonts w:ascii="Arial" w:hAnsi="Arial" w:cs="Arial"/>
                <w:sz w:val="18"/>
                <w:szCs w:val="18"/>
              </w:rPr>
              <w:t>TMS was applied to approximately the same target in each subject, based on functional or structural MRI connectivity in a group/atlas or based on a specific hypothesis about the function of a specific location.</w:t>
            </w:r>
          </w:p>
        </w:tc>
        <w:tc>
          <w:tcPr>
            <w:tcW w:w="3330" w:type="dxa"/>
            <w:vMerge/>
          </w:tcPr>
          <w:p w14:paraId="77164104" w14:textId="77777777" w:rsidR="00F05AB0" w:rsidRPr="00444F99" w:rsidRDefault="00F05AB0" w:rsidP="00B25664">
            <w:pPr>
              <w:rPr>
                <w:rFonts w:ascii="Arial" w:hAnsi="Arial" w:cs="Arial"/>
                <w:sz w:val="18"/>
                <w:szCs w:val="18"/>
              </w:rPr>
            </w:pPr>
          </w:p>
        </w:tc>
      </w:tr>
      <w:tr w:rsidR="00F05AB0" w:rsidRPr="00444F99" w14:paraId="4973943F" w14:textId="77777777" w:rsidTr="00F05AB0">
        <w:tc>
          <w:tcPr>
            <w:tcW w:w="445" w:type="dxa"/>
            <w:vMerge w:val="restart"/>
          </w:tcPr>
          <w:p w14:paraId="6014CA6E" w14:textId="77777777" w:rsidR="00F05AB0" w:rsidRPr="00444F99" w:rsidRDefault="00F05AB0" w:rsidP="00B25664">
            <w:pPr>
              <w:rPr>
                <w:rFonts w:ascii="Arial" w:hAnsi="Arial" w:cs="Arial"/>
                <w:sz w:val="18"/>
                <w:szCs w:val="18"/>
              </w:rPr>
            </w:pPr>
            <w:r w:rsidRPr="00444F99">
              <w:rPr>
                <w:rFonts w:ascii="Arial" w:hAnsi="Arial" w:cs="Arial"/>
                <w:sz w:val="18"/>
                <w:szCs w:val="18"/>
              </w:rPr>
              <w:t>3</w:t>
            </w:r>
          </w:p>
        </w:tc>
        <w:tc>
          <w:tcPr>
            <w:tcW w:w="1350" w:type="dxa"/>
            <w:vMerge w:val="restart"/>
          </w:tcPr>
          <w:p w14:paraId="18A6D001" w14:textId="77777777" w:rsidR="00F05AB0" w:rsidRPr="00444F99" w:rsidRDefault="00F05AB0" w:rsidP="00B25664">
            <w:pPr>
              <w:rPr>
                <w:rFonts w:ascii="Arial" w:hAnsi="Arial" w:cs="Arial"/>
                <w:sz w:val="18"/>
                <w:szCs w:val="18"/>
              </w:rPr>
            </w:pPr>
            <w:r w:rsidRPr="00444F99">
              <w:rPr>
                <w:rFonts w:ascii="Arial" w:hAnsi="Arial" w:cs="Arial"/>
                <w:sz w:val="18"/>
                <w:szCs w:val="18"/>
              </w:rPr>
              <w:t>HITS Timing</w:t>
            </w:r>
          </w:p>
        </w:tc>
        <w:tc>
          <w:tcPr>
            <w:tcW w:w="1461" w:type="dxa"/>
          </w:tcPr>
          <w:p w14:paraId="52867B5F" w14:textId="77777777" w:rsidR="00F05AB0" w:rsidRPr="00444F99" w:rsidRDefault="00F05AB0" w:rsidP="00B25664">
            <w:pPr>
              <w:rPr>
                <w:rFonts w:ascii="Arial" w:hAnsi="Arial" w:cs="Arial"/>
                <w:sz w:val="18"/>
                <w:szCs w:val="18"/>
              </w:rPr>
            </w:pPr>
            <w:r w:rsidRPr="00444F99">
              <w:rPr>
                <w:rFonts w:ascii="Arial" w:hAnsi="Arial" w:cs="Arial"/>
                <w:sz w:val="18"/>
                <w:szCs w:val="18"/>
              </w:rPr>
              <w:t>Pre-</w:t>
            </w:r>
            <w:r>
              <w:rPr>
                <w:rFonts w:ascii="Arial" w:hAnsi="Arial" w:cs="Arial"/>
                <w:sz w:val="18"/>
                <w:szCs w:val="18"/>
              </w:rPr>
              <w:t>task</w:t>
            </w:r>
          </w:p>
        </w:tc>
        <w:tc>
          <w:tcPr>
            <w:tcW w:w="3489" w:type="dxa"/>
          </w:tcPr>
          <w:p w14:paraId="0C37D085" w14:textId="77777777" w:rsidR="00F05AB0" w:rsidRPr="00444F99" w:rsidRDefault="00F05AB0" w:rsidP="00B25664">
            <w:pPr>
              <w:rPr>
                <w:rFonts w:ascii="Arial" w:hAnsi="Arial" w:cs="Arial"/>
                <w:sz w:val="18"/>
                <w:szCs w:val="18"/>
              </w:rPr>
            </w:pPr>
            <w:r w:rsidRPr="00444F99">
              <w:rPr>
                <w:rFonts w:ascii="Arial" w:hAnsi="Arial" w:cs="Arial"/>
                <w:sz w:val="18"/>
                <w:szCs w:val="18"/>
              </w:rPr>
              <w:t>TMS was delivered sometime before the period of memory encoding, ranging from application during the several seconds before individual memoranda were studied, in the minutes to hours before an encoding block was administered, to for many sessions over several days or weeks before the encoding phase of the memory task was completed.</w:t>
            </w:r>
          </w:p>
        </w:tc>
        <w:tc>
          <w:tcPr>
            <w:tcW w:w="3330" w:type="dxa"/>
            <w:vMerge w:val="restart"/>
          </w:tcPr>
          <w:p w14:paraId="54472C19" w14:textId="77777777" w:rsidR="00F05AB0" w:rsidRPr="00444F99" w:rsidRDefault="00F05AB0" w:rsidP="00B25664">
            <w:pPr>
              <w:rPr>
                <w:rFonts w:ascii="Arial" w:hAnsi="Arial" w:cs="Arial"/>
                <w:sz w:val="18"/>
                <w:szCs w:val="18"/>
              </w:rPr>
            </w:pPr>
            <w:r w:rsidRPr="00444F99">
              <w:rPr>
                <w:rFonts w:ascii="Arial" w:hAnsi="Arial" w:cs="Arial"/>
                <w:sz w:val="18"/>
                <w:szCs w:val="18"/>
              </w:rPr>
              <w:t>This is a post hoc factor. Most studies used the "before" design whereas some used the "after" design. Hippocampal involvement in memory could differ for encoding versus retrieval</w:t>
            </w:r>
            <w:r>
              <w:rPr>
                <w:rFonts w:ascii="Arial" w:hAnsi="Arial" w:cs="Arial"/>
                <w:sz w:val="18"/>
                <w:szCs w:val="18"/>
              </w:rPr>
              <w:t xml:space="preserve">, although an important caveat is that the </w:t>
            </w:r>
            <w:proofErr w:type="spellStart"/>
            <w:r>
              <w:rPr>
                <w:rFonts w:ascii="Arial" w:hAnsi="Arial" w:cs="Arial"/>
                <w:sz w:val="18"/>
                <w:szCs w:val="18"/>
              </w:rPr>
              <w:t>timecourse</w:t>
            </w:r>
            <w:proofErr w:type="spellEnd"/>
            <w:r>
              <w:rPr>
                <w:rFonts w:ascii="Arial" w:hAnsi="Arial" w:cs="Arial"/>
                <w:sz w:val="18"/>
                <w:szCs w:val="18"/>
              </w:rPr>
              <w:t xml:space="preserve"> of stimulation effects on brain activity and memory is not known, and so claims of temporal specificity cannot be assessed.</w:t>
            </w:r>
          </w:p>
        </w:tc>
      </w:tr>
      <w:tr w:rsidR="00F05AB0" w:rsidRPr="00444F99" w14:paraId="5BFD91E7" w14:textId="77777777" w:rsidTr="00F05AB0">
        <w:trPr>
          <w:trHeight w:val="77"/>
        </w:trPr>
        <w:tc>
          <w:tcPr>
            <w:tcW w:w="445" w:type="dxa"/>
            <w:vMerge/>
          </w:tcPr>
          <w:p w14:paraId="720B1491" w14:textId="77777777" w:rsidR="00F05AB0" w:rsidRPr="00444F99" w:rsidRDefault="00F05AB0" w:rsidP="00B25664">
            <w:pPr>
              <w:rPr>
                <w:rFonts w:ascii="Arial" w:hAnsi="Arial" w:cs="Arial"/>
                <w:sz w:val="18"/>
                <w:szCs w:val="18"/>
              </w:rPr>
            </w:pPr>
          </w:p>
        </w:tc>
        <w:tc>
          <w:tcPr>
            <w:tcW w:w="1350" w:type="dxa"/>
            <w:vMerge/>
          </w:tcPr>
          <w:p w14:paraId="2E20FD28" w14:textId="77777777" w:rsidR="00F05AB0" w:rsidRPr="00444F99" w:rsidRDefault="00F05AB0" w:rsidP="00B25664">
            <w:pPr>
              <w:rPr>
                <w:rFonts w:ascii="Arial" w:hAnsi="Arial" w:cs="Arial"/>
                <w:sz w:val="18"/>
                <w:szCs w:val="18"/>
              </w:rPr>
            </w:pPr>
          </w:p>
        </w:tc>
        <w:tc>
          <w:tcPr>
            <w:tcW w:w="1461" w:type="dxa"/>
          </w:tcPr>
          <w:p w14:paraId="429CB263" w14:textId="77777777" w:rsidR="00F05AB0" w:rsidRPr="00444F99" w:rsidRDefault="00F05AB0" w:rsidP="00B25664">
            <w:pPr>
              <w:rPr>
                <w:rFonts w:ascii="Arial" w:hAnsi="Arial" w:cs="Arial"/>
                <w:sz w:val="18"/>
                <w:szCs w:val="18"/>
              </w:rPr>
            </w:pPr>
            <w:r w:rsidRPr="00444F99">
              <w:rPr>
                <w:rFonts w:ascii="Arial" w:hAnsi="Arial" w:cs="Arial"/>
                <w:sz w:val="18"/>
                <w:szCs w:val="18"/>
              </w:rPr>
              <w:t>Post-encoding</w:t>
            </w:r>
          </w:p>
        </w:tc>
        <w:tc>
          <w:tcPr>
            <w:tcW w:w="3489" w:type="dxa"/>
          </w:tcPr>
          <w:p w14:paraId="1074450D" w14:textId="77777777" w:rsidR="00F05AB0" w:rsidRPr="00444F99" w:rsidRDefault="00F05AB0" w:rsidP="00B25664">
            <w:pPr>
              <w:rPr>
                <w:rFonts w:ascii="Arial" w:hAnsi="Arial" w:cs="Arial"/>
                <w:sz w:val="18"/>
                <w:szCs w:val="18"/>
              </w:rPr>
            </w:pPr>
            <w:r w:rsidRPr="00444F99">
              <w:rPr>
                <w:rFonts w:ascii="Arial" w:hAnsi="Arial" w:cs="Arial"/>
                <w:sz w:val="18"/>
                <w:szCs w:val="18"/>
              </w:rPr>
              <w:t>All of these experiments applied a single session of stimulation after a block of encoding and before the corresponding memory test was given minutes to tens of minutes later.</w:t>
            </w:r>
          </w:p>
        </w:tc>
        <w:tc>
          <w:tcPr>
            <w:tcW w:w="3330" w:type="dxa"/>
            <w:vMerge/>
          </w:tcPr>
          <w:p w14:paraId="5789C954" w14:textId="77777777" w:rsidR="00F05AB0" w:rsidRPr="00444F99" w:rsidRDefault="00F05AB0" w:rsidP="00B25664">
            <w:pPr>
              <w:rPr>
                <w:rFonts w:ascii="Arial" w:hAnsi="Arial" w:cs="Arial"/>
                <w:sz w:val="18"/>
                <w:szCs w:val="18"/>
              </w:rPr>
            </w:pPr>
          </w:p>
        </w:tc>
      </w:tr>
      <w:tr w:rsidR="00F05AB0" w:rsidRPr="00444F99" w14:paraId="4116690E" w14:textId="77777777" w:rsidTr="00F05AB0">
        <w:tc>
          <w:tcPr>
            <w:tcW w:w="445" w:type="dxa"/>
            <w:vMerge w:val="restart"/>
          </w:tcPr>
          <w:p w14:paraId="29D32475" w14:textId="77777777" w:rsidR="00F05AB0" w:rsidRPr="00444F99" w:rsidRDefault="00F05AB0" w:rsidP="00B25664">
            <w:pPr>
              <w:rPr>
                <w:rFonts w:ascii="Arial" w:hAnsi="Arial" w:cs="Arial"/>
                <w:sz w:val="18"/>
                <w:szCs w:val="18"/>
              </w:rPr>
            </w:pPr>
            <w:r w:rsidRPr="00444F99">
              <w:rPr>
                <w:rFonts w:ascii="Arial" w:hAnsi="Arial" w:cs="Arial"/>
                <w:sz w:val="18"/>
                <w:szCs w:val="18"/>
              </w:rPr>
              <w:t>4</w:t>
            </w:r>
          </w:p>
        </w:tc>
        <w:tc>
          <w:tcPr>
            <w:tcW w:w="1350" w:type="dxa"/>
            <w:vMerge w:val="restart"/>
          </w:tcPr>
          <w:p w14:paraId="242A78AB" w14:textId="77777777" w:rsidR="00F05AB0" w:rsidRPr="00444F99" w:rsidRDefault="00F05AB0" w:rsidP="00B25664">
            <w:pPr>
              <w:rPr>
                <w:rFonts w:ascii="Arial" w:hAnsi="Arial" w:cs="Arial"/>
                <w:sz w:val="18"/>
                <w:szCs w:val="18"/>
              </w:rPr>
            </w:pPr>
            <w:r w:rsidRPr="00444F99">
              <w:rPr>
                <w:rFonts w:ascii="Arial" w:hAnsi="Arial" w:cs="Arial"/>
                <w:sz w:val="18"/>
                <w:szCs w:val="18"/>
              </w:rPr>
              <w:t>Population</w:t>
            </w:r>
          </w:p>
        </w:tc>
        <w:tc>
          <w:tcPr>
            <w:tcW w:w="1461" w:type="dxa"/>
          </w:tcPr>
          <w:p w14:paraId="0C63FBA3" w14:textId="77777777" w:rsidR="00F05AB0" w:rsidRPr="00444F99" w:rsidRDefault="00F05AB0" w:rsidP="00B25664">
            <w:pPr>
              <w:rPr>
                <w:rFonts w:ascii="Arial" w:hAnsi="Arial" w:cs="Arial"/>
                <w:sz w:val="18"/>
                <w:szCs w:val="18"/>
              </w:rPr>
            </w:pPr>
            <w:r w:rsidRPr="00444F99">
              <w:rPr>
                <w:rFonts w:ascii="Arial" w:hAnsi="Arial" w:cs="Arial"/>
                <w:sz w:val="18"/>
                <w:szCs w:val="18"/>
              </w:rPr>
              <w:t>Younger adult</w:t>
            </w:r>
          </w:p>
        </w:tc>
        <w:tc>
          <w:tcPr>
            <w:tcW w:w="3489" w:type="dxa"/>
          </w:tcPr>
          <w:p w14:paraId="72B94293" w14:textId="77777777" w:rsidR="00F05AB0" w:rsidRPr="00444F99" w:rsidRDefault="00F05AB0" w:rsidP="00B25664">
            <w:pPr>
              <w:rPr>
                <w:rFonts w:ascii="Arial" w:hAnsi="Arial" w:cs="Arial"/>
                <w:sz w:val="18"/>
                <w:szCs w:val="18"/>
              </w:rPr>
            </w:pPr>
            <w:r w:rsidRPr="00444F99">
              <w:rPr>
                <w:rFonts w:ascii="Arial" w:hAnsi="Arial" w:cs="Arial"/>
                <w:sz w:val="18"/>
                <w:szCs w:val="18"/>
              </w:rPr>
              <w:t>Young adults</w:t>
            </w:r>
            <w:r>
              <w:rPr>
                <w:rFonts w:ascii="Arial" w:hAnsi="Arial" w:cs="Arial"/>
                <w:sz w:val="18"/>
                <w:szCs w:val="18"/>
              </w:rPr>
              <w:t xml:space="preserve"> with no reported neurologic or psychiatric disorders</w:t>
            </w:r>
            <w:r w:rsidRPr="00444F99">
              <w:rPr>
                <w:rFonts w:ascii="Arial" w:hAnsi="Arial" w:cs="Arial"/>
                <w:sz w:val="18"/>
                <w:szCs w:val="18"/>
              </w:rPr>
              <w:t xml:space="preserve"> were participants (&lt;45 years old).</w:t>
            </w:r>
          </w:p>
        </w:tc>
        <w:tc>
          <w:tcPr>
            <w:tcW w:w="3330" w:type="dxa"/>
            <w:vMerge w:val="restart"/>
          </w:tcPr>
          <w:p w14:paraId="483C019B" w14:textId="77777777" w:rsidR="00F05AB0" w:rsidRPr="00444F99" w:rsidRDefault="00F05AB0" w:rsidP="00B25664">
            <w:pPr>
              <w:rPr>
                <w:rFonts w:ascii="Arial" w:hAnsi="Arial" w:cs="Arial"/>
                <w:sz w:val="18"/>
                <w:szCs w:val="18"/>
              </w:rPr>
            </w:pPr>
            <w:r w:rsidRPr="00444F99">
              <w:rPr>
                <w:rFonts w:ascii="Arial" w:hAnsi="Arial" w:cs="Arial"/>
                <w:sz w:val="18"/>
                <w:szCs w:val="18"/>
              </w:rPr>
              <w:t xml:space="preserve">Populations with age-related memory decline (older adult) or with clinical memory impairments (MCI/AD and potentially Other) could present more opportunity for stimulation to improve memory. Alternatively, network disruptions frequently observed in </w:t>
            </w:r>
            <w:r w:rsidRPr="00444F99">
              <w:rPr>
                <w:rFonts w:ascii="Arial" w:hAnsi="Arial" w:cs="Arial"/>
                <w:sz w:val="18"/>
                <w:szCs w:val="18"/>
              </w:rPr>
              <w:lastRenderedPageBreak/>
              <w:t>memory disorders could reduce the ability for TMS to indirectly influence hippocampus due to reduced possibility of transsynaptic influence. Thus, the a priori hypotheses are that effects will differ among populations.</w:t>
            </w:r>
          </w:p>
        </w:tc>
      </w:tr>
      <w:tr w:rsidR="00F05AB0" w:rsidRPr="00444F99" w14:paraId="66EFE446" w14:textId="77777777" w:rsidTr="00F05AB0">
        <w:tc>
          <w:tcPr>
            <w:tcW w:w="445" w:type="dxa"/>
            <w:vMerge/>
          </w:tcPr>
          <w:p w14:paraId="13C91E72" w14:textId="77777777" w:rsidR="00F05AB0" w:rsidRPr="00444F99" w:rsidRDefault="00F05AB0" w:rsidP="00B25664">
            <w:pPr>
              <w:rPr>
                <w:rFonts w:ascii="Arial" w:hAnsi="Arial" w:cs="Arial"/>
                <w:sz w:val="18"/>
                <w:szCs w:val="18"/>
              </w:rPr>
            </w:pPr>
          </w:p>
        </w:tc>
        <w:tc>
          <w:tcPr>
            <w:tcW w:w="1350" w:type="dxa"/>
            <w:vMerge/>
          </w:tcPr>
          <w:p w14:paraId="25A1C585" w14:textId="77777777" w:rsidR="00F05AB0" w:rsidRPr="00444F99" w:rsidRDefault="00F05AB0" w:rsidP="00B25664">
            <w:pPr>
              <w:rPr>
                <w:rFonts w:ascii="Arial" w:hAnsi="Arial" w:cs="Arial"/>
                <w:sz w:val="18"/>
                <w:szCs w:val="18"/>
              </w:rPr>
            </w:pPr>
          </w:p>
        </w:tc>
        <w:tc>
          <w:tcPr>
            <w:tcW w:w="1461" w:type="dxa"/>
          </w:tcPr>
          <w:p w14:paraId="4A234B71" w14:textId="77777777" w:rsidR="00F05AB0" w:rsidRPr="00444F99" w:rsidRDefault="00F05AB0" w:rsidP="00B25664">
            <w:pPr>
              <w:rPr>
                <w:rFonts w:ascii="Arial" w:hAnsi="Arial" w:cs="Arial"/>
                <w:sz w:val="18"/>
                <w:szCs w:val="18"/>
              </w:rPr>
            </w:pPr>
            <w:r w:rsidRPr="00444F99">
              <w:rPr>
                <w:rFonts w:ascii="Arial" w:hAnsi="Arial" w:cs="Arial"/>
                <w:sz w:val="18"/>
                <w:szCs w:val="18"/>
              </w:rPr>
              <w:t>Older adult</w:t>
            </w:r>
          </w:p>
        </w:tc>
        <w:tc>
          <w:tcPr>
            <w:tcW w:w="3489" w:type="dxa"/>
          </w:tcPr>
          <w:p w14:paraId="47121CDF" w14:textId="77777777" w:rsidR="00F05AB0" w:rsidRPr="00444F99" w:rsidRDefault="00F05AB0" w:rsidP="00B25664">
            <w:pPr>
              <w:rPr>
                <w:rFonts w:ascii="Arial" w:hAnsi="Arial" w:cs="Arial"/>
                <w:sz w:val="18"/>
                <w:szCs w:val="18"/>
              </w:rPr>
            </w:pPr>
            <w:r w:rsidRPr="00444F99">
              <w:rPr>
                <w:rFonts w:ascii="Arial" w:hAnsi="Arial" w:cs="Arial"/>
                <w:sz w:val="18"/>
                <w:szCs w:val="18"/>
              </w:rPr>
              <w:t>Older adults</w:t>
            </w:r>
            <w:r>
              <w:rPr>
                <w:rFonts w:ascii="Arial" w:hAnsi="Arial" w:cs="Arial"/>
                <w:sz w:val="18"/>
                <w:szCs w:val="18"/>
              </w:rPr>
              <w:t xml:space="preserve"> with no reported neurologic or psychiatric disorders</w:t>
            </w:r>
            <w:r w:rsidRPr="00444F99">
              <w:rPr>
                <w:rFonts w:ascii="Arial" w:hAnsi="Arial" w:cs="Arial"/>
                <w:sz w:val="18"/>
                <w:szCs w:val="18"/>
              </w:rPr>
              <w:t xml:space="preserve"> were participants (&gt;65 years old).</w:t>
            </w:r>
          </w:p>
        </w:tc>
        <w:tc>
          <w:tcPr>
            <w:tcW w:w="3330" w:type="dxa"/>
            <w:vMerge/>
          </w:tcPr>
          <w:p w14:paraId="1CEA634B" w14:textId="77777777" w:rsidR="00F05AB0" w:rsidRPr="00444F99" w:rsidRDefault="00F05AB0" w:rsidP="00B25664">
            <w:pPr>
              <w:rPr>
                <w:rFonts w:ascii="Arial" w:hAnsi="Arial" w:cs="Arial"/>
                <w:sz w:val="18"/>
                <w:szCs w:val="18"/>
              </w:rPr>
            </w:pPr>
          </w:p>
        </w:tc>
      </w:tr>
      <w:tr w:rsidR="00F05AB0" w:rsidRPr="00444F99" w14:paraId="337645FD" w14:textId="77777777" w:rsidTr="00F05AB0">
        <w:tc>
          <w:tcPr>
            <w:tcW w:w="445" w:type="dxa"/>
            <w:vMerge/>
          </w:tcPr>
          <w:p w14:paraId="1C153BD5" w14:textId="77777777" w:rsidR="00F05AB0" w:rsidRPr="00444F99" w:rsidRDefault="00F05AB0" w:rsidP="00B25664">
            <w:pPr>
              <w:rPr>
                <w:rFonts w:ascii="Arial" w:hAnsi="Arial" w:cs="Arial"/>
                <w:sz w:val="18"/>
                <w:szCs w:val="18"/>
              </w:rPr>
            </w:pPr>
          </w:p>
        </w:tc>
        <w:tc>
          <w:tcPr>
            <w:tcW w:w="1350" w:type="dxa"/>
            <w:vMerge/>
          </w:tcPr>
          <w:p w14:paraId="75A50B27" w14:textId="77777777" w:rsidR="00F05AB0" w:rsidRPr="00444F99" w:rsidRDefault="00F05AB0" w:rsidP="00B25664">
            <w:pPr>
              <w:rPr>
                <w:rFonts w:ascii="Arial" w:hAnsi="Arial" w:cs="Arial"/>
                <w:sz w:val="18"/>
                <w:szCs w:val="18"/>
              </w:rPr>
            </w:pPr>
          </w:p>
        </w:tc>
        <w:tc>
          <w:tcPr>
            <w:tcW w:w="1461" w:type="dxa"/>
          </w:tcPr>
          <w:p w14:paraId="57A9E0E3" w14:textId="77777777" w:rsidR="00F05AB0" w:rsidRPr="00444F99" w:rsidRDefault="00F05AB0" w:rsidP="00B25664">
            <w:pPr>
              <w:rPr>
                <w:rFonts w:ascii="Arial" w:hAnsi="Arial" w:cs="Arial"/>
                <w:sz w:val="18"/>
                <w:szCs w:val="18"/>
              </w:rPr>
            </w:pPr>
            <w:r w:rsidRPr="00444F99">
              <w:rPr>
                <w:rFonts w:ascii="Arial" w:hAnsi="Arial" w:cs="Arial"/>
                <w:sz w:val="18"/>
                <w:szCs w:val="18"/>
              </w:rPr>
              <w:t>MCI / AD</w:t>
            </w:r>
          </w:p>
        </w:tc>
        <w:tc>
          <w:tcPr>
            <w:tcW w:w="3489" w:type="dxa"/>
          </w:tcPr>
          <w:p w14:paraId="2B2538E9" w14:textId="77777777" w:rsidR="00F05AB0" w:rsidRPr="00444F99" w:rsidRDefault="00F05AB0" w:rsidP="00B25664">
            <w:pPr>
              <w:rPr>
                <w:rFonts w:ascii="Arial" w:hAnsi="Arial" w:cs="Arial"/>
                <w:sz w:val="18"/>
                <w:szCs w:val="18"/>
              </w:rPr>
            </w:pPr>
            <w:r w:rsidRPr="00444F99">
              <w:rPr>
                <w:rFonts w:ascii="Arial" w:hAnsi="Arial" w:cs="Arial"/>
                <w:sz w:val="18"/>
                <w:szCs w:val="18"/>
              </w:rPr>
              <w:t>Participants included individuals with diagnoses of Mild Cognitive Impairment</w:t>
            </w:r>
            <w:r>
              <w:rPr>
                <w:rFonts w:ascii="Arial" w:hAnsi="Arial" w:cs="Arial"/>
                <w:sz w:val="18"/>
                <w:szCs w:val="18"/>
              </w:rPr>
              <w:t xml:space="preserve"> (MCI)</w:t>
            </w:r>
            <w:r w:rsidRPr="00444F99">
              <w:rPr>
                <w:rFonts w:ascii="Arial" w:hAnsi="Arial" w:cs="Arial"/>
                <w:sz w:val="18"/>
                <w:szCs w:val="18"/>
              </w:rPr>
              <w:t xml:space="preserve"> or mild to moderate Alzheimer's dementia </w:t>
            </w:r>
            <w:r>
              <w:rPr>
                <w:rFonts w:ascii="Arial" w:hAnsi="Arial" w:cs="Arial"/>
                <w:sz w:val="18"/>
                <w:szCs w:val="18"/>
              </w:rPr>
              <w:t xml:space="preserve">(AD) </w:t>
            </w:r>
            <w:r w:rsidRPr="00444F99">
              <w:rPr>
                <w:rFonts w:ascii="Arial" w:hAnsi="Arial" w:cs="Arial"/>
                <w:sz w:val="18"/>
                <w:szCs w:val="18"/>
              </w:rPr>
              <w:t>following clinical standards.</w:t>
            </w:r>
          </w:p>
        </w:tc>
        <w:tc>
          <w:tcPr>
            <w:tcW w:w="3330" w:type="dxa"/>
            <w:vMerge/>
          </w:tcPr>
          <w:p w14:paraId="4E051152" w14:textId="77777777" w:rsidR="00F05AB0" w:rsidRPr="00444F99" w:rsidRDefault="00F05AB0" w:rsidP="00B25664">
            <w:pPr>
              <w:rPr>
                <w:rFonts w:ascii="Arial" w:hAnsi="Arial" w:cs="Arial"/>
                <w:sz w:val="18"/>
                <w:szCs w:val="18"/>
              </w:rPr>
            </w:pPr>
          </w:p>
        </w:tc>
      </w:tr>
      <w:tr w:rsidR="00F05AB0" w:rsidRPr="00444F99" w14:paraId="3E0901E8" w14:textId="77777777" w:rsidTr="00F05AB0">
        <w:tc>
          <w:tcPr>
            <w:tcW w:w="445" w:type="dxa"/>
            <w:vMerge/>
          </w:tcPr>
          <w:p w14:paraId="5B67D486" w14:textId="77777777" w:rsidR="00F05AB0" w:rsidRPr="00444F99" w:rsidRDefault="00F05AB0" w:rsidP="00B25664">
            <w:pPr>
              <w:rPr>
                <w:rFonts w:ascii="Arial" w:hAnsi="Arial" w:cs="Arial"/>
                <w:sz w:val="18"/>
                <w:szCs w:val="18"/>
              </w:rPr>
            </w:pPr>
          </w:p>
        </w:tc>
        <w:tc>
          <w:tcPr>
            <w:tcW w:w="1350" w:type="dxa"/>
            <w:vMerge/>
          </w:tcPr>
          <w:p w14:paraId="3950FBD0" w14:textId="77777777" w:rsidR="00F05AB0" w:rsidRPr="00444F99" w:rsidRDefault="00F05AB0" w:rsidP="00B25664">
            <w:pPr>
              <w:rPr>
                <w:rFonts w:ascii="Arial" w:hAnsi="Arial" w:cs="Arial"/>
                <w:sz w:val="18"/>
                <w:szCs w:val="18"/>
              </w:rPr>
            </w:pPr>
          </w:p>
        </w:tc>
        <w:tc>
          <w:tcPr>
            <w:tcW w:w="1461" w:type="dxa"/>
          </w:tcPr>
          <w:p w14:paraId="72D919F3" w14:textId="77777777" w:rsidR="00F05AB0" w:rsidRPr="00444F99" w:rsidRDefault="00F05AB0" w:rsidP="00B25664">
            <w:pPr>
              <w:rPr>
                <w:rFonts w:ascii="Arial" w:hAnsi="Arial" w:cs="Arial"/>
                <w:sz w:val="18"/>
                <w:szCs w:val="18"/>
              </w:rPr>
            </w:pPr>
            <w:r w:rsidRPr="00444F99">
              <w:rPr>
                <w:rFonts w:ascii="Arial" w:hAnsi="Arial" w:cs="Arial"/>
                <w:sz w:val="18"/>
                <w:szCs w:val="18"/>
              </w:rPr>
              <w:t>Other</w:t>
            </w:r>
          </w:p>
        </w:tc>
        <w:tc>
          <w:tcPr>
            <w:tcW w:w="3489" w:type="dxa"/>
          </w:tcPr>
          <w:p w14:paraId="0DC572BF" w14:textId="77777777" w:rsidR="00F05AB0" w:rsidRPr="00444F99" w:rsidRDefault="00F05AB0" w:rsidP="00B25664">
            <w:pPr>
              <w:rPr>
                <w:rFonts w:ascii="Arial" w:hAnsi="Arial" w:cs="Arial"/>
                <w:sz w:val="18"/>
                <w:szCs w:val="18"/>
              </w:rPr>
            </w:pPr>
            <w:r w:rsidRPr="00444F99">
              <w:rPr>
                <w:rFonts w:ascii="Arial" w:hAnsi="Arial" w:cs="Arial"/>
                <w:sz w:val="18"/>
                <w:szCs w:val="18"/>
              </w:rPr>
              <w:t>Other groups included individuals with first-episode psychosis, individuals at high risk of schizophrenia, and individuals with symptoms of anxiety disorders of post-traumatic stress disorder.</w:t>
            </w:r>
          </w:p>
        </w:tc>
        <w:tc>
          <w:tcPr>
            <w:tcW w:w="3330" w:type="dxa"/>
            <w:vMerge/>
          </w:tcPr>
          <w:p w14:paraId="6ACFB96A" w14:textId="77777777" w:rsidR="00F05AB0" w:rsidRPr="00444F99" w:rsidRDefault="00F05AB0" w:rsidP="00B25664">
            <w:pPr>
              <w:rPr>
                <w:rFonts w:ascii="Arial" w:hAnsi="Arial" w:cs="Arial"/>
                <w:sz w:val="18"/>
                <w:szCs w:val="18"/>
              </w:rPr>
            </w:pPr>
          </w:p>
        </w:tc>
      </w:tr>
      <w:tr w:rsidR="00F05AB0" w:rsidRPr="00444F99" w14:paraId="15902C39" w14:textId="77777777" w:rsidTr="00F05AB0">
        <w:tc>
          <w:tcPr>
            <w:tcW w:w="445" w:type="dxa"/>
            <w:vMerge w:val="restart"/>
          </w:tcPr>
          <w:p w14:paraId="7A9AF86B" w14:textId="77777777" w:rsidR="00F05AB0" w:rsidRPr="00444F99" w:rsidRDefault="00F05AB0" w:rsidP="00B25664">
            <w:pPr>
              <w:rPr>
                <w:rFonts w:ascii="Arial" w:hAnsi="Arial" w:cs="Arial"/>
                <w:sz w:val="18"/>
                <w:szCs w:val="18"/>
              </w:rPr>
            </w:pPr>
            <w:r w:rsidRPr="00444F99">
              <w:rPr>
                <w:rFonts w:ascii="Arial" w:hAnsi="Arial" w:cs="Arial"/>
                <w:sz w:val="18"/>
                <w:szCs w:val="18"/>
              </w:rPr>
              <w:t>5</w:t>
            </w:r>
          </w:p>
        </w:tc>
        <w:tc>
          <w:tcPr>
            <w:tcW w:w="1350" w:type="dxa"/>
            <w:vMerge w:val="restart"/>
          </w:tcPr>
          <w:p w14:paraId="26392A97" w14:textId="77777777" w:rsidR="00F05AB0" w:rsidRPr="00444F99" w:rsidRDefault="00F05AB0" w:rsidP="00B25664">
            <w:pPr>
              <w:rPr>
                <w:rFonts w:ascii="Arial" w:hAnsi="Arial" w:cs="Arial"/>
                <w:sz w:val="18"/>
                <w:szCs w:val="18"/>
              </w:rPr>
            </w:pPr>
            <w:r w:rsidRPr="00444F99">
              <w:rPr>
                <w:rFonts w:ascii="Arial" w:hAnsi="Arial" w:cs="Arial"/>
                <w:sz w:val="18"/>
                <w:szCs w:val="18"/>
              </w:rPr>
              <w:t>Target</w:t>
            </w:r>
          </w:p>
        </w:tc>
        <w:tc>
          <w:tcPr>
            <w:tcW w:w="1461" w:type="dxa"/>
          </w:tcPr>
          <w:p w14:paraId="7A23B74C" w14:textId="77777777" w:rsidR="00F05AB0" w:rsidRPr="00444F99" w:rsidRDefault="00F05AB0" w:rsidP="00B25664">
            <w:pPr>
              <w:rPr>
                <w:rFonts w:ascii="Arial" w:hAnsi="Arial" w:cs="Arial"/>
                <w:sz w:val="18"/>
                <w:szCs w:val="18"/>
              </w:rPr>
            </w:pPr>
            <w:r w:rsidRPr="00444F99">
              <w:rPr>
                <w:rFonts w:ascii="Arial" w:hAnsi="Arial" w:cs="Arial"/>
                <w:sz w:val="18"/>
                <w:szCs w:val="18"/>
              </w:rPr>
              <w:t>Left parietal</w:t>
            </w:r>
          </w:p>
        </w:tc>
        <w:tc>
          <w:tcPr>
            <w:tcW w:w="3489" w:type="dxa"/>
          </w:tcPr>
          <w:p w14:paraId="473BD3A6" w14:textId="77777777" w:rsidR="00F05AB0" w:rsidRPr="00444F99" w:rsidRDefault="00F05AB0" w:rsidP="00B25664">
            <w:pPr>
              <w:rPr>
                <w:rFonts w:ascii="Arial" w:hAnsi="Arial" w:cs="Arial"/>
                <w:sz w:val="18"/>
                <w:szCs w:val="18"/>
              </w:rPr>
            </w:pPr>
            <w:r w:rsidRPr="00444F99">
              <w:rPr>
                <w:rFonts w:ascii="Arial" w:hAnsi="Arial" w:cs="Arial"/>
                <w:sz w:val="18"/>
                <w:szCs w:val="18"/>
              </w:rPr>
              <w:t>Lateral parietal cortex (LPC) was stimulated in left hemisphere in most studies, at locations defined via either individualized or group targeting methods, as shown in Figure 1.</w:t>
            </w:r>
          </w:p>
        </w:tc>
        <w:tc>
          <w:tcPr>
            <w:tcW w:w="3330" w:type="dxa"/>
            <w:vMerge w:val="restart"/>
          </w:tcPr>
          <w:p w14:paraId="5D3356A7" w14:textId="77777777" w:rsidR="00F05AB0" w:rsidRPr="00444F99" w:rsidRDefault="00F05AB0" w:rsidP="00B25664">
            <w:pPr>
              <w:rPr>
                <w:rFonts w:ascii="Arial" w:hAnsi="Arial" w:cs="Arial"/>
                <w:sz w:val="18"/>
                <w:szCs w:val="18"/>
              </w:rPr>
            </w:pPr>
            <w:r w:rsidRPr="00444F99">
              <w:rPr>
                <w:rFonts w:ascii="Arial" w:hAnsi="Arial" w:cs="Arial"/>
                <w:sz w:val="18"/>
                <w:szCs w:val="18"/>
              </w:rPr>
              <w:t>This is a post hoc factor. The majority of studies targeted areas of lateral, inferior, posterior parietal cortex near the angular gyrus, following the general method of Wang et al. 2014. Others targeted precuneus or other parietal or anterior occipital areas based on connectivity with hippocampus. All of these areas are considered within the hippocampal network and so no strong a priori hypotheses regarding the effects of HITS were warranted.</w:t>
            </w:r>
          </w:p>
        </w:tc>
      </w:tr>
      <w:tr w:rsidR="00F05AB0" w:rsidRPr="00444F99" w14:paraId="4D14BEF3" w14:textId="77777777" w:rsidTr="00F05AB0">
        <w:tc>
          <w:tcPr>
            <w:tcW w:w="445" w:type="dxa"/>
            <w:vMerge/>
          </w:tcPr>
          <w:p w14:paraId="56FD3B3B" w14:textId="77777777" w:rsidR="00F05AB0" w:rsidRPr="00444F99" w:rsidRDefault="00F05AB0" w:rsidP="00B25664">
            <w:pPr>
              <w:rPr>
                <w:rFonts w:ascii="Arial" w:hAnsi="Arial" w:cs="Arial"/>
                <w:sz w:val="18"/>
                <w:szCs w:val="18"/>
              </w:rPr>
            </w:pPr>
          </w:p>
        </w:tc>
        <w:tc>
          <w:tcPr>
            <w:tcW w:w="1350" w:type="dxa"/>
            <w:vMerge/>
          </w:tcPr>
          <w:p w14:paraId="4BD62CEF" w14:textId="77777777" w:rsidR="00F05AB0" w:rsidRPr="00444F99" w:rsidRDefault="00F05AB0" w:rsidP="00B25664">
            <w:pPr>
              <w:rPr>
                <w:rFonts w:ascii="Arial" w:hAnsi="Arial" w:cs="Arial"/>
                <w:sz w:val="18"/>
                <w:szCs w:val="18"/>
              </w:rPr>
            </w:pPr>
          </w:p>
        </w:tc>
        <w:tc>
          <w:tcPr>
            <w:tcW w:w="1461" w:type="dxa"/>
          </w:tcPr>
          <w:p w14:paraId="7286B93E" w14:textId="77777777" w:rsidR="00F05AB0" w:rsidRPr="00444F99" w:rsidRDefault="00F05AB0" w:rsidP="00B25664">
            <w:pPr>
              <w:rPr>
                <w:rFonts w:ascii="Arial" w:hAnsi="Arial" w:cs="Arial"/>
                <w:sz w:val="18"/>
                <w:szCs w:val="18"/>
              </w:rPr>
            </w:pPr>
            <w:r w:rsidRPr="00444F99">
              <w:rPr>
                <w:rFonts w:ascii="Arial" w:hAnsi="Arial" w:cs="Arial"/>
                <w:sz w:val="18"/>
                <w:szCs w:val="18"/>
              </w:rPr>
              <w:t>Other</w:t>
            </w:r>
          </w:p>
        </w:tc>
        <w:tc>
          <w:tcPr>
            <w:tcW w:w="3489" w:type="dxa"/>
          </w:tcPr>
          <w:p w14:paraId="357D795C" w14:textId="77777777" w:rsidR="00F05AB0" w:rsidRPr="00444F99" w:rsidRDefault="00F05AB0" w:rsidP="00B25664">
            <w:pPr>
              <w:rPr>
                <w:rFonts w:ascii="Arial" w:hAnsi="Arial" w:cs="Arial"/>
                <w:sz w:val="18"/>
                <w:szCs w:val="18"/>
              </w:rPr>
            </w:pPr>
            <w:r w:rsidRPr="00444F99">
              <w:rPr>
                <w:rFonts w:ascii="Arial" w:hAnsi="Arial" w:cs="Arial"/>
                <w:sz w:val="18"/>
                <w:szCs w:val="18"/>
              </w:rPr>
              <w:t>Other stimulation locations included precuneus or other parietal-occipital areas defined based on individual or group targeting methods, as shown in Figure 1. These were combined because separating them would have led to very few effects in each separate level.</w:t>
            </w:r>
          </w:p>
        </w:tc>
        <w:tc>
          <w:tcPr>
            <w:tcW w:w="3330" w:type="dxa"/>
            <w:vMerge/>
          </w:tcPr>
          <w:p w14:paraId="29A57F63" w14:textId="77777777" w:rsidR="00F05AB0" w:rsidRPr="00444F99" w:rsidRDefault="00F05AB0" w:rsidP="00B25664">
            <w:pPr>
              <w:rPr>
                <w:rFonts w:ascii="Arial" w:hAnsi="Arial" w:cs="Arial"/>
                <w:sz w:val="18"/>
                <w:szCs w:val="18"/>
              </w:rPr>
            </w:pPr>
          </w:p>
        </w:tc>
      </w:tr>
      <w:tr w:rsidR="00F05AB0" w:rsidRPr="00444F99" w14:paraId="62AE156E" w14:textId="77777777" w:rsidTr="00F05AB0">
        <w:tc>
          <w:tcPr>
            <w:tcW w:w="445" w:type="dxa"/>
            <w:vMerge w:val="restart"/>
          </w:tcPr>
          <w:p w14:paraId="2FEE3CC8" w14:textId="77777777" w:rsidR="00F05AB0" w:rsidRPr="00444F99" w:rsidRDefault="00F05AB0" w:rsidP="00B25664">
            <w:pPr>
              <w:rPr>
                <w:rFonts w:ascii="Arial" w:hAnsi="Arial" w:cs="Arial"/>
                <w:sz w:val="18"/>
                <w:szCs w:val="18"/>
              </w:rPr>
            </w:pPr>
            <w:r w:rsidRPr="00444F99">
              <w:rPr>
                <w:rFonts w:ascii="Arial" w:hAnsi="Arial" w:cs="Arial"/>
                <w:sz w:val="18"/>
                <w:szCs w:val="18"/>
              </w:rPr>
              <w:t>6</w:t>
            </w:r>
          </w:p>
        </w:tc>
        <w:tc>
          <w:tcPr>
            <w:tcW w:w="1350" w:type="dxa"/>
            <w:vMerge w:val="restart"/>
          </w:tcPr>
          <w:p w14:paraId="619E8997" w14:textId="77777777" w:rsidR="00F05AB0" w:rsidRPr="00444F99" w:rsidRDefault="00F05AB0" w:rsidP="00B25664">
            <w:pPr>
              <w:rPr>
                <w:rFonts w:ascii="Arial" w:hAnsi="Arial" w:cs="Arial"/>
                <w:sz w:val="18"/>
                <w:szCs w:val="18"/>
              </w:rPr>
            </w:pPr>
            <w:r w:rsidRPr="00444F99">
              <w:rPr>
                <w:rFonts w:ascii="Arial" w:hAnsi="Arial" w:cs="Arial"/>
                <w:sz w:val="18"/>
                <w:szCs w:val="18"/>
              </w:rPr>
              <w:t>Task delay</w:t>
            </w:r>
          </w:p>
        </w:tc>
        <w:tc>
          <w:tcPr>
            <w:tcW w:w="1461" w:type="dxa"/>
          </w:tcPr>
          <w:p w14:paraId="1A1143E5" w14:textId="77777777" w:rsidR="00F05AB0" w:rsidRPr="00444F99" w:rsidRDefault="00F05AB0" w:rsidP="00B25664">
            <w:pPr>
              <w:rPr>
                <w:rFonts w:ascii="Arial" w:hAnsi="Arial" w:cs="Arial"/>
                <w:sz w:val="18"/>
                <w:szCs w:val="18"/>
              </w:rPr>
            </w:pPr>
            <w:r w:rsidRPr="00444F99">
              <w:rPr>
                <w:rFonts w:ascii="Arial" w:hAnsi="Arial" w:cs="Arial"/>
                <w:sz w:val="18"/>
                <w:szCs w:val="18"/>
              </w:rPr>
              <w:t>Short</w:t>
            </w:r>
          </w:p>
        </w:tc>
        <w:tc>
          <w:tcPr>
            <w:tcW w:w="3489" w:type="dxa"/>
          </w:tcPr>
          <w:p w14:paraId="23665A19" w14:textId="77777777" w:rsidR="00F05AB0" w:rsidRPr="00444F99" w:rsidRDefault="00F05AB0" w:rsidP="00B25664">
            <w:pPr>
              <w:rPr>
                <w:rFonts w:ascii="Arial" w:hAnsi="Arial" w:cs="Arial"/>
                <w:sz w:val="18"/>
                <w:szCs w:val="18"/>
              </w:rPr>
            </w:pPr>
            <w:r w:rsidRPr="00444F99">
              <w:rPr>
                <w:rFonts w:ascii="Arial" w:hAnsi="Arial" w:cs="Arial"/>
                <w:sz w:val="18"/>
                <w:szCs w:val="18"/>
              </w:rPr>
              <w:t>The effects of stimulation were measured on the same day on which stimulation was delivered. Some studies applied short stimulation trains in the seconds before memoranda were presented, others delivered a several-minute stimulation train and then tested effects within one hour, and others used multi-day or multi-week stimulation and tested the effects on the same day following the last stimulation session.</w:t>
            </w:r>
          </w:p>
        </w:tc>
        <w:tc>
          <w:tcPr>
            <w:tcW w:w="3330" w:type="dxa"/>
            <w:vMerge w:val="restart"/>
          </w:tcPr>
          <w:p w14:paraId="289B2383" w14:textId="77777777" w:rsidR="00F05AB0" w:rsidRPr="00444F99" w:rsidRDefault="00F05AB0" w:rsidP="00B25664">
            <w:pPr>
              <w:rPr>
                <w:rFonts w:ascii="Arial" w:hAnsi="Arial" w:cs="Arial"/>
                <w:sz w:val="18"/>
                <w:szCs w:val="18"/>
              </w:rPr>
            </w:pPr>
            <w:r w:rsidRPr="00444F99">
              <w:rPr>
                <w:rFonts w:ascii="Arial" w:hAnsi="Arial" w:cs="Arial"/>
                <w:sz w:val="18"/>
                <w:szCs w:val="18"/>
              </w:rPr>
              <w:t>This is a post hoc factor. Generally, the effects of stimulation are thought to decay, albeit at unknown rates. However, studies tended to measure outcomes at test delays aligned with the duration of stimulation (i.e., shorter test delays for protocols involving less stimulation and longer test delays for protocols involving more stimulation over more days; see Figure S2). Thus, as test delay was aligned to measure outcomes appropriately for hypothetical protocol-specific hypothesized decay rates, there was no strong a priori hypothesis to suggest that test delays would be non-equivalent.</w:t>
            </w:r>
          </w:p>
        </w:tc>
      </w:tr>
      <w:tr w:rsidR="00F05AB0" w:rsidRPr="00444F99" w14:paraId="10DD431B" w14:textId="77777777" w:rsidTr="00F05AB0">
        <w:tc>
          <w:tcPr>
            <w:tcW w:w="445" w:type="dxa"/>
            <w:vMerge/>
          </w:tcPr>
          <w:p w14:paraId="4B7909AE" w14:textId="77777777" w:rsidR="00F05AB0" w:rsidRPr="00444F99" w:rsidRDefault="00F05AB0" w:rsidP="00B25664">
            <w:pPr>
              <w:rPr>
                <w:rFonts w:ascii="Arial" w:hAnsi="Arial" w:cs="Arial"/>
                <w:sz w:val="18"/>
                <w:szCs w:val="18"/>
              </w:rPr>
            </w:pPr>
          </w:p>
        </w:tc>
        <w:tc>
          <w:tcPr>
            <w:tcW w:w="1350" w:type="dxa"/>
            <w:vMerge/>
          </w:tcPr>
          <w:p w14:paraId="7D75478D" w14:textId="77777777" w:rsidR="00F05AB0" w:rsidRPr="00444F99" w:rsidRDefault="00F05AB0" w:rsidP="00B25664">
            <w:pPr>
              <w:rPr>
                <w:rFonts w:ascii="Arial" w:hAnsi="Arial" w:cs="Arial"/>
                <w:sz w:val="18"/>
                <w:szCs w:val="18"/>
              </w:rPr>
            </w:pPr>
          </w:p>
        </w:tc>
        <w:tc>
          <w:tcPr>
            <w:tcW w:w="1461" w:type="dxa"/>
          </w:tcPr>
          <w:p w14:paraId="1746E948" w14:textId="77777777" w:rsidR="00F05AB0" w:rsidRPr="00444F99" w:rsidRDefault="00F05AB0" w:rsidP="00B25664">
            <w:pPr>
              <w:rPr>
                <w:rFonts w:ascii="Arial" w:hAnsi="Arial" w:cs="Arial"/>
                <w:sz w:val="18"/>
                <w:szCs w:val="18"/>
              </w:rPr>
            </w:pPr>
            <w:r w:rsidRPr="00444F99">
              <w:rPr>
                <w:rFonts w:ascii="Arial" w:hAnsi="Arial" w:cs="Arial"/>
                <w:sz w:val="18"/>
                <w:szCs w:val="18"/>
              </w:rPr>
              <w:t>Medium</w:t>
            </w:r>
          </w:p>
        </w:tc>
        <w:tc>
          <w:tcPr>
            <w:tcW w:w="3489" w:type="dxa"/>
          </w:tcPr>
          <w:p w14:paraId="167028C7" w14:textId="77777777" w:rsidR="00F05AB0" w:rsidRPr="00444F99" w:rsidRDefault="00F05AB0" w:rsidP="00B25664">
            <w:pPr>
              <w:rPr>
                <w:rFonts w:ascii="Arial" w:hAnsi="Arial" w:cs="Arial"/>
                <w:sz w:val="18"/>
                <w:szCs w:val="18"/>
              </w:rPr>
            </w:pPr>
            <w:r w:rsidRPr="00444F99">
              <w:rPr>
                <w:rFonts w:ascii="Arial" w:hAnsi="Arial" w:cs="Arial"/>
                <w:sz w:val="18"/>
                <w:szCs w:val="18"/>
              </w:rPr>
              <w:t>The effects of stimulation were measured on the following day after stimulation delivery. These studies mostly delivered several consecutive daily sessions of stimulation and measured the effects ~24 hours after the final stimulation session.</w:t>
            </w:r>
          </w:p>
        </w:tc>
        <w:tc>
          <w:tcPr>
            <w:tcW w:w="3330" w:type="dxa"/>
            <w:vMerge/>
          </w:tcPr>
          <w:p w14:paraId="67D927EB" w14:textId="77777777" w:rsidR="00F05AB0" w:rsidRPr="00444F99" w:rsidRDefault="00F05AB0" w:rsidP="00B25664">
            <w:pPr>
              <w:rPr>
                <w:rFonts w:ascii="Arial" w:hAnsi="Arial" w:cs="Arial"/>
                <w:sz w:val="18"/>
                <w:szCs w:val="18"/>
              </w:rPr>
            </w:pPr>
          </w:p>
        </w:tc>
      </w:tr>
      <w:tr w:rsidR="00F05AB0" w:rsidRPr="00444F99" w14:paraId="1DDCD7E2" w14:textId="77777777" w:rsidTr="00F05AB0">
        <w:tc>
          <w:tcPr>
            <w:tcW w:w="445" w:type="dxa"/>
            <w:vMerge/>
          </w:tcPr>
          <w:p w14:paraId="13642965" w14:textId="77777777" w:rsidR="00F05AB0" w:rsidRPr="00444F99" w:rsidRDefault="00F05AB0" w:rsidP="00B25664">
            <w:pPr>
              <w:rPr>
                <w:rFonts w:ascii="Arial" w:hAnsi="Arial" w:cs="Arial"/>
                <w:sz w:val="18"/>
                <w:szCs w:val="18"/>
              </w:rPr>
            </w:pPr>
          </w:p>
        </w:tc>
        <w:tc>
          <w:tcPr>
            <w:tcW w:w="1350" w:type="dxa"/>
            <w:vMerge/>
          </w:tcPr>
          <w:p w14:paraId="0494BF38" w14:textId="77777777" w:rsidR="00F05AB0" w:rsidRPr="00444F99" w:rsidRDefault="00F05AB0" w:rsidP="00B25664">
            <w:pPr>
              <w:rPr>
                <w:rFonts w:ascii="Arial" w:hAnsi="Arial" w:cs="Arial"/>
                <w:sz w:val="18"/>
                <w:szCs w:val="18"/>
              </w:rPr>
            </w:pPr>
          </w:p>
        </w:tc>
        <w:tc>
          <w:tcPr>
            <w:tcW w:w="1461" w:type="dxa"/>
          </w:tcPr>
          <w:p w14:paraId="59786B4F" w14:textId="77777777" w:rsidR="00F05AB0" w:rsidRPr="00444F99" w:rsidRDefault="00F05AB0" w:rsidP="00B25664">
            <w:pPr>
              <w:rPr>
                <w:rFonts w:ascii="Arial" w:hAnsi="Arial" w:cs="Arial"/>
                <w:sz w:val="18"/>
                <w:szCs w:val="18"/>
              </w:rPr>
            </w:pPr>
            <w:r w:rsidRPr="00444F99">
              <w:rPr>
                <w:rFonts w:ascii="Arial" w:hAnsi="Arial" w:cs="Arial"/>
                <w:sz w:val="18"/>
                <w:szCs w:val="18"/>
              </w:rPr>
              <w:t>Long</w:t>
            </w:r>
          </w:p>
        </w:tc>
        <w:tc>
          <w:tcPr>
            <w:tcW w:w="3489" w:type="dxa"/>
          </w:tcPr>
          <w:p w14:paraId="7BB996BA" w14:textId="77777777" w:rsidR="00F05AB0" w:rsidRPr="00444F99" w:rsidRDefault="00F05AB0" w:rsidP="00B25664">
            <w:pPr>
              <w:rPr>
                <w:rFonts w:ascii="Arial" w:hAnsi="Arial" w:cs="Arial"/>
                <w:sz w:val="18"/>
                <w:szCs w:val="18"/>
              </w:rPr>
            </w:pPr>
            <w:r w:rsidRPr="00444F99">
              <w:rPr>
                <w:rFonts w:ascii="Arial" w:hAnsi="Arial" w:cs="Arial"/>
                <w:sz w:val="18"/>
                <w:szCs w:val="18"/>
              </w:rPr>
              <w:t>The effects of stimulation were measured more than one day after the final stimulation session in multi-day or multi-week stimulation protocols, up to ~4 weeks after the end of stimulation.</w:t>
            </w:r>
          </w:p>
        </w:tc>
        <w:tc>
          <w:tcPr>
            <w:tcW w:w="3330" w:type="dxa"/>
            <w:vMerge/>
          </w:tcPr>
          <w:p w14:paraId="19D86664" w14:textId="77777777" w:rsidR="00F05AB0" w:rsidRPr="00444F99" w:rsidRDefault="00F05AB0" w:rsidP="00B25664">
            <w:pPr>
              <w:rPr>
                <w:rFonts w:ascii="Arial" w:hAnsi="Arial" w:cs="Arial"/>
                <w:sz w:val="18"/>
                <w:szCs w:val="18"/>
              </w:rPr>
            </w:pPr>
          </w:p>
        </w:tc>
      </w:tr>
      <w:tr w:rsidR="00F05AB0" w:rsidRPr="00444F99" w14:paraId="04D706FD" w14:textId="77777777" w:rsidTr="00F05AB0">
        <w:tc>
          <w:tcPr>
            <w:tcW w:w="445" w:type="dxa"/>
            <w:vMerge w:val="restart"/>
          </w:tcPr>
          <w:p w14:paraId="3C52AC81" w14:textId="77777777" w:rsidR="00F05AB0" w:rsidRPr="00444F99" w:rsidRDefault="00F05AB0" w:rsidP="00B25664">
            <w:pPr>
              <w:rPr>
                <w:rFonts w:ascii="Arial" w:hAnsi="Arial" w:cs="Arial"/>
                <w:sz w:val="18"/>
                <w:szCs w:val="18"/>
              </w:rPr>
            </w:pPr>
            <w:r w:rsidRPr="00444F99">
              <w:rPr>
                <w:rFonts w:ascii="Arial" w:hAnsi="Arial" w:cs="Arial"/>
                <w:sz w:val="18"/>
                <w:szCs w:val="18"/>
              </w:rPr>
              <w:t>7</w:t>
            </w:r>
          </w:p>
        </w:tc>
        <w:tc>
          <w:tcPr>
            <w:tcW w:w="1350" w:type="dxa"/>
            <w:vMerge w:val="restart"/>
          </w:tcPr>
          <w:p w14:paraId="4AB09B91" w14:textId="77777777" w:rsidR="00F05AB0" w:rsidRPr="00444F99" w:rsidRDefault="00F05AB0" w:rsidP="00B25664">
            <w:pPr>
              <w:rPr>
                <w:rFonts w:ascii="Arial" w:hAnsi="Arial" w:cs="Arial"/>
                <w:sz w:val="18"/>
                <w:szCs w:val="18"/>
              </w:rPr>
            </w:pPr>
            <w:r w:rsidRPr="00444F99">
              <w:rPr>
                <w:rFonts w:ascii="Arial" w:hAnsi="Arial" w:cs="Arial"/>
                <w:sz w:val="18"/>
                <w:szCs w:val="18"/>
              </w:rPr>
              <w:t xml:space="preserve">Sessions </w:t>
            </w:r>
          </w:p>
        </w:tc>
        <w:tc>
          <w:tcPr>
            <w:tcW w:w="1461" w:type="dxa"/>
          </w:tcPr>
          <w:p w14:paraId="744CE72F" w14:textId="77777777" w:rsidR="00F05AB0" w:rsidRPr="00444F99" w:rsidRDefault="00F05AB0" w:rsidP="00B25664">
            <w:pPr>
              <w:rPr>
                <w:rFonts w:ascii="Arial" w:hAnsi="Arial" w:cs="Arial"/>
                <w:sz w:val="18"/>
                <w:szCs w:val="18"/>
              </w:rPr>
            </w:pPr>
            <w:r w:rsidRPr="00444F99">
              <w:rPr>
                <w:rFonts w:ascii="Arial" w:hAnsi="Arial" w:cs="Arial"/>
                <w:sz w:val="18"/>
                <w:szCs w:val="18"/>
              </w:rPr>
              <w:t>1</w:t>
            </w:r>
          </w:p>
        </w:tc>
        <w:tc>
          <w:tcPr>
            <w:tcW w:w="3489" w:type="dxa"/>
          </w:tcPr>
          <w:p w14:paraId="454DEA4A" w14:textId="77777777" w:rsidR="00F05AB0" w:rsidRPr="00444F99" w:rsidRDefault="00F05AB0" w:rsidP="00B25664">
            <w:pPr>
              <w:rPr>
                <w:rFonts w:ascii="Arial" w:hAnsi="Arial" w:cs="Arial"/>
                <w:sz w:val="18"/>
                <w:szCs w:val="18"/>
              </w:rPr>
            </w:pPr>
            <w:r w:rsidRPr="00444F99">
              <w:rPr>
                <w:rFonts w:ascii="Arial" w:hAnsi="Arial" w:cs="Arial"/>
                <w:sz w:val="18"/>
                <w:szCs w:val="18"/>
              </w:rPr>
              <w:t>Protocols involved only one session of stimulation before outcomes were assessed. This encompasses studies that used short trains of stimulation (seconds) immediately before memoranda were presented, as well as several-minute trains of stimulation before memory was assessed.</w:t>
            </w:r>
          </w:p>
        </w:tc>
        <w:tc>
          <w:tcPr>
            <w:tcW w:w="3330" w:type="dxa"/>
            <w:vMerge w:val="restart"/>
          </w:tcPr>
          <w:p w14:paraId="5921E83B" w14:textId="77777777" w:rsidR="00F05AB0" w:rsidRPr="00444F99" w:rsidRDefault="00F05AB0" w:rsidP="00B25664">
            <w:pPr>
              <w:rPr>
                <w:rFonts w:ascii="Arial" w:hAnsi="Arial" w:cs="Arial"/>
                <w:sz w:val="18"/>
                <w:szCs w:val="18"/>
              </w:rPr>
            </w:pPr>
            <w:r w:rsidRPr="00444F99">
              <w:rPr>
                <w:rFonts w:ascii="Arial" w:hAnsi="Arial" w:cs="Arial"/>
                <w:sz w:val="18"/>
                <w:szCs w:val="18"/>
              </w:rPr>
              <w:t>This is a post hoc factor. Generally, more sessions of stimulation are thought to produce greater and/or longer-lasting effects. However, as session counts and task delays were correlated (see “Task delay” factor), there were no strong a priori hypotheses about differences among session counts.</w:t>
            </w:r>
          </w:p>
        </w:tc>
      </w:tr>
      <w:tr w:rsidR="00F05AB0" w:rsidRPr="00444F99" w14:paraId="14935C17" w14:textId="77777777" w:rsidTr="00F05AB0">
        <w:tc>
          <w:tcPr>
            <w:tcW w:w="445" w:type="dxa"/>
            <w:vMerge/>
          </w:tcPr>
          <w:p w14:paraId="4833CC6F" w14:textId="77777777" w:rsidR="00F05AB0" w:rsidRPr="00444F99" w:rsidRDefault="00F05AB0" w:rsidP="00B25664">
            <w:pPr>
              <w:rPr>
                <w:rFonts w:ascii="Arial" w:hAnsi="Arial" w:cs="Arial"/>
                <w:sz w:val="18"/>
                <w:szCs w:val="18"/>
              </w:rPr>
            </w:pPr>
          </w:p>
        </w:tc>
        <w:tc>
          <w:tcPr>
            <w:tcW w:w="1350" w:type="dxa"/>
            <w:vMerge/>
          </w:tcPr>
          <w:p w14:paraId="0636A4D4" w14:textId="77777777" w:rsidR="00F05AB0" w:rsidRPr="00444F99" w:rsidRDefault="00F05AB0" w:rsidP="00B25664">
            <w:pPr>
              <w:rPr>
                <w:rFonts w:ascii="Arial" w:hAnsi="Arial" w:cs="Arial"/>
                <w:sz w:val="18"/>
                <w:szCs w:val="18"/>
              </w:rPr>
            </w:pPr>
          </w:p>
        </w:tc>
        <w:tc>
          <w:tcPr>
            <w:tcW w:w="1461" w:type="dxa"/>
          </w:tcPr>
          <w:p w14:paraId="795E1F12" w14:textId="77777777" w:rsidR="00F05AB0" w:rsidRPr="00444F99" w:rsidRDefault="00F05AB0" w:rsidP="00B25664">
            <w:pPr>
              <w:rPr>
                <w:rFonts w:ascii="Arial" w:hAnsi="Arial" w:cs="Arial"/>
                <w:sz w:val="18"/>
                <w:szCs w:val="18"/>
              </w:rPr>
            </w:pPr>
            <w:r w:rsidRPr="00444F99">
              <w:rPr>
                <w:rFonts w:ascii="Arial" w:hAnsi="Arial" w:cs="Arial"/>
                <w:sz w:val="18"/>
                <w:szCs w:val="18"/>
              </w:rPr>
              <w:t>2 – 4</w:t>
            </w:r>
          </w:p>
        </w:tc>
        <w:tc>
          <w:tcPr>
            <w:tcW w:w="3489" w:type="dxa"/>
          </w:tcPr>
          <w:p w14:paraId="2ADAEF60" w14:textId="77777777" w:rsidR="00F05AB0" w:rsidRPr="00444F99" w:rsidRDefault="00F05AB0" w:rsidP="00B25664">
            <w:pPr>
              <w:rPr>
                <w:rFonts w:ascii="Arial" w:hAnsi="Arial" w:cs="Arial"/>
                <w:sz w:val="18"/>
                <w:szCs w:val="18"/>
              </w:rPr>
            </w:pPr>
            <w:r w:rsidRPr="00444F99">
              <w:rPr>
                <w:rFonts w:ascii="Arial" w:hAnsi="Arial" w:cs="Arial"/>
                <w:sz w:val="18"/>
                <w:szCs w:val="18"/>
              </w:rPr>
              <w:t xml:space="preserve">Protocols involved two to </w:t>
            </w:r>
            <w:r>
              <w:rPr>
                <w:rFonts w:ascii="Arial" w:hAnsi="Arial" w:cs="Arial"/>
                <w:sz w:val="18"/>
                <w:szCs w:val="18"/>
              </w:rPr>
              <w:t>four</w:t>
            </w:r>
            <w:r w:rsidRPr="00444F99">
              <w:rPr>
                <w:rFonts w:ascii="Arial" w:hAnsi="Arial" w:cs="Arial"/>
                <w:sz w:val="18"/>
                <w:szCs w:val="18"/>
              </w:rPr>
              <w:t xml:space="preserve"> consecutive sessions of stimulation spread out across multiple days.</w:t>
            </w:r>
          </w:p>
        </w:tc>
        <w:tc>
          <w:tcPr>
            <w:tcW w:w="3330" w:type="dxa"/>
            <w:vMerge/>
          </w:tcPr>
          <w:p w14:paraId="2C1DF6D7" w14:textId="77777777" w:rsidR="00F05AB0" w:rsidRPr="00444F99" w:rsidRDefault="00F05AB0" w:rsidP="00B25664">
            <w:pPr>
              <w:rPr>
                <w:rFonts w:ascii="Arial" w:hAnsi="Arial" w:cs="Arial"/>
                <w:sz w:val="18"/>
                <w:szCs w:val="18"/>
              </w:rPr>
            </w:pPr>
          </w:p>
        </w:tc>
      </w:tr>
      <w:tr w:rsidR="00F05AB0" w:rsidRPr="00444F99" w14:paraId="7FB317D6" w14:textId="77777777" w:rsidTr="00F05AB0">
        <w:tc>
          <w:tcPr>
            <w:tcW w:w="445" w:type="dxa"/>
            <w:vMerge/>
          </w:tcPr>
          <w:p w14:paraId="7440AADB" w14:textId="77777777" w:rsidR="00F05AB0" w:rsidRPr="00444F99" w:rsidRDefault="00F05AB0" w:rsidP="00B25664">
            <w:pPr>
              <w:rPr>
                <w:rFonts w:ascii="Arial" w:hAnsi="Arial" w:cs="Arial"/>
                <w:sz w:val="18"/>
                <w:szCs w:val="18"/>
              </w:rPr>
            </w:pPr>
          </w:p>
        </w:tc>
        <w:tc>
          <w:tcPr>
            <w:tcW w:w="1350" w:type="dxa"/>
            <w:vMerge/>
          </w:tcPr>
          <w:p w14:paraId="6FE77EDA" w14:textId="77777777" w:rsidR="00F05AB0" w:rsidRPr="00444F99" w:rsidRDefault="00F05AB0" w:rsidP="00B25664">
            <w:pPr>
              <w:rPr>
                <w:rFonts w:ascii="Arial" w:hAnsi="Arial" w:cs="Arial"/>
                <w:sz w:val="18"/>
                <w:szCs w:val="18"/>
              </w:rPr>
            </w:pPr>
          </w:p>
        </w:tc>
        <w:tc>
          <w:tcPr>
            <w:tcW w:w="1461" w:type="dxa"/>
          </w:tcPr>
          <w:p w14:paraId="1EFA7599" w14:textId="77777777" w:rsidR="00F05AB0" w:rsidRPr="00444F99" w:rsidRDefault="00F05AB0" w:rsidP="00B25664">
            <w:pPr>
              <w:rPr>
                <w:rFonts w:ascii="Arial" w:hAnsi="Arial" w:cs="Arial"/>
                <w:sz w:val="18"/>
                <w:szCs w:val="18"/>
              </w:rPr>
            </w:pPr>
            <w:r w:rsidRPr="00444F99">
              <w:rPr>
                <w:rFonts w:ascii="Arial" w:hAnsi="Arial" w:cs="Arial"/>
                <w:sz w:val="18"/>
                <w:szCs w:val="18"/>
              </w:rPr>
              <w:t>5+</w:t>
            </w:r>
          </w:p>
        </w:tc>
        <w:tc>
          <w:tcPr>
            <w:tcW w:w="3489" w:type="dxa"/>
          </w:tcPr>
          <w:p w14:paraId="097E2090" w14:textId="77777777" w:rsidR="00F05AB0" w:rsidRPr="00444F99" w:rsidRDefault="00F05AB0" w:rsidP="00B25664">
            <w:pPr>
              <w:rPr>
                <w:rFonts w:ascii="Arial" w:hAnsi="Arial" w:cs="Arial"/>
                <w:sz w:val="18"/>
                <w:szCs w:val="18"/>
              </w:rPr>
            </w:pPr>
            <w:r w:rsidRPr="00444F99">
              <w:rPr>
                <w:rFonts w:ascii="Arial" w:hAnsi="Arial" w:cs="Arial"/>
                <w:sz w:val="18"/>
                <w:szCs w:val="18"/>
              </w:rPr>
              <w:t>Protocols involved five or more sessions of stimulation spread out across multiple days and/or weeks</w:t>
            </w:r>
          </w:p>
        </w:tc>
        <w:tc>
          <w:tcPr>
            <w:tcW w:w="3330" w:type="dxa"/>
            <w:vMerge/>
          </w:tcPr>
          <w:p w14:paraId="46B3EDB5" w14:textId="77777777" w:rsidR="00F05AB0" w:rsidRPr="00444F99" w:rsidRDefault="00F05AB0" w:rsidP="00B25664">
            <w:pPr>
              <w:rPr>
                <w:rFonts w:ascii="Arial" w:hAnsi="Arial" w:cs="Arial"/>
                <w:sz w:val="18"/>
                <w:szCs w:val="18"/>
              </w:rPr>
            </w:pPr>
          </w:p>
        </w:tc>
      </w:tr>
      <w:tr w:rsidR="00F05AB0" w:rsidRPr="00444F99" w14:paraId="140FE3E8" w14:textId="77777777" w:rsidTr="00F05AB0">
        <w:tc>
          <w:tcPr>
            <w:tcW w:w="445" w:type="dxa"/>
            <w:vMerge w:val="restart"/>
          </w:tcPr>
          <w:p w14:paraId="14A659D7" w14:textId="77777777" w:rsidR="00F05AB0" w:rsidRPr="00444F99" w:rsidRDefault="00F05AB0" w:rsidP="00B25664">
            <w:pPr>
              <w:rPr>
                <w:rFonts w:ascii="Arial" w:hAnsi="Arial" w:cs="Arial"/>
                <w:sz w:val="18"/>
                <w:szCs w:val="18"/>
              </w:rPr>
            </w:pPr>
            <w:r w:rsidRPr="00444F99">
              <w:rPr>
                <w:rFonts w:ascii="Arial" w:hAnsi="Arial" w:cs="Arial"/>
                <w:sz w:val="18"/>
                <w:szCs w:val="18"/>
              </w:rPr>
              <w:t>8</w:t>
            </w:r>
          </w:p>
        </w:tc>
        <w:tc>
          <w:tcPr>
            <w:tcW w:w="1350" w:type="dxa"/>
            <w:vMerge w:val="restart"/>
          </w:tcPr>
          <w:p w14:paraId="4CD15290" w14:textId="77777777" w:rsidR="00F05AB0" w:rsidRPr="00444F99" w:rsidRDefault="00F05AB0" w:rsidP="00B25664">
            <w:pPr>
              <w:rPr>
                <w:rFonts w:ascii="Arial" w:hAnsi="Arial" w:cs="Arial"/>
                <w:sz w:val="18"/>
                <w:szCs w:val="18"/>
              </w:rPr>
            </w:pPr>
            <w:r w:rsidRPr="00444F99">
              <w:rPr>
                <w:rFonts w:ascii="Arial" w:hAnsi="Arial" w:cs="Arial"/>
                <w:sz w:val="18"/>
                <w:szCs w:val="18"/>
              </w:rPr>
              <w:t>Intensity</w:t>
            </w:r>
          </w:p>
        </w:tc>
        <w:tc>
          <w:tcPr>
            <w:tcW w:w="1461" w:type="dxa"/>
          </w:tcPr>
          <w:p w14:paraId="155946C4" w14:textId="77777777" w:rsidR="00F05AB0" w:rsidRPr="00444F99" w:rsidRDefault="00F05AB0" w:rsidP="00B25664">
            <w:pPr>
              <w:rPr>
                <w:rFonts w:ascii="Arial" w:hAnsi="Arial" w:cs="Arial"/>
                <w:sz w:val="18"/>
                <w:szCs w:val="18"/>
              </w:rPr>
            </w:pPr>
            <w:r w:rsidRPr="00444F99">
              <w:rPr>
                <w:rFonts w:ascii="Arial" w:hAnsi="Arial" w:cs="Arial"/>
                <w:sz w:val="18"/>
                <w:szCs w:val="18"/>
              </w:rPr>
              <w:t>100+% MT</w:t>
            </w:r>
          </w:p>
        </w:tc>
        <w:tc>
          <w:tcPr>
            <w:tcW w:w="3489" w:type="dxa"/>
          </w:tcPr>
          <w:p w14:paraId="1CFC88A0" w14:textId="77777777" w:rsidR="00F05AB0" w:rsidRPr="00444F99" w:rsidRDefault="00F05AB0" w:rsidP="00B25664">
            <w:pPr>
              <w:rPr>
                <w:rFonts w:ascii="Arial" w:hAnsi="Arial" w:cs="Arial"/>
                <w:sz w:val="18"/>
                <w:szCs w:val="18"/>
              </w:rPr>
            </w:pPr>
            <w:r w:rsidRPr="00444F99">
              <w:rPr>
                <w:rFonts w:ascii="Arial" w:hAnsi="Arial" w:cs="Arial"/>
                <w:sz w:val="18"/>
                <w:szCs w:val="18"/>
              </w:rPr>
              <w:t>Stimulation was applied at an intensity of greater than or equal to the resting motor threshold</w:t>
            </w:r>
            <w:r>
              <w:rPr>
                <w:rFonts w:ascii="Arial" w:hAnsi="Arial" w:cs="Arial"/>
                <w:sz w:val="18"/>
                <w:szCs w:val="18"/>
              </w:rPr>
              <w:t xml:space="preserve"> (MT)</w:t>
            </w:r>
            <w:r w:rsidRPr="00444F99">
              <w:rPr>
                <w:rFonts w:ascii="Arial" w:hAnsi="Arial" w:cs="Arial"/>
                <w:sz w:val="18"/>
                <w:szCs w:val="18"/>
              </w:rPr>
              <w:t xml:space="preserve">, typically no higher than 120% of the </w:t>
            </w:r>
            <w:r>
              <w:rPr>
                <w:rFonts w:ascii="Arial" w:hAnsi="Arial" w:cs="Arial"/>
                <w:sz w:val="18"/>
                <w:szCs w:val="18"/>
              </w:rPr>
              <w:t>MT</w:t>
            </w:r>
            <w:r w:rsidRPr="00444F99">
              <w:rPr>
                <w:rFonts w:ascii="Arial" w:hAnsi="Arial" w:cs="Arial"/>
                <w:sz w:val="18"/>
                <w:szCs w:val="18"/>
              </w:rPr>
              <w:t>.</w:t>
            </w:r>
          </w:p>
        </w:tc>
        <w:tc>
          <w:tcPr>
            <w:tcW w:w="3330" w:type="dxa"/>
            <w:vMerge w:val="restart"/>
          </w:tcPr>
          <w:p w14:paraId="1F12172D" w14:textId="77777777" w:rsidR="00F05AB0" w:rsidRPr="00444F99" w:rsidRDefault="00F05AB0" w:rsidP="00B25664">
            <w:pPr>
              <w:rPr>
                <w:rFonts w:ascii="Arial" w:hAnsi="Arial" w:cs="Arial"/>
                <w:sz w:val="18"/>
                <w:szCs w:val="18"/>
              </w:rPr>
            </w:pPr>
            <w:r w:rsidRPr="00444F99">
              <w:rPr>
                <w:rFonts w:ascii="Arial" w:hAnsi="Arial" w:cs="Arial"/>
                <w:sz w:val="18"/>
                <w:szCs w:val="18"/>
              </w:rPr>
              <w:t>This is a post hoc factor. Generally, higher intensities would be thought to have greater effects. However, this factor overlapped considerably with TMS protocol (factor 11, which was not retained in the lasso regressions). That is, studies using repetitive TMS trains at high frequencies tended to use intensities at or above motor threshold, whereas studies using patterned theta-burst stimulation tended to use intensities lower than 100% of motor threshold (Figure S2). Thus, there were no strong a priori hypotheses concerning this factor specifically.</w:t>
            </w:r>
          </w:p>
        </w:tc>
      </w:tr>
      <w:tr w:rsidR="00F05AB0" w:rsidRPr="00444F99" w14:paraId="1A5FA86D" w14:textId="77777777" w:rsidTr="00F05AB0">
        <w:tc>
          <w:tcPr>
            <w:tcW w:w="445" w:type="dxa"/>
            <w:vMerge/>
          </w:tcPr>
          <w:p w14:paraId="40A6E47E" w14:textId="77777777" w:rsidR="00F05AB0" w:rsidRPr="00444F99" w:rsidRDefault="00F05AB0" w:rsidP="00B25664">
            <w:pPr>
              <w:rPr>
                <w:rFonts w:ascii="Arial" w:hAnsi="Arial" w:cs="Arial"/>
                <w:sz w:val="18"/>
                <w:szCs w:val="18"/>
              </w:rPr>
            </w:pPr>
          </w:p>
        </w:tc>
        <w:tc>
          <w:tcPr>
            <w:tcW w:w="1350" w:type="dxa"/>
            <w:vMerge/>
          </w:tcPr>
          <w:p w14:paraId="5D988BDD" w14:textId="77777777" w:rsidR="00F05AB0" w:rsidRPr="00444F99" w:rsidRDefault="00F05AB0" w:rsidP="00B25664">
            <w:pPr>
              <w:rPr>
                <w:rFonts w:ascii="Arial" w:hAnsi="Arial" w:cs="Arial"/>
                <w:sz w:val="18"/>
                <w:szCs w:val="18"/>
              </w:rPr>
            </w:pPr>
          </w:p>
        </w:tc>
        <w:tc>
          <w:tcPr>
            <w:tcW w:w="1461" w:type="dxa"/>
          </w:tcPr>
          <w:p w14:paraId="403A922C" w14:textId="77777777" w:rsidR="00F05AB0" w:rsidRPr="00444F99" w:rsidRDefault="00F05AB0" w:rsidP="00B25664">
            <w:pPr>
              <w:rPr>
                <w:rFonts w:ascii="Arial" w:hAnsi="Arial" w:cs="Arial"/>
                <w:sz w:val="18"/>
                <w:szCs w:val="18"/>
              </w:rPr>
            </w:pPr>
            <w:r w:rsidRPr="00444F99">
              <w:rPr>
                <w:rFonts w:ascii="Arial" w:hAnsi="Arial" w:cs="Arial"/>
                <w:sz w:val="18"/>
                <w:szCs w:val="18"/>
              </w:rPr>
              <w:t>&lt;100% MT</w:t>
            </w:r>
          </w:p>
        </w:tc>
        <w:tc>
          <w:tcPr>
            <w:tcW w:w="3489" w:type="dxa"/>
          </w:tcPr>
          <w:p w14:paraId="2206899D" w14:textId="77777777" w:rsidR="00F05AB0" w:rsidRPr="00444F99" w:rsidRDefault="00F05AB0" w:rsidP="00B25664">
            <w:pPr>
              <w:rPr>
                <w:rFonts w:ascii="Arial" w:hAnsi="Arial" w:cs="Arial"/>
                <w:sz w:val="18"/>
                <w:szCs w:val="18"/>
              </w:rPr>
            </w:pPr>
            <w:r w:rsidRPr="00444F99">
              <w:rPr>
                <w:rFonts w:ascii="Arial" w:hAnsi="Arial" w:cs="Arial"/>
                <w:sz w:val="18"/>
                <w:szCs w:val="18"/>
              </w:rPr>
              <w:t xml:space="preserve">Stimulation was applied at an intensity of less than 100% of the resting </w:t>
            </w:r>
            <w:r>
              <w:rPr>
                <w:rFonts w:ascii="Arial" w:hAnsi="Arial" w:cs="Arial"/>
                <w:sz w:val="18"/>
                <w:szCs w:val="18"/>
              </w:rPr>
              <w:t>MT</w:t>
            </w:r>
            <w:r w:rsidRPr="00444F99">
              <w:rPr>
                <w:rFonts w:ascii="Arial" w:hAnsi="Arial" w:cs="Arial"/>
                <w:sz w:val="18"/>
                <w:szCs w:val="18"/>
              </w:rPr>
              <w:t xml:space="preserve">, typically at 90%, 80%, or 70% of the </w:t>
            </w:r>
            <w:r>
              <w:rPr>
                <w:rFonts w:ascii="Arial" w:hAnsi="Arial" w:cs="Arial"/>
                <w:sz w:val="18"/>
                <w:szCs w:val="18"/>
              </w:rPr>
              <w:t>MT</w:t>
            </w:r>
            <w:r w:rsidRPr="00444F99">
              <w:rPr>
                <w:rFonts w:ascii="Arial" w:hAnsi="Arial" w:cs="Arial"/>
                <w:sz w:val="18"/>
                <w:szCs w:val="18"/>
              </w:rPr>
              <w:t>.</w:t>
            </w:r>
            <w:r>
              <w:rPr>
                <w:rFonts w:ascii="Arial" w:hAnsi="Arial" w:cs="Arial"/>
                <w:sz w:val="18"/>
                <w:szCs w:val="18"/>
              </w:rPr>
              <w:t xml:space="preserve"> Note that one study (study 8) used 80% of active MT, rather than resting MT.</w:t>
            </w:r>
          </w:p>
        </w:tc>
        <w:tc>
          <w:tcPr>
            <w:tcW w:w="3330" w:type="dxa"/>
            <w:vMerge/>
          </w:tcPr>
          <w:p w14:paraId="6FDA0787" w14:textId="77777777" w:rsidR="00F05AB0" w:rsidRPr="00444F99" w:rsidRDefault="00F05AB0" w:rsidP="00B25664">
            <w:pPr>
              <w:rPr>
                <w:rFonts w:ascii="Arial" w:hAnsi="Arial" w:cs="Arial"/>
                <w:sz w:val="18"/>
                <w:szCs w:val="18"/>
              </w:rPr>
            </w:pPr>
          </w:p>
        </w:tc>
      </w:tr>
      <w:tr w:rsidR="00F05AB0" w:rsidRPr="00444F99" w14:paraId="1F6583B9" w14:textId="77777777" w:rsidTr="00F05AB0">
        <w:tc>
          <w:tcPr>
            <w:tcW w:w="445" w:type="dxa"/>
          </w:tcPr>
          <w:p w14:paraId="62CD241A" w14:textId="77777777" w:rsidR="00F05AB0" w:rsidRPr="00444F99" w:rsidRDefault="00F05AB0" w:rsidP="00B25664">
            <w:pPr>
              <w:rPr>
                <w:rFonts w:ascii="Arial" w:hAnsi="Arial" w:cs="Arial"/>
                <w:sz w:val="18"/>
                <w:szCs w:val="18"/>
              </w:rPr>
            </w:pPr>
            <w:r w:rsidRPr="00444F99">
              <w:rPr>
                <w:rFonts w:ascii="Arial" w:hAnsi="Arial" w:cs="Arial"/>
                <w:sz w:val="18"/>
                <w:szCs w:val="18"/>
              </w:rPr>
              <w:t>9</w:t>
            </w:r>
          </w:p>
        </w:tc>
        <w:tc>
          <w:tcPr>
            <w:tcW w:w="1350" w:type="dxa"/>
          </w:tcPr>
          <w:p w14:paraId="72EEF6B9" w14:textId="77777777" w:rsidR="00F05AB0" w:rsidRPr="00444F99" w:rsidRDefault="00F05AB0" w:rsidP="00B25664">
            <w:pPr>
              <w:rPr>
                <w:rFonts w:ascii="Arial" w:hAnsi="Arial" w:cs="Arial"/>
                <w:sz w:val="18"/>
                <w:szCs w:val="18"/>
              </w:rPr>
            </w:pPr>
            <w:r w:rsidRPr="00444F99">
              <w:rPr>
                <w:rFonts w:ascii="Arial" w:hAnsi="Arial" w:cs="Arial"/>
                <w:sz w:val="18"/>
                <w:szCs w:val="18"/>
              </w:rPr>
              <w:t xml:space="preserve">Control </w:t>
            </w:r>
          </w:p>
        </w:tc>
        <w:tc>
          <w:tcPr>
            <w:tcW w:w="1461" w:type="dxa"/>
          </w:tcPr>
          <w:p w14:paraId="547C0C05" w14:textId="77777777" w:rsidR="00F05AB0" w:rsidRPr="00444F99" w:rsidRDefault="00F05AB0" w:rsidP="00B25664">
            <w:pPr>
              <w:rPr>
                <w:rFonts w:ascii="Arial" w:hAnsi="Arial" w:cs="Arial"/>
                <w:sz w:val="18"/>
                <w:szCs w:val="18"/>
              </w:rPr>
            </w:pPr>
            <w:r w:rsidRPr="00444F99">
              <w:rPr>
                <w:rFonts w:ascii="Arial" w:hAnsi="Arial" w:cs="Arial"/>
                <w:sz w:val="18"/>
                <w:szCs w:val="18"/>
              </w:rPr>
              <w:t>Baseline</w:t>
            </w:r>
          </w:p>
        </w:tc>
        <w:tc>
          <w:tcPr>
            <w:tcW w:w="3489" w:type="dxa"/>
          </w:tcPr>
          <w:p w14:paraId="35E5FC8D" w14:textId="77777777" w:rsidR="00F05AB0" w:rsidRPr="00444F99" w:rsidRDefault="00F05AB0" w:rsidP="00B25664">
            <w:pPr>
              <w:rPr>
                <w:rFonts w:ascii="Arial" w:hAnsi="Arial" w:cs="Arial"/>
                <w:sz w:val="18"/>
                <w:szCs w:val="18"/>
              </w:rPr>
            </w:pPr>
            <w:r w:rsidRPr="00444F99">
              <w:rPr>
                <w:rFonts w:ascii="Arial" w:hAnsi="Arial" w:cs="Arial"/>
                <w:sz w:val="18"/>
                <w:szCs w:val="18"/>
              </w:rPr>
              <w:t>The comparison for the effects of stimulation was the baseline, pre-stimulation performance value.</w:t>
            </w:r>
          </w:p>
        </w:tc>
        <w:tc>
          <w:tcPr>
            <w:tcW w:w="3330" w:type="dxa"/>
            <w:vMerge w:val="restart"/>
          </w:tcPr>
          <w:p w14:paraId="531673CE" w14:textId="77777777" w:rsidR="00F05AB0" w:rsidRPr="00444F99" w:rsidRDefault="00F05AB0" w:rsidP="00B25664">
            <w:pPr>
              <w:rPr>
                <w:rFonts w:ascii="Arial" w:hAnsi="Arial" w:cs="Arial"/>
                <w:sz w:val="18"/>
                <w:szCs w:val="18"/>
              </w:rPr>
            </w:pPr>
            <w:r w:rsidRPr="00444F99">
              <w:rPr>
                <w:rFonts w:ascii="Arial" w:hAnsi="Arial" w:cs="Arial"/>
                <w:sz w:val="18"/>
                <w:szCs w:val="18"/>
              </w:rPr>
              <w:t>This was a post hoc factor. Different control conditions are used to achieve different scientific objectives. As all control conditions would be expected to yield little if any effect on memory performance, any significant variation in effects of HITS on memory by control condition would raise doubts about its robustness to small differences in experiment design choices.</w:t>
            </w:r>
          </w:p>
        </w:tc>
      </w:tr>
      <w:tr w:rsidR="00F05AB0" w:rsidRPr="00444F99" w14:paraId="5BBA987B" w14:textId="77777777" w:rsidTr="00F05AB0">
        <w:tc>
          <w:tcPr>
            <w:tcW w:w="445" w:type="dxa"/>
          </w:tcPr>
          <w:p w14:paraId="147B1A8A" w14:textId="77777777" w:rsidR="00F05AB0" w:rsidRPr="00444F99" w:rsidRDefault="00F05AB0" w:rsidP="00B25664">
            <w:pPr>
              <w:rPr>
                <w:rFonts w:ascii="Arial" w:hAnsi="Arial" w:cs="Arial"/>
                <w:sz w:val="18"/>
                <w:szCs w:val="18"/>
              </w:rPr>
            </w:pPr>
          </w:p>
        </w:tc>
        <w:tc>
          <w:tcPr>
            <w:tcW w:w="1350" w:type="dxa"/>
          </w:tcPr>
          <w:p w14:paraId="51B5DACD" w14:textId="77777777" w:rsidR="00F05AB0" w:rsidRPr="00444F99" w:rsidRDefault="00F05AB0" w:rsidP="00B25664">
            <w:pPr>
              <w:rPr>
                <w:rFonts w:ascii="Arial" w:hAnsi="Arial" w:cs="Arial"/>
                <w:sz w:val="18"/>
                <w:szCs w:val="18"/>
              </w:rPr>
            </w:pPr>
          </w:p>
        </w:tc>
        <w:tc>
          <w:tcPr>
            <w:tcW w:w="1461" w:type="dxa"/>
          </w:tcPr>
          <w:p w14:paraId="4897CCEE" w14:textId="77777777" w:rsidR="00F05AB0" w:rsidRPr="00444F99" w:rsidRDefault="00F05AB0" w:rsidP="00B25664">
            <w:pPr>
              <w:rPr>
                <w:rFonts w:ascii="Arial" w:hAnsi="Arial" w:cs="Arial"/>
                <w:sz w:val="18"/>
                <w:szCs w:val="18"/>
              </w:rPr>
            </w:pPr>
            <w:r w:rsidRPr="00444F99">
              <w:rPr>
                <w:rFonts w:ascii="Arial" w:hAnsi="Arial" w:cs="Arial"/>
                <w:sz w:val="18"/>
                <w:szCs w:val="18"/>
              </w:rPr>
              <w:t>Other location</w:t>
            </w:r>
          </w:p>
        </w:tc>
        <w:tc>
          <w:tcPr>
            <w:tcW w:w="3489" w:type="dxa"/>
          </w:tcPr>
          <w:p w14:paraId="029D93DE" w14:textId="77777777" w:rsidR="00F05AB0" w:rsidRPr="00444F99" w:rsidRDefault="00F05AB0" w:rsidP="00B25664">
            <w:pPr>
              <w:rPr>
                <w:rFonts w:ascii="Arial" w:hAnsi="Arial" w:cs="Arial"/>
                <w:sz w:val="18"/>
                <w:szCs w:val="18"/>
              </w:rPr>
            </w:pPr>
            <w:r w:rsidRPr="00444F99">
              <w:rPr>
                <w:rFonts w:ascii="Arial" w:hAnsi="Arial" w:cs="Arial"/>
                <w:sz w:val="18"/>
                <w:szCs w:val="18"/>
              </w:rPr>
              <w:t>The comparison for the effects of stimulation of the hippocampal network was stimulation of some other part of the brain not within the hippocampal network using the same stimulation parameters. Typically, primary or secondary motor or somatosensory areas were used as control locations.</w:t>
            </w:r>
          </w:p>
        </w:tc>
        <w:tc>
          <w:tcPr>
            <w:tcW w:w="3330" w:type="dxa"/>
            <w:vMerge/>
          </w:tcPr>
          <w:p w14:paraId="723E511C" w14:textId="77777777" w:rsidR="00F05AB0" w:rsidRPr="00444F99" w:rsidRDefault="00F05AB0" w:rsidP="00B25664">
            <w:pPr>
              <w:rPr>
                <w:rFonts w:ascii="Arial" w:hAnsi="Arial" w:cs="Arial"/>
                <w:sz w:val="18"/>
                <w:szCs w:val="18"/>
              </w:rPr>
            </w:pPr>
          </w:p>
        </w:tc>
      </w:tr>
      <w:tr w:rsidR="00F05AB0" w:rsidRPr="00444F99" w14:paraId="2697C6B1" w14:textId="77777777" w:rsidTr="00F05AB0">
        <w:tc>
          <w:tcPr>
            <w:tcW w:w="445" w:type="dxa"/>
          </w:tcPr>
          <w:p w14:paraId="20789A73" w14:textId="77777777" w:rsidR="00F05AB0" w:rsidRPr="00444F99" w:rsidRDefault="00F05AB0" w:rsidP="00B25664">
            <w:pPr>
              <w:rPr>
                <w:rFonts w:ascii="Arial" w:hAnsi="Arial" w:cs="Arial"/>
                <w:sz w:val="18"/>
                <w:szCs w:val="18"/>
              </w:rPr>
            </w:pPr>
          </w:p>
        </w:tc>
        <w:tc>
          <w:tcPr>
            <w:tcW w:w="1350" w:type="dxa"/>
          </w:tcPr>
          <w:p w14:paraId="4DC9F99B" w14:textId="77777777" w:rsidR="00F05AB0" w:rsidRPr="00444F99" w:rsidRDefault="00F05AB0" w:rsidP="00B25664">
            <w:pPr>
              <w:rPr>
                <w:rFonts w:ascii="Arial" w:hAnsi="Arial" w:cs="Arial"/>
                <w:sz w:val="18"/>
                <w:szCs w:val="18"/>
              </w:rPr>
            </w:pPr>
          </w:p>
        </w:tc>
        <w:tc>
          <w:tcPr>
            <w:tcW w:w="1461" w:type="dxa"/>
          </w:tcPr>
          <w:p w14:paraId="58798241" w14:textId="77777777" w:rsidR="00F05AB0" w:rsidRPr="00444F99" w:rsidRDefault="00F05AB0" w:rsidP="00B25664">
            <w:pPr>
              <w:rPr>
                <w:rFonts w:ascii="Arial" w:hAnsi="Arial" w:cs="Arial"/>
                <w:sz w:val="18"/>
                <w:szCs w:val="18"/>
              </w:rPr>
            </w:pPr>
            <w:r w:rsidRPr="00444F99">
              <w:rPr>
                <w:rFonts w:ascii="Arial" w:hAnsi="Arial" w:cs="Arial"/>
                <w:sz w:val="18"/>
                <w:szCs w:val="18"/>
              </w:rPr>
              <w:t>Low intensity</w:t>
            </w:r>
          </w:p>
        </w:tc>
        <w:tc>
          <w:tcPr>
            <w:tcW w:w="3489" w:type="dxa"/>
          </w:tcPr>
          <w:p w14:paraId="4886D460" w14:textId="77777777" w:rsidR="00F05AB0" w:rsidRPr="00444F99" w:rsidRDefault="00F05AB0" w:rsidP="00B25664">
            <w:pPr>
              <w:rPr>
                <w:rFonts w:ascii="Arial" w:hAnsi="Arial" w:cs="Arial"/>
                <w:sz w:val="18"/>
                <w:szCs w:val="18"/>
              </w:rPr>
            </w:pPr>
            <w:r w:rsidRPr="00444F99">
              <w:rPr>
                <w:rFonts w:ascii="Arial" w:hAnsi="Arial" w:cs="Arial"/>
                <w:sz w:val="18"/>
                <w:szCs w:val="18"/>
              </w:rPr>
              <w:t>The comparison for the effects of stimulation was stimulation of the same location using the same overall stimulation parameters but at a very low intensity, typically &lt;30% of resting motor threshold.</w:t>
            </w:r>
          </w:p>
        </w:tc>
        <w:tc>
          <w:tcPr>
            <w:tcW w:w="3330" w:type="dxa"/>
            <w:vMerge/>
          </w:tcPr>
          <w:p w14:paraId="778E3BC4" w14:textId="77777777" w:rsidR="00F05AB0" w:rsidRPr="00444F99" w:rsidRDefault="00F05AB0" w:rsidP="00B25664">
            <w:pPr>
              <w:rPr>
                <w:rFonts w:ascii="Arial" w:hAnsi="Arial" w:cs="Arial"/>
                <w:sz w:val="18"/>
                <w:szCs w:val="18"/>
              </w:rPr>
            </w:pPr>
          </w:p>
        </w:tc>
      </w:tr>
      <w:tr w:rsidR="00F05AB0" w:rsidRPr="00444F99" w14:paraId="5F09607E" w14:textId="77777777" w:rsidTr="00F05AB0">
        <w:tc>
          <w:tcPr>
            <w:tcW w:w="445" w:type="dxa"/>
          </w:tcPr>
          <w:p w14:paraId="27AE2AC7" w14:textId="77777777" w:rsidR="00F05AB0" w:rsidRPr="00444F99" w:rsidRDefault="00F05AB0" w:rsidP="00B25664">
            <w:pPr>
              <w:rPr>
                <w:rFonts w:ascii="Arial" w:hAnsi="Arial" w:cs="Arial"/>
                <w:sz w:val="18"/>
                <w:szCs w:val="18"/>
              </w:rPr>
            </w:pPr>
          </w:p>
        </w:tc>
        <w:tc>
          <w:tcPr>
            <w:tcW w:w="1350" w:type="dxa"/>
          </w:tcPr>
          <w:p w14:paraId="5FABC9CA" w14:textId="77777777" w:rsidR="00F05AB0" w:rsidRPr="00444F99" w:rsidRDefault="00F05AB0" w:rsidP="00B25664">
            <w:pPr>
              <w:rPr>
                <w:rFonts w:ascii="Arial" w:hAnsi="Arial" w:cs="Arial"/>
                <w:sz w:val="18"/>
                <w:szCs w:val="18"/>
              </w:rPr>
            </w:pPr>
          </w:p>
        </w:tc>
        <w:tc>
          <w:tcPr>
            <w:tcW w:w="1461" w:type="dxa"/>
          </w:tcPr>
          <w:p w14:paraId="5C693EBF" w14:textId="77777777" w:rsidR="00F05AB0" w:rsidRPr="00444F99" w:rsidRDefault="00F05AB0" w:rsidP="00B25664">
            <w:pPr>
              <w:rPr>
                <w:rFonts w:ascii="Arial" w:hAnsi="Arial" w:cs="Arial"/>
                <w:sz w:val="18"/>
                <w:szCs w:val="18"/>
              </w:rPr>
            </w:pPr>
            <w:r w:rsidRPr="00444F99">
              <w:rPr>
                <w:rFonts w:ascii="Arial" w:hAnsi="Arial" w:cs="Arial"/>
                <w:sz w:val="18"/>
                <w:szCs w:val="18"/>
              </w:rPr>
              <w:t>Other</w:t>
            </w:r>
          </w:p>
        </w:tc>
        <w:tc>
          <w:tcPr>
            <w:tcW w:w="3489" w:type="dxa"/>
          </w:tcPr>
          <w:p w14:paraId="4C990299" w14:textId="77777777" w:rsidR="00F05AB0" w:rsidRPr="00444F99" w:rsidRDefault="00F05AB0" w:rsidP="00B25664">
            <w:pPr>
              <w:rPr>
                <w:rFonts w:ascii="Arial" w:hAnsi="Arial" w:cs="Arial"/>
                <w:sz w:val="18"/>
                <w:szCs w:val="18"/>
              </w:rPr>
            </w:pPr>
            <w:r w:rsidRPr="00444F99">
              <w:rPr>
                <w:rFonts w:ascii="Arial" w:hAnsi="Arial" w:cs="Arial"/>
                <w:sz w:val="18"/>
                <w:szCs w:val="18"/>
              </w:rPr>
              <w:t>The comparison for the effects of stimulation was stimulation of the same location using a different rhythmic pattern that was hypothesized to have less of an effect on memory.</w:t>
            </w:r>
          </w:p>
        </w:tc>
        <w:tc>
          <w:tcPr>
            <w:tcW w:w="3330" w:type="dxa"/>
            <w:vMerge/>
          </w:tcPr>
          <w:p w14:paraId="25057FED" w14:textId="77777777" w:rsidR="00F05AB0" w:rsidRPr="00444F99" w:rsidRDefault="00F05AB0" w:rsidP="00B25664">
            <w:pPr>
              <w:rPr>
                <w:rFonts w:ascii="Arial" w:hAnsi="Arial" w:cs="Arial"/>
                <w:sz w:val="18"/>
                <w:szCs w:val="18"/>
              </w:rPr>
            </w:pPr>
          </w:p>
        </w:tc>
      </w:tr>
      <w:tr w:rsidR="00F05AB0" w:rsidRPr="00444F99" w14:paraId="3B1A9CCE" w14:textId="77777777" w:rsidTr="00F05AB0">
        <w:tc>
          <w:tcPr>
            <w:tcW w:w="445" w:type="dxa"/>
            <w:vMerge w:val="restart"/>
          </w:tcPr>
          <w:p w14:paraId="05C7A0DC" w14:textId="77777777" w:rsidR="00F05AB0" w:rsidRPr="00444F99" w:rsidRDefault="00F05AB0" w:rsidP="00B25664">
            <w:pPr>
              <w:rPr>
                <w:rFonts w:ascii="Arial" w:hAnsi="Arial" w:cs="Arial"/>
                <w:sz w:val="18"/>
                <w:szCs w:val="18"/>
              </w:rPr>
            </w:pPr>
            <w:r w:rsidRPr="00444F99">
              <w:rPr>
                <w:rFonts w:ascii="Arial" w:hAnsi="Arial" w:cs="Arial"/>
                <w:sz w:val="18"/>
                <w:szCs w:val="18"/>
              </w:rPr>
              <w:t>10</w:t>
            </w:r>
          </w:p>
        </w:tc>
        <w:tc>
          <w:tcPr>
            <w:tcW w:w="1350" w:type="dxa"/>
            <w:vMerge w:val="restart"/>
          </w:tcPr>
          <w:p w14:paraId="5672DEA7" w14:textId="77777777" w:rsidR="00F05AB0" w:rsidRPr="00444F99" w:rsidRDefault="00F05AB0" w:rsidP="00B25664">
            <w:pPr>
              <w:rPr>
                <w:rFonts w:ascii="Arial" w:hAnsi="Arial" w:cs="Arial"/>
                <w:sz w:val="18"/>
                <w:szCs w:val="18"/>
              </w:rPr>
            </w:pPr>
            <w:r w:rsidRPr="00444F99">
              <w:rPr>
                <w:rFonts w:ascii="Arial" w:hAnsi="Arial" w:cs="Arial"/>
                <w:sz w:val="18"/>
                <w:szCs w:val="18"/>
              </w:rPr>
              <w:t>Design</w:t>
            </w:r>
          </w:p>
        </w:tc>
        <w:tc>
          <w:tcPr>
            <w:tcW w:w="1461" w:type="dxa"/>
          </w:tcPr>
          <w:p w14:paraId="0FD4987E" w14:textId="77777777" w:rsidR="00F05AB0" w:rsidRPr="00444F99" w:rsidRDefault="00F05AB0" w:rsidP="00B25664">
            <w:pPr>
              <w:rPr>
                <w:rFonts w:ascii="Arial" w:hAnsi="Arial" w:cs="Arial"/>
                <w:sz w:val="18"/>
                <w:szCs w:val="18"/>
              </w:rPr>
            </w:pPr>
            <w:r w:rsidRPr="00444F99">
              <w:rPr>
                <w:rFonts w:ascii="Arial" w:hAnsi="Arial" w:cs="Arial"/>
                <w:sz w:val="18"/>
                <w:szCs w:val="18"/>
              </w:rPr>
              <w:t>Post - Post</w:t>
            </w:r>
          </w:p>
        </w:tc>
        <w:tc>
          <w:tcPr>
            <w:tcW w:w="3489" w:type="dxa"/>
          </w:tcPr>
          <w:p w14:paraId="69EADBDC" w14:textId="77777777" w:rsidR="00F05AB0" w:rsidRPr="00444F99" w:rsidRDefault="00F05AB0" w:rsidP="00B25664">
            <w:pPr>
              <w:rPr>
                <w:rFonts w:ascii="Arial" w:hAnsi="Arial" w:cs="Arial"/>
                <w:sz w:val="18"/>
                <w:szCs w:val="18"/>
              </w:rPr>
            </w:pPr>
            <w:r w:rsidRPr="00444F99">
              <w:rPr>
                <w:rFonts w:ascii="Arial" w:hAnsi="Arial" w:cs="Arial"/>
                <w:sz w:val="18"/>
                <w:szCs w:val="18"/>
              </w:rPr>
              <w:t>The effects of stimulation on performance were statistically compared for after receiving HITS versus after receiving the control condition (e.g., t test of the performance scores after HITS versus after control).</w:t>
            </w:r>
          </w:p>
        </w:tc>
        <w:tc>
          <w:tcPr>
            <w:tcW w:w="3330" w:type="dxa"/>
            <w:vMerge w:val="restart"/>
          </w:tcPr>
          <w:p w14:paraId="720168B3" w14:textId="77777777" w:rsidR="00F05AB0" w:rsidRPr="00444F99" w:rsidRDefault="00F05AB0" w:rsidP="00B25664">
            <w:pPr>
              <w:rPr>
                <w:rFonts w:ascii="Arial" w:hAnsi="Arial" w:cs="Arial"/>
                <w:sz w:val="18"/>
                <w:szCs w:val="18"/>
              </w:rPr>
            </w:pPr>
            <w:r w:rsidRPr="00444F99">
              <w:rPr>
                <w:rFonts w:ascii="Arial" w:hAnsi="Arial" w:cs="Arial"/>
                <w:sz w:val="18"/>
                <w:szCs w:val="18"/>
              </w:rPr>
              <w:t>This was a post hoc factor. Different statistical designs are used to achieve different scientific objectives and to accommodate different practical constrains on experiment design. As the choice of statistical design would be expected to yield little if any effect on memory performance, any significant variation in effects of HITS on memory by analytic design would raise doubts about its robustness to small differences in experiment analysis choices.</w:t>
            </w:r>
          </w:p>
        </w:tc>
      </w:tr>
      <w:tr w:rsidR="00F05AB0" w:rsidRPr="00444F99" w14:paraId="51E6E440" w14:textId="77777777" w:rsidTr="00F05AB0">
        <w:tc>
          <w:tcPr>
            <w:tcW w:w="445" w:type="dxa"/>
            <w:vMerge/>
          </w:tcPr>
          <w:p w14:paraId="06FE5565" w14:textId="77777777" w:rsidR="00F05AB0" w:rsidRPr="00444F99" w:rsidRDefault="00F05AB0" w:rsidP="00B25664">
            <w:pPr>
              <w:rPr>
                <w:rFonts w:ascii="Arial" w:hAnsi="Arial" w:cs="Arial"/>
                <w:sz w:val="18"/>
                <w:szCs w:val="18"/>
              </w:rPr>
            </w:pPr>
          </w:p>
        </w:tc>
        <w:tc>
          <w:tcPr>
            <w:tcW w:w="1350" w:type="dxa"/>
            <w:vMerge/>
          </w:tcPr>
          <w:p w14:paraId="661EACE6" w14:textId="77777777" w:rsidR="00F05AB0" w:rsidRPr="00444F99" w:rsidRDefault="00F05AB0" w:rsidP="00B25664">
            <w:pPr>
              <w:rPr>
                <w:rFonts w:ascii="Arial" w:hAnsi="Arial" w:cs="Arial"/>
                <w:sz w:val="18"/>
                <w:szCs w:val="18"/>
              </w:rPr>
            </w:pPr>
          </w:p>
        </w:tc>
        <w:tc>
          <w:tcPr>
            <w:tcW w:w="1461" w:type="dxa"/>
          </w:tcPr>
          <w:p w14:paraId="41DBF003" w14:textId="77777777" w:rsidR="00F05AB0" w:rsidRPr="00444F99" w:rsidRDefault="00F05AB0" w:rsidP="00B25664">
            <w:pPr>
              <w:rPr>
                <w:rFonts w:ascii="Arial" w:hAnsi="Arial" w:cs="Arial"/>
                <w:sz w:val="18"/>
                <w:szCs w:val="18"/>
              </w:rPr>
            </w:pPr>
            <w:r w:rsidRPr="00444F99">
              <w:rPr>
                <w:rFonts w:ascii="Arial" w:hAnsi="Arial" w:cs="Arial"/>
                <w:sz w:val="18"/>
                <w:szCs w:val="18"/>
              </w:rPr>
              <w:t>Pre - Post</w:t>
            </w:r>
          </w:p>
        </w:tc>
        <w:tc>
          <w:tcPr>
            <w:tcW w:w="3489" w:type="dxa"/>
          </w:tcPr>
          <w:p w14:paraId="2D93719E" w14:textId="77777777" w:rsidR="00F05AB0" w:rsidRPr="00444F99" w:rsidRDefault="00F05AB0" w:rsidP="00B25664">
            <w:pPr>
              <w:rPr>
                <w:rFonts w:ascii="Arial" w:hAnsi="Arial" w:cs="Arial"/>
                <w:sz w:val="18"/>
                <w:szCs w:val="18"/>
              </w:rPr>
            </w:pPr>
            <w:r w:rsidRPr="00444F99">
              <w:rPr>
                <w:rFonts w:ascii="Arial" w:hAnsi="Arial" w:cs="Arial"/>
                <w:sz w:val="18"/>
                <w:szCs w:val="18"/>
              </w:rPr>
              <w:t>The statistical comparison of effects considered performance after versus before receiving HITS (e.g., t test of performance scores after HITS versus baseline before HITS).</w:t>
            </w:r>
          </w:p>
        </w:tc>
        <w:tc>
          <w:tcPr>
            <w:tcW w:w="3330" w:type="dxa"/>
            <w:vMerge/>
          </w:tcPr>
          <w:p w14:paraId="0C7A7BAA" w14:textId="77777777" w:rsidR="00F05AB0" w:rsidRPr="00444F99" w:rsidRDefault="00F05AB0" w:rsidP="00B25664">
            <w:pPr>
              <w:rPr>
                <w:rFonts w:ascii="Arial" w:hAnsi="Arial" w:cs="Arial"/>
                <w:sz w:val="18"/>
                <w:szCs w:val="18"/>
              </w:rPr>
            </w:pPr>
          </w:p>
        </w:tc>
      </w:tr>
      <w:tr w:rsidR="00F05AB0" w:rsidRPr="00444F99" w14:paraId="6B27B1A2" w14:textId="77777777" w:rsidTr="00F05AB0">
        <w:tc>
          <w:tcPr>
            <w:tcW w:w="445" w:type="dxa"/>
            <w:vMerge/>
          </w:tcPr>
          <w:p w14:paraId="21CF4DA2" w14:textId="77777777" w:rsidR="00F05AB0" w:rsidRPr="00444F99" w:rsidRDefault="00F05AB0" w:rsidP="00B25664">
            <w:pPr>
              <w:rPr>
                <w:rFonts w:ascii="Arial" w:hAnsi="Arial" w:cs="Arial"/>
                <w:sz w:val="18"/>
                <w:szCs w:val="18"/>
              </w:rPr>
            </w:pPr>
          </w:p>
        </w:tc>
        <w:tc>
          <w:tcPr>
            <w:tcW w:w="1350" w:type="dxa"/>
            <w:vMerge/>
          </w:tcPr>
          <w:p w14:paraId="28E20649" w14:textId="77777777" w:rsidR="00F05AB0" w:rsidRPr="00444F99" w:rsidRDefault="00F05AB0" w:rsidP="00B25664">
            <w:pPr>
              <w:rPr>
                <w:rFonts w:ascii="Arial" w:hAnsi="Arial" w:cs="Arial"/>
                <w:sz w:val="18"/>
                <w:szCs w:val="18"/>
              </w:rPr>
            </w:pPr>
          </w:p>
        </w:tc>
        <w:tc>
          <w:tcPr>
            <w:tcW w:w="1461" w:type="dxa"/>
          </w:tcPr>
          <w:p w14:paraId="0217EE79" w14:textId="77777777" w:rsidR="00F05AB0" w:rsidRPr="00444F99" w:rsidRDefault="00F05AB0" w:rsidP="00B25664">
            <w:pPr>
              <w:rPr>
                <w:rFonts w:ascii="Arial" w:hAnsi="Arial" w:cs="Arial"/>
                <w:sz w:val="18"/>
                <w:szCs w:val="18"/>
              </w:rPr>
            </w:pPr>
            <w:r w:rsidRPr="00444F99">
              <w:rPr>
                <w:rFonts w:ascii="Arial" w:hAnsi="Arial" w:cs="Arial"/>
                <w:sz w:val="18"/>
                <w:szCs w:val="18"/>
              </w:rPr>
              <w:t>Delta</w:t>
            </w:r>
          </w:p>
        </w:tc>
        <w:tc>
          <w:tcPr>
            <w:tcW w:w="3489" w:type="dxa"/>
          </w:tcPr>
          <w:p w14:paraId="6B24442A" w14:textId="77777777" w:rsidR="00F05AB0" w:rsidRPr="00444F99" w:rsidRDefault="00F05AB0" w:rsidP="00B25664">
            <w:pPr>
              <w:rPr>
                <w:rFonts w:ascii="Arial" w:hAnsi="Arial" w:cs="Arial"/>
                <w:sz w:val="18"/>
                <w:szCs w:val="18"/>
              </w:rPr>
            </w:pPr>
            <w:r w:rsidRPr="00444F99">
              <w:rPr>
                <w:rFonts w:ascii="Arial" w:hAnsi="Arial" w:cs="Arial"/>
                <w:sz w:val="18"/>
                <w:szCs w:val="18"/>
              </w:rPr>
              <w:t>The statistical comparison of effects on performance was done by computing the pre- versus post-HITS change (delta) in scores and comparing to the pre- versus post-Control delta (e.g., t test of percentage change baseline to post-HITS versus percentage change baseline to post-Control).</w:t>
            </w:r>
          </w:p>
        </w:tc>
        <w:tc>
          <w:tcPr>
            <w:tcW w:w="3330" w:type="dxa"/>
            <w:vMerge/>
          </w:tcPr>
          <w:p w14:paraId="6957DF8A" w14:textId="77777777" w:rsidR="00F05AB0" w:rsidRPr="00444F99" w:rsidRDefault="00F05AB0" w:rsidP="00B25664">
            <w:pPr>
              <w:rPr>
                <w:rFonts w:ascii="Arial" w:hAnsi="Arial" w:cs="Arial"/>
                <w:sz w:val="18"/>
                <w:szCs w:val="18"/>
              </w:rPr>
            </w:pPr>
          </w:p>
        </w:tc>
      </w:tr>
      <w:tr w:rsidR="00F05AB0" w:rsidRPr="00444F99" w14:paraId="779EA33D" w14:textId="77777777" w:rsidTr="00F05AB0">
        <w:tc>
          <w:tcPr>
            <w:tcW w:w="445" w:type="dxa"/>
            <w:vMerge/>
          </w:tcPr>
          <w:p w14:paraId="6CD68165" w14:textId="77777777" w:rsidR="00F05AB0" w:rsidRPr="00444F99" w:rsidRDefault="00F05AB0" w:rsidP="00B25664">
            <w:pPr>
              <w:rPr>
                <w:rFonts w:ascii="Arial" w:hAnsi="Arial" w:cs="Arial"/>
                <w:sz w:val="18"/>
                <w:szCs w:val="18"/>
              </w:rPr>
            </w:pPr>
          </w:p>
        </w:tc>
        <w:tc>
          <w:tcPr>
            <w:tcW w:w="1350" w:type="dxa"/>
            <w:vMerge/>
          </w:tcPr>
          <w:p w14:paraId="7C2EEF1B" w14:textId="77777777" w:rsidR="00F05AB0" w:rsidRPr="00444F99" w:rsidRDefault="00F05AB0" w:rsidP="00B25664">
            <w:pPr>
              <w:rPr>
                <w:rFonts w:ascii="Arial" w:hAnsi="Arial" w:cs="Arial"/>
                <w:sz w:val="18"/>
                <w:szCs w:val="18"/>
              </w:rPr>
            </w:pPr>
          </w:p>
        </w:tc>
        <w:tc>
          <w:tcPr>
            <w:tcW w:w="1461" w:type="dxa"/>
          </w:tcPr>
          <w:p w14:paraId="2F97E2E9" w14:textId="77777777" w:rsidR="00F05AB0" w:rsidRPr="00444F99" w:rsidRDefault="00F05AB0" w:rsidP="00B25664">
            <w:pPr>
              <w:rPr>
                <w:rFonts w:ascii="Arial" w:hAnsi="Arial" w:cs="Arial"/>
                <w:sz w:val="18"/>
                <w:szCs w:val="18"/>
              </w:rPr>
            </w:pPr>
            <w:r w:rsidRPr="00444F99">
              <w:rPr>
                <w:rFonts w:ascii="Arial" w:hAnsi="Arial" w:cs="Arial"/>
                <w:sz w:val="18"/>
                <w:szCs w:val="18"/>
              </w:rPr>
              <w:t>Interaction</w:t>
            </w:r>
          </w:p>
        </w:tc>
        <w:tc>
          <w:tcPr>
            <w:tcW w:w="3489" w:type="dxa"/>
          </w:tcPr>
          <w:p w14:paraId="70E8C11C" w14:textId="77777777" w:rsidR="00F05AB0" w:rsidRPr="00444F99" w:rsidRDefault="00F05AB0" w:rsidP="00B25664">
            <w:pPr>
              <w:rPr>
                <w:rFonts w:ascii="Arial" w:hAnsi="Arial" w:cs="Arial"/>
                <w:sz w:val="18"/>
                <w:szCs w:val="18"/>
              </w:rPr>
            </w:pPr>
            <w:r w:rsidRPr="00444F99">
              <w:rPr>
                <w:rFonts w:ascii="Arial" w:hAnsi="Arial" w:cs="Arial"/>
                <w:sz w:val="18"/>
                <w:szCs w:val="18"/>
              </w:rPr>
              <w:t>The statistical test of effects on performance treated time (pre- versus post-) and stimulation type (HITS versus control) as factors, as in a RM-ANOVA.</w:t>
            </w:r>
          </w:p>
        </w:tc>
        <w:tc>
          <w:tcPr>
            <w:tcW w:w="3330" w:type="dxa"/>
            <w:vMerge/>
          </w:tcPr>
          <w:p w14:paraId="2C453F6A" w14:textId="77777777" w:rsidR="00F05AB0" w:rsidRPr="00444F99" w:rsidRDefault="00F05AB0" w:rsidP="00B25664">
            <w:pPr>
              <w:rPr>
                <w:rFonts w:ascii="Arial" w:hAnsi="Arial" w:cs="Arial"/>
                <w:sz w:val="18"/>
                <w:szCs w:val="18"/>
              </w:rPr>
            </w:pPr>
          </w:p>
        </w:tc>
      </w:tr>
      <w:tr w:rsidR="00F05AB0" w:rsidRPr="00444F99" w14:paraId="7E7E9EB4" w14:textId="77777777" w:rsidTr="00F05AB0">
        <w:tc>
          <w:tcPr>
            <w:tcW w:w="445" w:type="dxa"/>
            <w:vMerge/>
          </w:tcPr>
          <w:p w14:paraId="1BE96448" w14:textId="77777777" w:rsidR="00F05AB0" w:rsidRPr="00444F99" w:rsidRDefault="00F05AB0" w:rsidP="00B25664">
            <w:pPr>
              <w:rPr>
                <w:rFonts w:ascii="Arial" w:hAnsi="Arial" w:cs="Arial"/>
                <w:sz w:val="18"/>
                <w:szCs w:val="18"/>
              </w:rPr>
            </w:pPr>
          </w:p>
        </w:tc>
        <w:tc>
          <w:tcPr>
            <w:tcW w:w="1350" w:type="dxa"/>
            <w:vMerge/>
          </w:tcPr>
          <w:p w14:paraId="63B8E137" w14:textId="77777777" w:rsidR="00F05AB0" w:rsidRPr="00444F99" w:rsidRDefault="00F05AB0" w:rsidP="00B25664">
            <w:pPr>
              <w:rPr>
                <w:rFonts w:ascii="Arial" w:hAnsi="Arial" w:cs="Arial"/>
                <w:sz w:val="18"/>
                <w:szCs w:val="18"/>
              </w:rPr>
            </w:pPr>
          </w:p>
        </w:tc>
        <w:tc>
          <w:tcPr>
            <w:tcW w:w="1461" w:type="dxa"/>
          </w:tcPr>
          <w:p w14:paraId="46A4EAA0" w14:textId="77777777" w:rsidR="00F05AB0" w:rsidRPr="00444F99" w:rsidRDefault="00F05AB0" w:rsidP="00B25664">
            <w:pPr>
              <w:rPr>
                <w:rFonts w:ascii="Arial" w:hAnsi="Arial" w:cs="Arial"/>
                <w:sz w:val="18"/>
                <w:szCs w:val="18"/>
              </w:rPr>
            </w:pPr>
            <w:r w:rsidRPr="00444F99">
              <w:rPr>
                <w:rFonts w:ascii="Arial" w:hAnsi="Arial" w:cs="Arial"/>
                <w:sz w:val="18"/>
                <w:szCs w:val="18"/>
              </w:rPr>
              <w:t>Other</w:t>
            </w:r>
          </w:p>
        </w:tc>
        <w:tc>
          <w:tcPr>
            <w:tcW w:w="3489" w:type="dxa"/>
          </w:tcPr>
          <w:p w14:paraId="3FC9C854" w14:textId="77777777" w:rsidR="00F05AB0" w:rsidRPr="00444F99" w:rsidRDefault="00F05AB0" w:rsidP="00B25664">
            <w:pPr>
              <w:rPr>
                <w:rFonts w:ascii="Arial" w:hAnsi="Arial" w:cs="Arial"/>
                <w:sz w:val="18"/>
                <w:szCs w:val="18"/>
              </w:rPr>
            </w:pPr>
            <w:r w:rsidRPr="00444F99">
              <w:rPr>
                <w:rFonts w:ascii="Arial" w:hAnsi="Arial" w:cs="Arial"/>
                <w:sz w:val="18"/>
                <w:szCs w:val="18"/>
              </w:rPr>
              <w:t>More than two stimulation conditions, including the control condition, were compared as factors, as in a RM-ANOVA</w:t>
            </w:r>
          </w:p>
        </w:tc>
        <w:tc>
          <w:tcPr>
            <w:tcW w:w="3330" w:type="dxa"/>
            <w:vMerge/>
          </w:tcPr>
          <w:p w14:paraId="3B170DF1" w14:textId="77777777" w:rsidR="00F05AB0" w:rsidRPr="00444F99" w:rsidRDefault="00F05AB0" w:rsidP="00B25664">
            <w:pPr>
              <w:rPr>
                <w:rFonts w:ascii="Arial" w:hAnsi="Arial" w:cs="Arial"/>
                <w:sz w:val="18"/>
                <w:szCs w:val="18"/>
              </w:rPr>
            </w:pPr>
          </w:p>
        </w:tc>
      </w:tr>
      <w:tr w:rsidR="00F05AB0" w:rsidRPr="00444F99" w14:paraId="5F980C4C" w14:textId="77777777" w:rsidTr="00F05AB0">
        <w:tc>
          <w:tcPr>
            <w:tcW w:w="445" w:type="dxa"/>
            <w:vMerge w:val="restart"/>
          </w:tcPr>
          <w:p w14:paraId="5A9B5C85" w14:textId="77777777" w:rsidR="00F05AB0" w:rsidRPr="00444F99" w:rsidRDefault="00F05AB0" w:rsidP="00B25664">
            <w:pPr>
              <w:rPr>
                <w:rFonts w:ascii="Arial" w:hAnsi="Arial" w:cs="Arial"/>
                <w:sz w:val="18"/>
                <w:szCs w:val="18"/>
              </w:rPr>
            </w:pPr>
            <w:r w:rsidRPr="00444F99">
              <w:rPr>
                <w:rFonts w:ascii="Arial" w:hAnsi="Arial" w:cs="Arial"/>
                <w:sz w:val="18"/>
                <w:szCs w:val="18"/>
              </w:rPr>
              <w:t>11</w:t>
            </w:r>
          </w:p>
        </w:tc>
        <w:tc>
          <w:tcPr>
            <w:tcW w:w="1350" w:type="dxa"/>
            <w:vMerge w:val="restart"/>
          </w:tcPr>
          <w:p w14:paraId="15394159" w14:textId="77777777" w:rsidR="00F05AB0" w:rsidRPr="00444F99" w:rsidRDefault="00F05AB0" w:rsidP="00B25664">
            <w:pPr>
              <w:rPr>
                <w:rFonts w:ascii="Arial" w:hAnsi="Arial" w:cs="Arial"/>
                <w:sz w:val="18"/>
                <w:szCs w:val="18"/>
              </w:rPr>
            </w:pPr>
            <w:r w:rsidRPr="00444F99">
              <w:rPr>
                <w:rFonts w:ascii="Arial" w:hAnsi="Arial" w:cs="Arial"/>
                <w:sz w:val="18"/>
                <w:szCs w:val="18"/>
              </w:rPr>
              <w:t>TMS protocol</w:t>
            </w:r>
          </w:p>
        </w:tc>
        <w:tc>
          <w:tcPr>
            <w:tcW w:w="1461" w:type="dxa"/>
          </w:tcPr>
          <w:p w14:paraId="508C9D71" w14:textId="77777777" w:rsidR="00F05AB0" w:rsidRPr="00444F99" w:rsidRDefault="00F05AB0" w:rsidP="00B25664">
            <w:pPr>
              <w:rPr>
                <w:rFonts w:ascii="Arial" w:hAnsi="Arial" w:cs="Arial"/>
                <w:sz w:val="18"/>
                <w:szCs w:val="18"/>
              </w:rPr>
            </w:pPr>
            <w:proofErr w:type="spellStart"/>
            <w:r w:rsidRPr="00444F99">
              <w:rPr>
                <w:rFonts w:ascii="Arial" w:hAnsi="Arial" w:cs="Arial"/>
                <w:sz w:val="18"/>
                <w:szCs w:val="18"/>
              </w:rPr>
              <w:t>rTMS</w:t>
            </w:r>
            <w:proofErr w:type="spellEnd"/>
          </w:p>
        </w:tc>
        <w:tc>
          <w:tcPr>
            <w:tcW w:w="3489" w:type="dxa"/>
          </w:tcPr>
          <w:p w14:paraId="3D80D50A" w14:textId="77777777" w:rsidR="00F05AB0" w:rsidRPr="00444F99" w:rsidRDefault="00F05AB0" w:rsidP="00B25664">
            <w:pPr>
              <w:rPr>
                <w:rFonts w:ascii="Arial" w:hAnsi="Arial" w:cs="Arial"/>
                <w:sz w:val="18"/>
                <w:szCs w:val="18"/>
              </w:rPr>
            </w:pPr>
            <w:proofErr w:type="spellStart"/>
            <w:r>
              <w:rPr>
                <w:rFonts w:ascii="Arial" w:hAnsi="Arial" w:cs="Arial"/>
                <w:sz w:val="18"/>
                <w:szCs w:val="18"/>
              </w:rPr>
              <w:t>rTMS</w:t>
            </w:r>
            <w:proofErr w:type="spellEnd"/>
            <w:r w:rsidRPr="00444F99">
              <w:rPr>
                <w:rFonts w:ascii="Arial" w:hAnsi="Arial" w:cs="Arial"/>
                <w:sz w:val="18"/>
                <w:szCs w:val="18"/>
              </w:rPr>
              <w:t xml:space="preserve"> (</w:t>
            </w:r>
            <w:r>
              <w:rPr>
                <w:rFonts w:ascii="Arial" w:hAnsi="Arial" w:cs="Arial"/>
                <w:sz w:val="18"/>
                <w:szCs w:val="18"/>
              </w:rPr>
              <w:t xml:space="preserve">1, </w:t>
            </w:r>
            <w:r w:rsidRPr="00444F99">
              <w:rPr>
                <w:rFonts w:ascii="Arial" w:hAnsi="Arial" w:cs="Arial"/>
                <w:sz w:val="18"/>
                <w:szCs w:val="18"/>
              </w:rPr>
              <w:t>10, 15, or 20 Hz) applied in either short trains of several seconds,</w:t>
            </w:r>
            <w:r>
              <w:rPr>
                <w:rFonts w:ascii="Arial" w:hAnsi="Arial" w:cs="Arial"/>
                <w:sz w:val="18"/>
                <w:szCs w:val="18"/>
              </w:rPr>
              <w:t xml:space="preserve"> minutes,</w:t>
            </w:r>
            <w:r w:rsidRPr="00444F99">
              <w:rPr>
                <w:rFonts w:ascii="Arial" w:hAnsi="Arial" w:cs="Arial"/>
                <w:sz w:val="18"/>
                <w:szCs w:val="18"/>
              </w:rPr>
              <w:t xml:space="preserve"> or as a longer, approximately 20-min train</w:t>
            </w:r>
            <w:r>
              <w:rPr>
                <w:rFonts w:ascii="Arial" w:hAnsi="Arial" w:cs="Arial"/>
                <w:sz w:val="18"/>
                <w:szCs w:val="18"/>
              </w:rPr>
              <w:t>s</w:t>
            </w:r>
            <w:r w:rsidRPr="00444F99">
              <w:rPr>
                <w:rFonts w:ascii="Arial" w:hAnsi="Arial" w:cs="Arial"/>
                <w:sz w:val="18"/>
                <w:szCs w:val="18"/>
              </w:rPr>
              <w:t xml:space="preserve"> per session.</w:t>
            </w:r>
            <w:r>
              <w:rPr>
                <w:rFonts w:ascii="Arial" w:hAnsi="Arial" w:cs="Arial"/>
                <w:sz w:val="18"/>
                <w:szCs w:val="18"/>
              </w:rPr>
              <w:t xml:space="preserve"> Note that only two studies used 1 Hz </w:t>
            </w:r>
            <w:proofErr w:type="spellStart"/>
            <w:r>
              <w:rPr>
                <w:rFonts w:ascii="Arial" w:hAnsi="Arial" w:cs="Arial"/>
                <w:sz w:val="18"/>
                <w:szCs w:val="18"/>
              </w:rPr>
              <w:t>rTMS</w:t>
            </w:r>
            <w:proofErr w:type="spellEnd"/>
            <w:r>
              <w:rPr>
                <w:rFonts w:ascii="Arial" w:hAnsi="Arial" w:cs="Arial"/>
                <w:sz w:val="18"/>
                <w:szCs w:val="18"/>
              </w:rPr>
              <w:t xml:space="preserve"> whereas all others used 10Hz or higher.</w:t>
            </w:r>
          </w:p>
        </w:tc>
        <w:tc>
          <w:tcPr>
            <w:tcW w:w="3330" w:type="dxa"/>
            <w:vMerge w:val="restart"/>
          </w:tcPr>
          <w:p w14:paraId="1279A412" w14:textId="77777777" w:rsidR="00F05AB0" w:rsidRPr="00444F99" w:rsidRDefault="00F05AB0" w:rsidP="00B25664">
            <w:pPr>
              <w:rPr>
                <w:rFonts w:ascii="Arial" w:hAnsi="Arial" w:cs="Arial"/>
                <w:sz w:val="18"/>
                <w:szCs w:val="18"/>
              </w:rPr>
            </w:pPr>
            <w:r w:rsidRPr="00444F99">
              <w:rPr>
                <w:rFonts w:ascii="Arial" w:hAnsi="Arial" w:cs="Arial"/>
                <w:sz w:val="18"/>
                <w:szCs w:val="18"/>
              </w:rPr>
              <w:t>Some evidence suggests that theta burst stimulation has greater effects on hippocampal network activity and episodic memory performance. However, this factor was strongly correlated with Intensity and Sessions factors (Figure S2). NOTE: this factor was not retained in the lasso regressions as it was strongly correlated with other factors, thus warranting no strong a priori hypotheses of its independent contributions.</w:t>
            </w:r>
          </w:p>
        </w:tc>
      </w:tr>
      <w:tr w:rsidR="00F05AB0" w:rsidRPr="00444F99" w14:paraId="60A8D852" w14:textId="77777777" w:rsidTr="00F05AB0">
        <w:tc>
          <w:tcPr>
            <w:tcW w:w="445" w:type="dxa"/>
            <w:vMerge/>
          </w:tcPr>
          <w:p w14:paraId="671C9D91" w14:textId="77777777" w:rsidR="00F05AB0" w:rsidRPr="00444F99" w:rsidRDefault="00F05AB0" w:rsidP="00B25664">
            <w:pPr>
              <w:rPr>
                <w:rFonts w:ascii="Arial" w:hAnsi="Arial" w:cs="Arial"/>
                <w:sz w:val="18"/>
                <w:szCs w:val="18"/>
              </w:rPr>
            </w:pPr>
          </w:p>
        </w:tc>
        <w:tc>
          <w:tcPr>
            <w:tcW w:w="1350" w:type="dxa"/>
            <w:vMerge/>
          </w:tcPr>
          <w:p w14:paraId="4FD5BB56" w14:textId="77777777" w:rsidR="00F05AB0" w:rsidRPr="00444F99" w:rsidRDefault="00F05AB0" w:rsidP="00B25664">
            <w:pPr>
              <w:rPr>
                <w:rFonts w:ascii="Arial" w:hAnsi="Arial" w:cs="Arial"/>
                <w:sz w:val="18"/>
                <w:szCs w:val="18"/>
              </w:rPr>
            </w:pPr>
          </w:p>
        </w:tc>
        <w:tc>
          <w:tcPr>
            <w:tcW w:w="1461" w:type="dxa"/>
          </w:tcPr>
          <w:p w14:paraId="5580AF27" w14:textId="77777777" w:rsidR="00F05AB0" w:rsidRPr="00444F99" w:rsidRDefault="00F05AB0" w:rsidP="00B25664">
            <w:pPr>
              <w:rPr>
                <w:rFonts w:ascii="Arial" w:hAnsi="Arial" w:cs="Arial"/>
                <w:sz w:val="18"/>
                <w:szCs w:val="18"/>
              </w:rPr>
            </w:pPr>
            <w:r w:rsidRPr="00444F99">
              <w:rPr>
                <w:rFonts w:ascii="Arial" w:hAnsi="Arial" w:cs="Arial"/>
                <w:sz w:val="18"/>
                <w:szCs w:val="18"/>
              </w:rPr>
              <w:t>TBS</w:t>
            </w:r>
          </w:p>
        </w:tc>
        <w:tc>
          <w:tcPr>
            <w:tcW w:w="3489" w:type="dxa"/>
          </w:tcPr>
          <w:p w14:paraId="44CC4E00" w14:textId="77777777" w:rsidR="00F05AB0" w:rsidRPr="00444F99" w:rsidRDefault="00F05AB0" w:rsidP="00B25664">
            <w:pPr>
              <w:rPr>
                <w:rFonts w:ascii="Arial" w:hAnsi="Arial" w:cs="Arial"/>
                <w:sz w:val="18"/>
                <w:szCs w:val="18"/>
              </w:rPr>
            </w:pPr>
            <w:r w:rsidRPr="00444F99">
              <w:rPr>
                <w:rFonts w:ascii="Arial" w:hAnsi="Arial" w:cs="Arial"/>
                <w:sz w:val="18"/>
                <w:szCs w:val="18"/>
              </w:rPr>
              <w:t>Theta-burst stimulation, including short trains of several seconds of theta burst, or as continuous theta burst (40 s) or intermittent theta burst (5 minutes) sessions.</w:t>
            </w:r>
          </w:p>
        </w:tc>
        <w:tc>
          <w:tcPr>
            <w:tcW w:w="3330" w:type="dxa"/>
            <w:vMerge/>
          </w:tcPr>
          <w:p w14:paraId="6CD91FE0" w14:textId="77777777" w:rsidR="00F05AB0" w:rsidRPr="00444F99" w:rsidRDefault="00F05AB0" w:rsidP="00B25664">
            <w:pPr>
              <w:rPr>
                <w:rFonts w:ascii="Arial" w:hAnsi="Arial" w:cs="Arial"/>
                <w:sz w:val="18"/>
                <w:szCs w:val="18"/>
              </w:rPr>
            </w:pPr>
          </w:p>
        </w:tc>
      </w:tr>
    </w:tbl>
    <w:p w14:paraId="487FBD0C" w14:textId="4BEF2E06" w:rsidR="00F05AB0" w:rsidRPr="00C46681" w:rsidRDefault="00F05AB0" w:rsidP="00F05AB0">
      <w:pPr>
        <w:spacing w:before="120"/>
        <w:rPr>
          <w:b/>
          <w:bCs/>
        </w:rPr>
      </w:pPr>
      <w:r>
        <w:rPr>
          <w:b/>
          <w:bCs/>
        </w:rPr>
        <w:t>Supplementary File 1</w:t>
      </w:r>
      <w:r w:rsidRPr="00C46681">
        <w:rPr>
          <w:b/>
          <w:bCs/>
        </w:rPr>
        <w:t xml:space="preserve">. </w:t>
      </w:r>
      <w:r>
        <w:rPr>
          <w:b/>
          <w:bCs/>
        </w:rPr>
        <w:t>Table providing d</w:t>
      </w:r>
      <w:r w:rsidRPr="00C46681">
        <w:rPr>
          <w:b/>
          <w:bCs/>
        </w:rPr>
        <w:t>escription of study factors.</w:t>
      </w:r>
    </w:p>
    <w:p w14:paraId="5B5B9F7E" w14:textId="77777777" w:rsidR="00B97AFD" w:rsidRDefault="00000000"/>
    <w:sectPr w:rsidR="00B97AFD" w:rsidSect="00F05A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B0"/>
    <w:rsid w:val="00007474"/>
    <w:rsid w:val="002341A3"/>
    <w:rsid w:val="002B6D69"/>
    <w:rsid w:val="003154F7"/>
    <w:rsid w:val="003E0894"/>
    <w:rsid w:val="00410A03"/>
    <w:rsid w:val="00580924"/>
    <w:rsid w:val="00590E37"/>
    <w:rsid w:val="006042FE"/>
    <w:rsid w:val="00625ED6"/>
    <w:rsid w:val="006448E1"/>
    <w:rsid w:val="00675AF1"/>
    <w:rsid w:val="00675F30"/>
    <w:rsid w:val="00734977"/>
    <w:rsid w:val="007868B8"/>
    <w:rsid w:val="00A30061"/>
    <w:rsid w:val="00A812AF"/>
    <w:rsid w:val="00B33B48"/>
    <w:rsid w:val="00D85D17"/>
    <w:rsid w:val="00D93910"/>
    <w:rsid w:val="00DC0524"/>
    <w:rsid w:val="00E26D0A"/>
    <w:rsid w:val="00E82693"/>
    <w:rsid w:val="00E83348"/>
    <w:rsid w:val="00F05AB0"/>
    <w:rsid w:val="00F5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E4826"/>
  <w14:defaultImageDpi w14:val="32767"/>
  <w15:chartTrackingRefBased/>
  <w15:docId w15:val="{EFC48ED4-C663-7C4E-8E2E-536CD924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AB0"/>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AB0"/>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1777</Words>
  <Characters>10133</Characters>
  <Application>Microsoft Office Word</Application>
  <DocSecurity>0</DocSecurity>
  <Lines>84</Lines>
  <Paragraphs>23</Paragraphs>
  <ScaleCrop>false</ScaleCrop>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Voss</dc:creator>
  <cp:keywords/>
  <dc:description/>
  <cp:lastModifiedBy>Joel Voss</cp:lastModifiedBy>
  <cp:revision>1</cp:revision>
  <dcterms:created xsi:type="dcterms:W3CDTF">2026-04-24T19:18:00Z</dcterms:created>
  <dcterms:modified xsi:type="dcterms:W3CDTF">2026-04-24T19:21:00Z</dcterms:modified>
</cp:coreProperties>
</file>