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0FA716" w14:textId="77777777" w:rsidR="00E97E02" w:rsidRDefault="00E97E02" w:rsidP="00E97E02">
      <w:pPr>
        <w:jc w:val="center"/>
        <w:rPr>
          <w:lang w:val="en-US"/>
        </w:rPr>
      </w:pPr>
    </w:p>
    <w:p w14:paraId="3348045E" w14:textId="77777777" w:rsidR="00E97E02" w:rsidRDefault="00E97E02" w:rsidP="00E97E02">
      <w:pPr>
        <w:jc w:val="center"/>
        <w:rPr>
          <w:lang w:val="en-US"/>
        </w:rPr>
      </w:pPr>
    </w:p>
    <w:p w14:paraId="5F2B249D" w14:textId="77777777" w:rsidR="00E97E02" w:rsidRDefault="00E97E02" w:rsidP="00E97E02">
      <w:pPr>
        <w:jc w:val="center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D48A2" w14:paraId="1D6A5F3F" w14:textId="77777777" w:rsidTr="00FA6411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5DF430E1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 Chromosome end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C041B59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MLS length (</w:t>
            </w:r>
            <w:proofErr w:type="spellStart"/>
            <w:r>
              <w:rPr>
                <w:lang w:val="en-US"/>
              </w:rPr>
              <w:t>nt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49A2FF3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Unique 32 </w:t>
            </w:r>
            <w:proofErr w:type="spellStart"/>
            <w:r>
              <w:rPr>
                <w:lang w:val="en-US"/>
              </w:rPr>
              <w:t>nt</w:t>
            </w:r>
            <w:proofErr w:type="spellEnd"/>
            <w:r>
              <w:rPr>
                <w:lang w:val="en-US"/>
              </w:rPr>
              <w:t xml:space="preserve"> Sequences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6A2E589D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Unique 32 </w:t>
            </w:r>
            <w:proofErr w:type="spellStart"/>
            <w:r>
              <w:rPr>
                <w:lang w:val="en-US"/>
              </w:rPr>
              <w:t>nt</w:t>
            </w:r>
            <w:proofErr w:type="spellEnd"/>
            <w:r>
              <w:rPr>
                <w:lang w:val="en-US"/>
              </w:rPr>
              <w:t xml:space="preserve"> Sequences with 40-70% GC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0F0A68FD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Non-overlapping 32 </w:t>
            </w:r>
            <w:proofErr w:type="spellStart"/>
            <w:r>
              <w:rPr>
                <w:lang w:val="en-US"/>
              </w:rPr>
              <w:t>nt</w:t>
            </w:r>
            <w:proofErr w:type="spellEnd"/>
            <w:r>
              <w:rPr>
                <w:lang w:val="en-US"/>
              </w:rPr>
              <w:t xml:space="preserve"> Probes</w:t>
            </w:r>
          </w:p>
        </w:tc>
      </w:tr>
      <w:tr w:rsidR="009D48A2" w14:paraId="2160D240" w14:textId="77777777" w:rsidTr="00FA6411">
        <w:tc>
          <w:tcPr>
            <w:tcW w:w="1803" w:type="dxa"/>
            <w:tcBorders>
              <w:top w:val="single" w:sz="4" w:space="0" w:color="auto"/>
            </w:tcBorders>
          </w:tcPr>
          <w:p w14:paraId="14D4A33F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1L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3C875392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431352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2E9DDDE9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140701(32.6%)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7956ED43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8473 (2.0%)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16D91755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596</w:t>
            </w:r>
          </w:p>
        </w:tc>
      </w:tr>
      <w:tr w:rsidR="009D48A2" w14:paraId="793CE257" w14:textId="77777777" w:rsidTr="00FA6411">
        <w:tc>
          <w:tcPr>
            <w:tcW w:w="1803" w:type="dxa"/>
          </w:tcPr>
          <w:p w14:paraId="1A6EA7D6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2L</w:t>
            </w:r>
          </w:p>
        </w:tc>
        <w:tc>
          <w:tcPr>
            <w:tcW w:w="1803" w:type="dxa"/>
          </w:tcPr>
          <w:p w14:paraId="22297444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276442</w:t>
            </w:r>
          </w:p>
        </w:tc>
        <w:tc>
          <w:tcPr>
            <w:tcW w:w="1803" w:type="dxa"/>
          </w:tcPr>
          <w:p w14:paraId="2B5E1F09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95365 (34.5%)</w:t>
            </w:r>
          </w:p>
        </w:tc>
        <w:tc>
          <w:tcPr>
            <w:tcW w:w="1803" w:type="dxa"/>
          </w:tcPr>
          <w:p w14:paraId="54D956F0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5199 (1.9%)</w:t>
            </w:r>
          </w:p>
        </w:tc>
        <w:tc>
          <w:tcPr>
            <w:tcW w:w="1804" w:type="dxa"/>
          </w:tcPr>
          <w:p w14:paraId="30E917A5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</w:tr>
      <w:tr w:rsidR="009D48A2" w14:paraId="233C4024" w14:textId="77777777" w:rsidTr="00FA6411">
        <w:tc>
          <w:tcPr>
            <w:tcW w:w="1803" w:type="dxa"/>
          </w:tcPr>
          <w:p w14:paraId="2FC415CC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2R</w:t>
            </w:r>
          </w:p>
        </w:tc>
        <w:tc>
          <w:tcPr>
            <w:tcW w:w="1803" w:type="dxa"/>
          </w:tcPr>
          <w:p w14:paraId="1085060F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289068</w:t>
            </w:r>
          </w:p>
        </w:tc>
        <w:tc>
          <w:tcPr>
            <w:tcW w:w="1803" w:type="dxa"/>
          </w:tcPr>
          <w:p w14:paraId="5A4623D9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63154 (21.9%)</w:t>
            </w:r>
          </w:p>
        </w:tc>
        <w:tc>
          <w:tcPr>
            <w:tcW w:w="1803" w:type="dxa"/>
          </w:tcPr>
          <w:p w14:paraId="4FDA10BA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3829 (1.3%)</w:t>
            </w:r>
          </w:p>
        </w:tc>
        <w:tc>
          <w:tcPr>
            <w:tcW w:w="1804" w:type="dxa"/>
          </w:tcPr>
          <w:p w14:paraId="7BC081B0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</w:p>
        </w:tc>
      </w:tr>
      <w:tr w:rsidR="009D48A2" w14:paraId="05BA89DA" w14:textId="77777777" w:rsidTr="00FA6411">
        <w:tc>
          <w:tcPr>
            <w:tcW w:w="1803" w:type="dxa"/>
          </w:tcPr>
          <w:p w14:paraId="59755AA7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3L</w:t>
            </w:r>
          </w:p>
        </w:tc>
        <w:tc>
          <w:tcPr>
            <w:tcW w:w="1803" w:type="dxa"/>
          </w:tcPr>
          <w:p w14:paraId="06238DA4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441828</w:t>
            </w:r>
          </w:p>
        </w:tc>
        <w:tc>
          <w:tcPr>
            <w:tcW w:w="1803" w:type="dxa"/>
          </w:tcPr>
          <w:p w14:paraId="1CFD7F4F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98378 (22.3%)</w:t>
            </w:r>
          </w:p>
        </w:tc>
        <w:tc>
          <w:tcPr>
            <w:tcW w:w="1803" w:type="dxa"/>
          </w:tcPr>
          <w:p w14:paraId="4409AC0D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6237 (1.4%)</w:t>
            </w:r>
          </w:p>
        </w:tc>
        <w:tc>
          <w:tcPr>
            <w:tcW w:w="1804" w:type="dxa"/>
          </w:tcPr>
          <w:p w14:paraId="421A4AF6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469</w:t>
            </w:r>
          </w:p>
        </w:tc>
      </w:tr>
      <w:tr w:rsidR="009D48A2" w14:paraId="1C722EC3" w14:textId="77777777" w:rsidTr="00FA6411">
        <w:tc>
          <w:tcPr>
            <w:tcW w:w="1803" w:type="dxa"/>
          </w:tcPr>
          <w:p w14:paraId="60471270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3R</w:t>
            </w:r>
          </w:p>
        </w:tc>
        <w:tc>
          <w:tcPr>
            <w:tcW w:w="1803" w:type="dxa"/>
          </w:tcPr>
          <w:p w14:paraId="219B2CE7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438933</w:t>
            </w:r>
          </w:p>
        </w:tc>
        <w:tc>
          <w:tcPr>
            <w:tcW w:w="1803" w:type="dxa"/>
          </w:tcPr>
          <w:p w14:paraId="59166811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72024 (16.4%)</w:t>
            </w:r>
          </w:p>
        </w:tc>
        <w:tc>
          <w:tcPr>
            <w:tcW w:w="1803" w:type="dxa"/>
          </w:tcPr>
          <w:p w14:paraId="4BA33F53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3906 (0.9%)</w:t>
            </w:r>
          </w:p>
        </w:tc>
        <w:tc>
          <w:tcPr>
            <w:tcW w:w="1804" w:type="dxa"/>
          </w:tcPr>
          <w:p w14:paraId="50C12340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</w:tr>
      <w:tr w:rsidR="009D48A2" w14:paraId="25B5703E" w14:textId="77777777" w:rsidTr="00FA6411">
        <w:tc>
          <w:tcPr>
            <w:tcW w:w="1803" w:type="dxa"/>
          </w:tcPr>
          <w:p w14:paraId="6378A084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4L</w:t>
            </w:r>
          </w:p>
        </w:tc>
        <w:tc>
          <w:tcPr>
            <w:tcW w:w="1803" w:type="dxa"/>
          </w:tcPr>
          <w:p w14:paraId="25B2D234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286856</w:t>
            </w:r>
          </w:p>
        </w:tc>
        <w:tc>
          <w:tcPr>
            <w:tcW w:w="1803" w:type="dxa"/>
          </w:tcPr>
          <w:p w14:paraId="5836DE18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46536 (16.2%)</w:t>
            </w:r>
          </w:p>
        </w:tc>
        <w:tc>
          <w:tcPr>
            <w:tcW w:w="1803" w:type="dxa"/>
          </w:tcPr>
          <w:p w14:paraId="4BF32A51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2690 (0.9%)</w:t>
            </w:r>
          </w:p>
        </w:tc>
        <w:tc>
          <w:tcPr>
            <w:tcW w:w="1804" w:type="dxa"/>
          </w:tcPr>
          <w:p w14:paraId="4AAB38F8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</w:tr>
      <w:tr w:rsidR="009D48A2" w14:paraId="375D9C72" w14:textId="77777777" w:rsidTr="00FA6411">
        <w:tc>
          <w:tcPr>
            <w:tcW w:w="1803" w:type="dxa"/>
          </w:tcPr>
          <w:p w14:paraId="3C9FAE73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4R</w:t>
            </w:r>
          </w:p>
        </w:tc>
        <w:tc>
          <w:tcPr>
            <w:tcW w:w="1803" w:type="dxa"/>
          </w:tcPr>
          <w:p w14:paraId="54F446E5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463156</w:t>
            </w:r>
          </w:p>
        </w:tc>
        <w:tc>
          <w:tcPr>
            <w:tcW w:w="1803" w:type="dxa"/>
          </w:tcPr>
          <w:p w14:paraId="3A50A638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95159 (20.6%)</w:t>
            </w:r>
          </w:p>
        </w:tc>
        <w:tc>
          <w:tcPr>
            <w:tcW w:w="1803" w:type="dxa"/>
          </w:tcPr>
          <w:p w14:paraId="430582D1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5365 (1.2%)</w:t>
            </w:r>
          </w:p>
        </w:tc>
        <w:tc>
          <w:tcPr>
            <w:tcW w:w="1804" w:type="dxa"/>
          </w:tcPr>
          <w:p w14:paraId="457868E9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</w:tc>
      </w:tr>
      <w:tr w:rsidR="009D48A2" w14:paraId="4ACA6141" w14:textId="77777777" w:rsidTr="00FA6411">
        <w:tc>
          <w:tcPr>
            <w:tcW w:w="1803" w:type="dxa"/>
            <w:tcBorders>
              <w:bottom w:val="single" w:sz="4" w:space="0" w:color="auto"/>
            </w:tcBorders>
          </w:tcPr>
          <w:p w14:paraId="1D47872D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5L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5C1980F1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276432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59749536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54218 (19.6%)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88D1587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3168 (1.1%)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077FBEE1" w14:textId="77777777" w:rsidR="009D48A2" w:rsidRDefault="009D48A2" w:rsidP="00FA6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238</w:t>
            </w:r>
          </w:p>
        </w:tc>
      </w:tr>
    </w:tbl>
    <w:p w14:paraId="6DF2037A" w14:textId="540D2F6B" w:rsidR="00E97E02" w:rsidRDefault="00E97E02" w:rsidP="00E97E02">
      <w:pPr>
        <w:rPr>
          <w:rStyle w:val="ll-highlight-and-annotate"/>
          <w:b/>
          <w:bCs/>
          <w:sz w:val="20"/>
          <w:szCs w:val="20"/>
        </w:rPr>
      </w:pPr>
    </w:p>
    <w:p w14:paraId="787C6105" w14:textId="77777777" w:rsidR="00E97E02" w:rsidRDefault="00E97E02" w:rsidP="00E97E02">
      <w:pPr>
        <w:rPr>
          <w:rStyle w:val="ll-highlight-and-annotate"/>
          <w:b/>
          <w:bCs/>
          <w:sz w:val="20"/>
          <w:szCs w:val="20"/>
        </w:rPr>
      </w:pPr>
    </w:p>
    <w:p w14:paraId="56A2E6D7" w14:textId="717DDC9C" w:rsidR="00E97E02" w:rsidRPr="00B432C8" w:rsidRDefault="00E97E02" w:rsidP="00E97E02">
      <w:pPr>
        <w:jc w:val="center"/>
        <w:rPr>
          <w:sz w:val="20"/>
          <w:szCs w:val="20"/>
        </w:rPr>
      </w:pPr>
      <w:r>
        <w:rPr>
          <w:rStyle w:val="ll-highlight-and-annotate"/>
          <w:b/>
          <w:bCs/>
          <w:sz w:val="20"/>
          <w:szCs w:val="20"/>
        </w:rPr>
        <w:t>Table</w:t>
      </w:r>
      <w:r w:rsidRPr="00A379E4">
        <w:rPr>
          <w:rStyle w:val="ll-highlight-and-annotate"/>
          <w:b/>
          <w:bCs/>
          <w:sz w:val="20"/>
          <w:szCs w:val="20"/>
        </w:rPr>
        <w:t xml:space="preserve"> </w:t>
      </w:r>
      <w:r w:rsidR="00F02D2A">
        <w:rPr>
          <w:rStyle w:val="ll-highlight-and-annotate"/>
          <w:b/>
          <w:bCs/>
          <w:sz w:val="20"/>
          <w:szCs w:val="20"/>
        </w:rPr>
        <w:t>A</w:t>
      </w:r>
      <w:r w:rsidRPr="00A379E4">
        <w:rPr>
          <w:rStyle w:val="ll-highlight-and-annotate"/>
          <w:b/>
          <w:bCs/>
          <w:sz w:val="20"/>
          <w:szCs w:val="20"/>
        </w:rPr>
        <w:t xml:space="preserve">. </w:t>
      </w:r>
      <w:r>
        <w:rPr>
          <w:rStyle w:val="ll-highlight-and-annotate"/>
          <w:b/>
          <w:bCs/>
          <w:sz w:val="20"/>
          <w:szCs w:val="20"/>
        </w:rPr>
        <w:t>Designing MLS-specific Oligo Probes</w:t>
      </w:r>
    </w:p>
    <w:p w14:paraId="2B4BCD9C" w14:textId="77777777" w:rsidR="00A9348E" w:rsidRDefault="00A9348E"/>
    <w:sectPr w:rsidR="00A9348E" w:rsidSect="00E97E02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D79471" w14:textId="77777777" w:rsidR="00693DEF" w:rsidRDefault="00693DEF">
      <w:pPr>
        <w:spacing w:after="0" w:line="240" w:lineRule="auto"/>
      </w:pPr>
      <w:r>
        <w:separator/>
      </w:r>
    </w:p>
  </w:endnote>
  <w:endnote w:type="continuationSeparator" w:id="0">
    <w:p w14:paraId="62385B07" w14:textId="77777777" w:rsidR="00693DEF" w:rsidRDefault="0069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558889884"/>
      <w:docPartObj>
        <w:docPartGallery w:val="Page Numbers (Bottom of Page)"/>
        <w:docPartUnique/>
      </w:docPartObj>
    </w:sdtPr>
    <w:sdtContent>
      <w:p w14:paraId="4230C292" w14:textId="77777777" w:rsidR="00E97E02" w:rsidRDefault="00E97E02" w:rsidP="00C35F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3A52DC2" w14:textId="77777777" w:rsidR="00E97E02" w:rsidRDefault="00E97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245495010"/>
      <w:docPartObj>
        <w:docPartGallery w:val="Page Numbers (Bottom of Page)"/>
        <w:docPartUnique/>
      </w:docPartObj>
    </w:sdtPr>
    <w:sdtContent>
      <w:p w14:paraId="7752E2EB" w14:textId="77777777" w:rsidR="00E97E02" w:rsidRDefault="00E97E02" w:rsidP="00C35F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41D848BB" w14:textId="77777777" w:rsidR="00E97E02" w:rsidRDefault="00E97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41EF5D" w14:textId="77777777" w:rsidR="00693DEF" w:rsidRDefault="00693DEF">
      <w:pPr>
        <w:spacing w:after="0" w:line="240" w:lineRule="auto"/>
      </w:pPr>
      <w:r>
        <w:separator/>
      </w:r>
    </w:p>
  </w:footnote>
  <w:footnote w:type="continuationSeparator" w:id="0">
    <w:p w14:paraId="06945BCF" w14:textId="77777777" w:rsidR="00693DEF" w:rsidRDefault="00693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02"/>
    <w:rsid w:val="00080846"/>
    <w:rsid w:val="000F59E8"/>
    <w:rsid w:val="002D280D"/>
    <w:rsid w:val="00693DEF"/>
    <w:rsid w:val="00811470"/>
    <w:rsid w:val="008B788A"/>
    <w:rsid w:val="009A19F2"/>
    <w:rsid w:val="009D48A2"/>
    <w:rsid w:val="00A9348E"/>
    <w:rsid w:val="00C8486F"/>
    <w:rsid w:val="00D123DA"/>
    <w:rsid w:val="00D6014E"/>
    <w:rsid w:val="00DF458B"/>
    <w:rsid w:val="00E97E02"/>
    <w:rsid w:val="00EF4C63"/>
    <w:rsid w:val="00F02D2A"/>
    <w:rsid w:val="00F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A288D"/>
  <w15:chartTrackingRefBased/>
  <w15:docId w15:val="{73EA184A-A1AC-7A4E-9E90-A93E573B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02"/>
  </w:style>
  <w:style w:type="paragraph" w:styleId="Heading1">
    <w:name w:val="heading 1"/>
    <w:basedOn w:val="Normal"/>
    <w:next w:val="Normal"/>
    <w:link w:val="Heading1Char"/>
    <w:uiPriority w:val="9"/>
    <w:qFormat/>
    <w:rsid w:val="00E97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02"/>
    <w:rPr>
      <w:b/>
      <w:bCs/>
      <w:smallCaps/>
      <w:color w:val="0F4761" w:themeColor="accent1" w:themeShade="BF"/>
      <w:spacing w:val="5"/>
    </w:rPr>
  </w:style>
  <w:style w:type="character" w:customStyle="1" w:styleId="ll-highlight-and-annotate">
    <w:name w:val="ll-highlight-and-annotate"/>
    <w:basedOn w:val="DefaultParagraphFont"/>
    <w:rsid w:val="00E97E02"/>
  </w:style>
  <w:style w:type="paragraph" w:styleId="Footer">
    <w:name w:val="footer"/>
    <w:basedOn w:val="Normal"/>
    <w:link w:val="FooterChar"/>
    <w:uiPriority w:val="99"/>
    <w:unhideWhenUsed/>
    <w:rsid w:val="00E97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02"/>
  </w:style>
  <w:style w:type="character" w:styleId="PageNumber">
    <w:name w:val="page number"/>
    <w:basedOn w:val="DefaultParagraphFont"/>
    <w:uiPriority w:val="99"/>
    <w:semiHidden/>
    <w:unhideWhenUsed/>
    <w:rsid w:val="00E97E02"/>
  </w:style>
  <w:style w:type="table" w:styleId="TableGrid">
    <w:name w:val="Table Grid"/>
    <w:basedOn w:val="TableNormal"/>
    <w:uiPriority w:val="39"/>
    <w:rsid w:val="009D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Kazufumi MOCHIZUKI</dc:creator>
  <cp:keywords/>
  <dc:description/>
  <cp:lastModifiedBy>Kazufumi Mochizuki</cp:lastModifiedBy>
  <cp:revision>4</cp:revision>
  <dcterms:created xsi:type="dcterms:W3CDTF">2025-09-21T09:52:00Z</dcterms:created>
  <dcterms:modified xsi:type="dcterms:W3CDTF">2026-06-25T16:58:00Z</dcterms:modified>
</cp:coreProperties>
</file>