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38E2F" w14:textId="77777777" w:rsidR="004E2C31" w:rsidRDefault="004E2C31">
      <w:pPr>
        <w:keepNext/>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keepNext/>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keepNext/>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proofErr w:type="spellStart"/>
      <w:r w:rsidR="002209A8">
        <w:fldChar w:fldCharType="begin"/>
      </w:r>
      <w:r w:rsidR="002209A8">
        <w:instrText xml:space="preserve"> HYPERLINK "http://biosharing.org/" \h </w:instrText>
      </w:r>
      <w:r w:rsidR="002209A8">
        <w:fldChar w:fldCharType="separate"/>
      </w:r>
      <w:r>
        <w:rPr>
          <w:rFonts w:ascii="Noto Sans" w:eastAsia="Noto Sans" w:hAnsi="Noto Sans" w:cs="Noto Sans"/>
          <w:color w:val="1155CC"/>
          <w:sz w:val="20"/>
          <w:szCs w:val="20"/>
          <w:u w:val="single"/>
        </w:rPr>
        <w:t>BioSharing</w:t>
      </w:r>
      <w:proofErr w:type="spellEnd"/>
      <w:r>
        <w:rPr>
          <w:rFonts w:ascii="Noto Sans" w:eastAsia="Noto Sans" w:hAnsi="Noto Sans" w:cs="Noto Sans"/>
          <w:color w:val="1155CC"/>
          <w:sz w:val="20"/>
          <w:szCs w:val="20"/>
          <w:u w:val="single"/>
        </w:rPr>
        <w:t xml:space="preserve"> Information Resource</w:t>
      </w:r>
      <w:r w:rsidR="002209A8">
        <w:rPr>
          <w:rFonts w:ascii="Noto Sans" w:eastAsia="Noto Sans" w:hAnsi="Noto Sans" w:cs="Noto Sans"/>
          <w:color w:val="1155CC"/>
          <w:sz w:val="20"/>
          <w:szCs w:val="20"/>
          <w:u w:val="single"/>
        </w:rPr>
        <w:fldChar w:fldCharType="end"/>
      </w:r>
      <w:r>
        <w:rPr>
          <w:rFonts w:ascii="Noto Sans" w:eastAsia="Noto Sans" w:hAnsi="Noto Sans" w:cs="Noto Sans"/>
          <w:sz w:val="20"/>
          <w:szCs w:val="20"/>
        </w:rPr>
        <w:t>), or animal research (see the </w:t>
      </w:r>
      <w:hyperlink r:id="rId9">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0">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1">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keepNext/>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keepNext/>
        <w:spacing w:before="60" w:line="227" w:lineRule="auto"/>
        <w:rPr>
          <w:rFonts w:ascii="Noto Sans" w:eastAsia="Noto Sans" w:hAnsi="Noto Sans" w:cs="Noto Sans"/>
          <w:b/>
          <w:color w:val="434343"/>
          <w:sz w:val="16"/>
          <w:szCs w:val="16"/>
          <w:u w:val="single"/>
        </w:rPr>
      </w:pPr>
    </w:p>
    <w:p w14:paraId="44BE6531" w14:textId="77777777" w:rsidR="00F102CC" w:rsidRDefault="00427975">
      <w:pPr>
        <w:keepNext/>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keepNext/>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cantSplit/>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keepNext/>
              <w:spacing w:after="60" w:before="60" w:line="240"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cantSplit/>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pPr>
              <w:keepNext w:val="0"/>
              <w:spacing w:after="60" w:before="60" w:line="240" w:lineRule="auto"/>
            </w:pPr>
            <w:r>
              <w:rPr>
                <w:sz w:val="18"/>
              </w:rPr>
              <w:t>Methods describe the custom measurement apparatus and skin-equivalent preparation. No dedicated statement on access to newly created apparatus or materials is provided.</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keepNext w:val="0"/>
              <w:spacing w:after="60" w:before="60" w:line="240" w:lineRule="auto"/>
              <w:rPr>
                <w:rFonts w:ascii="Noto Sans" w:eastAsia="Noto Sans" w:hAnsi="Noto Sans" w:cs="Noto Sans"/>
                <w:bCs/>
                <w:color w:val="434343"/>
                <w:sz w:val="18"/>
                <w:szCs w:val="18"/>
              </w:rPr>
            </w:pPr>
          </w:p>
        </w:tc>
      </w:tr>
    </w:tbl>
    <w:p>
      <w:pPr>
        <w:keepNext/>
      </w:pP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5B289DCF" w14:textId="77777777">
        <w:trPr>
          <w:cantSplit/>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keepNext/>
              <w:spacing w:after="60" w:before="60" w:line="240"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cantSplit/>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2">
              <w:r>
                <w:rPr>
                  <w:rFonts w:ascii="Noto Sans" w:eastAsia="Noto Sans" w:hAnsi="Noto Sans" w:cs="Noto Sans"/>
                  <w:color w:val="434343"/>
                  <w:sz w:val="18"/>
                  <w:szCs w:val="18"/>
                </w:rPr>
                <w:t xml:space="preserve"> </w:t>
              </w:r>
            </w:hyperlink>
            <w:hyperlink r:id="rId13">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pPr>
              <w:keepNext w:val="0"/>
              <w:spacing w:after="60" w:before="60" w:line="240" w:lineRule="auto"/>
            </w:pPr>
            <w:r>
              <w:rPr>
                <w:sz w:val="18"/>
              </w:rPr>
              <w:t>Not applicable; no antibody-based assays are described.</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keepNext w:val="0"/>
              <w:spacing w:after="60" w:before="60" w:line="240" w:lineRule="auto"/>
              <w:rPr>
                <w:rFonts w:ascii="Noto Sans" w:eastAsia="Noto Sans" w:hAnsi="Noto Sans" w:cs="Noto Sans"/>
                <w:bCs/>
                <w:color w:val="434343"/>
                <w:sz w:val="18"/>
                <w:szCs w:val="18"/>
              </w:rPr>
            </w:pPr>
          </w:p>
        </w:tc>
      </w:tr>
    </w:tbl>
    <w:p>
      <w:pPr>
        <w:keepNext/>
      </w:pP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63FBBA34" w14:textId="77777777">
        <w:trPr>
          <w:cantSplit/>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keepNext/>
              <w:spacing w:after="60" w:before="60" w:line="240" w:lineRule="auto"/>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cantSplit/>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keepNext w:val="0"/>
              <w:spacing w:after="60" w:before="60" w:line="240" w:lineRule="auto"/>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pPr>
              <w:keepNext w:val="0"/>
              <w:spacing w:after="60" w:before="60" w:line="240" w:lineRule="auto"/>
            </w:pPr>
            <w:r>
              <w:rPr>
                <w:sz w:val="18"/>
              </w:rPr>
              <w:t>Not applicable; no novel DNA or RNA sequences are reported.</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F102CC" w:rsidRPr="003D5AF6" w:rsidRDefault="00F102CC">
            <w:pPr>
              <w:keepNext w:val="0"/>
              <w:spacing w:after="60" w:before="60" w:line="240" w:lineRule="auto"/>
              <w:rPr>
                <w:rFonts w:ascii="Noto Sans" w:eastAsia="Noto Sans" w:hAnsi="Noto Sans" w:cs="Noto Sans"/>
                <w:bCs/>
                <w:color w:val="434343"/>
                <w:sz w:val="18"/>
                <w:szCs w:val="18"/>
              </w:rPr>
            </w:pPr>
          </w:p>
        </w:tc>
      </w:tr>
    </w:tbl>
    <w:p>
      <w:pPr>
        <w:keepNext/>
      </w:pP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23672BFE" w14:textId="77777777">
        <w:trPr>
          <w:cantSplit/>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keepNext/>
              <w:spacing w:after="60" w:before="60" w:line="240" w:lineRule="auto"/>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cantSplit/>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pPr>
              <w:keepNext w:val="0"/>
              <w:spacing w:after="60" w:before="60" w:line="240" w:lineRule="auto"/>
            </w:pPr>
            <w:r>
              <w:rPr>
                <w:sz w:val="18"/>
              </w:rPr>
              <w:t>Methods, Fly infection: Trypanosoma brucei brucei EATRO 1125, serodeme AnTat 1.1; culture and infection protocols are cited. No established human cell line is described.</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33DA3E7D" w:rsidR="00F102CC" w:rsidRPr="003D5AF6" w:rsidRDefault="00F102CC">
            <w:pPr>
              <w:keepNext w:val="0"/>
              <w:spacing w:after="60" w:before="60" w:line="240" w:lineRule="auto"/>
              <w:rPr>
                <w:rFonts w:ascii="Noto Sans" w:eastAsia="Noto Sans" w:hAnsi="Noto Sans" w:cs="Noto Sans"/>
                <w:bCs/>
                <w:color w:val="434343"/>
                <w:sz w:val="18"/>
                <w:szCs w:val="18"/>
              </w:rPr>
            </w:pPr>
          </w:p>
        </w:tc>
      </w:tr>
      <w:tr w:rsidR="00F102CC" w14:paraId="7D69208A" w14:textId="77777777" w:rsidTr="003D5AF6">
        <w:trPr>
          <w:cantSplit/>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pPr>
              <w:keepNext w:val="0"/>
              <w:spacing w:after="60" w:before="60" w:line="240" w:lineRule="auto"/>
            </w:pPr>
            <w:r>
              <w:rPr>
                <w:sz w:val="18"/>
              </w:rPr>
              <w:t>Methods, Origin of probing substrates and Ethical clearance statement: primary human epidermal keratinocytes and dermal fibroblasts from male donors aged 2–5 years. Genetic modification status is not stated.</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569C04C5" w:rsidR="00F102CC" w:rsidRPr="003D5AF6" w:rsidRDefault="00F102CC">
            <w:pPr>
              <w:keepNext w:val="0"/>
              <w:spacing w:after="60" w:before="60" w:line="240" w:lineRule="auto"/>
              <w:rPr>
                <w:rFonts w:ascii="Noto Sans" w:eastAsia="Noto Sans" w:hAnsi="Noto Sans" w:cs="Noto Sans"/>
                <w:bCs/>
                <w:color w:val="434343"/>
                <w:sz w:val="18"/>
                <w:szCs w:val="18"/>
              </w:rPr>
            </w:pPr>
          </w:p>
        </w:tc>
      </w:tr>
    </w:tbl>
    <w:p>
      <w:pPr>
        <w:keepNext/>
      </w:pP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54EB4914" w14:textId="77777777">
        <w:trPr>
          <w:cantSplit/>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keepNext/>
              <w:spacing w:after="60" w:before="60" w:line="240" w:lineRule="auto"/>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cantSplit/>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pPr>
              <w:keepNext w:val="0"/>
              <w:spacing w:after="60" w:before="60" w:line="240" w:lineRule="auto"/>
            </w:pPr>
            <w:r>
              <w:rPr>
                <w:sz w:val="18"/>
              </w:rPr>
              <w:t>Methods, Fly keeping and force measurements; Figures 2 and 8. The Discussion identifies G. morsitans for blood-meal measurements. Sex and quantitative sample numbers are reported; colony/strain, source, age and genetic modification status are not explicitly specified in the methods.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keepNext w:val="0"/>
              <w:spacing w:after="60" w:before="60" w:line="240" w:lineRule="auto"/>
              <w:rPr>
                <w:rFonts w:ascii="Noto Sans" w:eastAsia="Noto Sans" w:hAnsi="Noto Sans" w:cs="Noto Sans"/>
                <w:bCs/>
                <w:color w:val="434343"/>
                <w:sz w:val="18"/>
                <w:szCs w:val="18"/>
              </w:rPr>
            </w:pPr>
          </w:p>
        </w:tc>
      </w:tr>
      <w:tr w:rsidR="00F102CC" w14:paraId="6BA0CC77" w14:textId="77777777" w:rsidTr="003D5AF6">
        <w:trPr>
          <w:cantSplit/>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pPr>
              <w:keepNext w:val="0"/>
              <w:spacing w:after="60" w:before="60" w:line="240" w:lineRule="auto"/>
            </w:pPr>
            <w:r>
              <w:rPr>
                <w:sz w:val="18"/>
              </w:rPr>
              <w:t>Methods, Origin of probing substrates: young roe deer (Capreolus capreolus), cow skin from a farmer, and Nile monitor (Varanus niloticus), museum specimen ZMFK 84206. Sex and full age information are not reported for all specimens.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77777777" w:rsidR="00F102CC" w:rsidRPr="003D5AF6" w:rsidRDefault="00F102CC">
            <w:pPr>
              <w:keepNext w:val="0"/>
              <w:spacing w:after="60" w:before="60" w:line="240" w:lineRule="auto"/>
              <w:rPr>
                <w:rFonts w:ascii="Noto Sans" w:eastAsia="Noto Sans" w:hAnsi="Noto Sans" w:cs="Noto Sans"/>
                <w:bCs/>
                <w:color w:val="434343"/>
                <w:sz w:val="18"/>
                <w:szCs w:val="18"/>
              </w:rPr>
            </w:pPr>
          </w:p>
        </w:tc>
      </w:tr>
    </w:tbl>
    <w:p>
      <w:pPr>
        <w:keepNext/>
      </w:pP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18855AA1" w14:textId="77777777">
        <w:trPr>
          <w:cantSplit/>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keepNext/>
              <w:spacing w:after="60" w:before="60" w:line="240" w:lineRule="auto"/>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cantSplit/>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keepNext w:val="0"/>
              <w:spacing w:line="240" w:lineRule="auto" w:after="60" w:before="60"/>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pPr>
              <w:keepNext w:val="0"/>
              <w:spacing w:after="60" w:before="60" w:line="240" w:lineRule="auto"/>
            </w:pPr>
            <w:r>
              <w:rPr>
                <w:sz w:val="18"/>
              </w:rPr>
              <w:t>Not applicable; no plant material is described.</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70C01AEC" w:rsidR="00F102CC" w:rsidRPr="003D5AF6" w:rsidRDefault="00F102CC">
            <w:pPr>
              <w:keepNext w:val="0"/>
              <w:spacing w:after="60" w:before="60" w:line="240" w:lineRule="auto"/>
              <w:rPr>
                <w:rFonts w:ascii="Noto Sans" w:eastAsia="Noto Sans" w:hAnsi="Noto Sans" w:cs="Noto Sans"/>
                <w:bCs/>
                <w:color w:val="434343"/>
                <w:sz w:val="18"/>
                <w:szCs w:val="18"/>
              </w:rPr>
            </w:pPr>
          </w:p>
        </w:tc>
      </w:tr>
      <w:tr w:rsidR="00F102CC" w14:paraId="5468CA71" w14:textId="77777777" w:rsidTr="003D5AF6">
        <w:trPr>
          <w:cantSplit/>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pPr>
              <w:keepNext w:val="0"/>
              <w:spacing w:after="60" w:before="60" w:line="240" w:lineRule="auto"/>
            </w:pPr>
            <w:r>
              <w:rPr>
                <w:sz w:val="18"/>
              </w:rPr>
              <w:t>Methods, Fly infection: T. brucei brucei EATRO 1125, serodeme AnTat 1.1; published culture/infection protocol cited.</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77777777" w:rsidR="00F102CC" w:rsidRPr="003D5AF6" w:rsidRDefault="00F102CC">
            <w:pPr>
              <w:keepNext w:val="0"/>
              <w:spacing w:after="60" w:before="60" w:line="240" w:lineRule="auto"/>
              <w:rPr>
                <w:rFonts w:ascii="Noto Sans" w:eastAsia="Noto Sans" w:hAnsi="Noto Sans" w:cs="Noto Sans"/>
                <w:bCs/>
                <w:color w:val="434343"/>
                <w:sz w:val="18"/>
                <w:szCs w:val="18"/>
              </w:rPr>
            </w:pPr>
          </w:p>
        </w:tc>
      </w:tr>
    </w:tbl>
    <w:p>
      <w:pPr>
        <w:keepNext/>
      </w:pP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1AC6616D" w14:textId="77777777">
        <w:trPr>
          <w:cantSplit/>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keepNext/>
              <w:spacing w:after="60" w:before="60" w:line="240"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cantSplit/>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keepNext w:val="0"/>
              <w:spacing w:line="240" w:lineRule="auto" w:after="60" w:before="60"/>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sz w:val="18"/>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pPr>
              <w:keepNext w:val="0"/>
              <w:spacing w:after="60" w:before="60" w:line="240" w:lineRule="auto"/>
            </w:pPr>
            <w:r>
              <w:rPr>
                <w:sz w:val="18"/>
              </w:rPr>
              <w:t>Methods, Origin of probing substrates and Ethical clearance statement: commercial abdominal skin from a 36-year-old female, Fitzpatrick type 2; primary cells from male donors aged 2–5 years. Other donor demographics are not reported.</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14D5C706" w:rsidR="00F102CC" w:rsidRDefault="00F102CC">
            <w:pPr>
              <w:keepNext w:val="0"/>
              <w:spacing w:after="60" w:before="60" w:line="240" w:lineRule="auto"/>
              <w:rPr>
                <w:rFonts w:ascii="Noto Sans" w:eastAsia="Noto Sans" w:hAnsi="Noto Sans" w:cs="Noto Sans"/>
                <w:b/>
                <w:color w:val="434343"/>
                <w:sz w:val="18"/>
                <w:szCs w:val="18"/>
              </w:rPr>
            </w:pPr>
          </w:p>
        </w:tc>
      </w:tr>
    </w:tbl>
    <w:p>
      <w:pPr>
        <w:keepNext/>
      </w:pPr>
    </w:p>
    <w:p w14:paraId="758A97A0" w14:textId="77777777" w:rsidR="00F102CC" w:rsidRPr="003D5AF6" w:rsidRDefault="00F102CC">
      <w:pPr>
        <w:keepNext/>
        <w:spacing w:before="80" w:line="227" w:lineRule="auto"/>
        <w:rPr>
          <w:rFonts w:ascii="Noto Sans" w:eastAsia="Noto Sans" w:hAnsi="Noto Sans" w:cs="Noto Sans"/>
          <w:b/>
          <w:color w:val="434343"/>
          <w:sz w:val="16"/>
          <w:szCs w:val="16"/>
          <w:u w:val="single"/>
        </w:rPr>
      </w:pPr>
    </w:p>
    <w:p w14:paraId="60E7D3C1" w14:textId="77777777" w:rsidR="00F102CC" w:rsidRDefault="00427975">
      <w:pPr>
        <w:keepNext/>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keepNext/>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cantSplit/>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cantSplit/>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pPr>
              <w:keepNext w:val="0"/>
              <w:spacing w:after="60" w:before="60" w:line="240" w:lineRule="auto"/>
            </w:pPr>
            <w:r>
              <w:rPr>
                <w:sz w:val="18"/>
              </w:rPr>
              <w:t>No preregistration or clinical trial registration is reported; this is not described as a clinical trial.</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6840EB3F" w:rsidR="00F102CC" w:rsidRPr="003D5AF6" w:rsidRDefault="00F102CC">
            <w:pPr>
              <w:keepNext w:val="0"/>
              <w:spacing w:line="240" w:lineRule="auto" w:after="60" w:before="60"/>
              <w:rPr>
                <w:rFonts w:ascii="Noto Sans" w:eastAsia="Noto Sans" w:hAnsi="Noto Sans" w:cs="Noto Sans"/>
                <w:bCs/>
                <w:color w:val="434343"/>
                <w:sz w:val="18"/>
                <w:szCs w:val="18"/>
              </w:rPr>
            </w:pPr>
          </w:p>
        </w:tc>
      </w:tr>
    </w:tbl>
    <w:p>
      <w:pPr>
        <w:keepNext/>
      </w:pP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7470366C" w14:textId="77777777">
        <w:trPr>
          <w:cantSplit/>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keepNext/>
              <w:spacing w:after="60" w:before="60" w:line="240" w:lineRule="auto"/>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cantSplit/>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keepNext w:val="0"/>
              <w:spacing w:after="60" w:before="60" w:line="240" w:lineRule="auto"/>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pPr>
              <w:keepNext w:val="0"/>
              <w:spacing w:after="60" w:before="60" w:line="240" w:lineRule="auto"/>
            </w:pPr>
            <w:r>
              <w:rPr>
                <w:sz w:val="18"/>
              </w:rPr>
              <w:t>Methods cite protocols for fly infection, CLSM, fixation, freeze substitution, friction-force measurement and skin-equivalent culture. The Methods also describe acquisition and image-processing settings.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D8DC753" w:rsidR="00F102CC" w:rsidRPr="003D5AF6" w:rsidRDefault="00F102CC">
            <w:pPr>
              <w:keepNext w:val="0"/>
              <w:spacing w:line="240" w:lineRule="auto" w:after="60" w:before="60"/>
              <w:rPr>
                <w:rFonts w:ascii="Noto Sans" w:eastAsia="Noto Sans" w:hAnsi="Noto Sans" w:cs="Noto Sans"/>
                <w:bCs/>
                <w:color w:val="434343"/>
                <w:sz w:val="18"/>
                <w:szCs w:val="18"/>
              </w:rPr>
            </w:pPr>
          </w:p>
        </w:tc>
      </w:tr>
    </w:tbl>
    <w:p>
      <w:pPr>
        <w:keepNext/>
      </w:pP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61F576B" w14:textId="77777777">
        <w:trPr>
          <w:cantSplit/>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cantSplit/>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keepNext/>
              <w:spacing w:after="60" w:before="60" w:line="240" w:lineRule="auto"/>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cantSplit/>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9D3A7C"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pPr>
              <w:keepNext w:val="0"/>
              <w:spacing w:after="60" w:before="60" w:line="240" w:lineRule="auto"/>
            </w:pPr>
            <w:r>
              <w:rPr>
                <w:sz w:val="18"/>
              </w:rPr>
              <w:t>Sample numbers are reported in Figure 2, Figure 8, Figure 8—figure supplement 2 and Methods. A prospective power calculation or rationale for sample-size determination is not reported.</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C46D03" w14:textId="63248328" w:rsidR="00F102CC" w:rsidRPr="003D5AF6" w:rsidRDefault="00F102CC">
            <w:pPr>
              <w:keepNext w:val="0"/>
              <w:spacing w:line="240" w:lineRule="auto" w:after="60" w:before="60"/>
              <w:rPr>
                <w:rFonts w:ascii="Noto Sans" w:eastAsia="Noto Sans" w:hAnsi="Noto Sans" w:cs="Noto Sans"/>
                <w:bCs/>
                <w:color w:val="434343"/>
                <w:sz w:val="18"/>
                <w:szCs w:val="18"/>
              </w:rPr>
            </w:pPr>
          </w:p>
        </w:tc>
      </w:tr>
      <w:tr w:rsidR="00F102CC" w14:paraId="640B934F" w14:textId="77777777" w:rsidTr="003D5AF6">
        <w:trPr>
          <w:cantSplit/>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02B883"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pPr>
              <w:keepNext w:val="0"/>
              <w:spacing w:after="60" w:before="60" w:line="240" w:lineRule="auto"/>
            </w:pPr>
            <w:r>
              <w:rPr>
                <w:sz w:val="18"/>
              </w:rPr>
              <w:t>Randomisation procedures are not reported in the manuscript; whether randomisation was performed cannot be established from the available records.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B5D726" w14:textId="0AC884BA" w:rsidR="00F102CC" w:rsidRDefault="00F102CC">
            <w:pPr>
              <w:keepNext w:val="0"/>
              <w:spacing w:line="240" w:lineRule="auto" w:after="60" w:before="60"/>
              <w:rPr>
                <w:rFonts w:ascii="Noto Sans" w:eastAsia="Noto Sans" w:hAnsi="Noto Sans" w:cs="Noto Sans"/>
                <w:b/>
                <w:color w:val="434343"/>
                <w:sz w:val="18"/>
                <w:szCs w:val="18"/>
              </w:rPr>
            </w:pPr>
          </w:p>
        </w:tc>
      </w:tr>
      <w:tr w:rsidR="00F102CC" w14:paraId="6EEAB134" w14:textId="77777777" w:rsidTr="003D5AF6">
        <w:trPr>
          <w:cantSplit/>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1F3AFB"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pPr>
              <w:keepNext w:val="0"/>
              <w:spacing w:after="60" w:before="60" w:line="240" w:lineRule="auto"/>
            </w:pPr>
            <w:r>
              <w:rPr>
                <w:sz w:val="18"/>
              </w:rPr>
              <w:t>Blinding procedures are not reported in the manuscript; whether blinding was performed cannot be established from the available records.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AE9083" w14:textId="49989C53" w:rsidR="00F102CC" w:rsidRPr="003D5AF6" w:rsidRDefault="00F102CC">
            <w:pPr>
              <w:keepNext w:val="0"/>
              <w:spacing w:line="240" w:lineRule="auto" w:after="60" w:before="60"/>
              <w:rPr>
                <w:rFonts w:ascii="Noto Sans" w:eastAsia="Noto Sans" w:hAnsi="Noto Sans" w:cs="Noto Sans"/>
                <w:bCs/>
                <w:color w:val="434343"/>
                <w:sz w:val="18"/>
                <w:szCs w:val="18"/>
              </w:rPr>
            </w:pPr>
          </w:p>
        </w:tc>
      </w:tr>
      <w:tr w:rsidR="00F102CC" w14:paraId="0AB73282" w14:textId="77777777" w:rsidTr="003D5AF6">
        <w:trPr>
          <w:cantSplit/>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9CF9E6"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pPr>
              <w:keepNext w:val="0"/>
              <w:spacing w:after="60" w:before="60" w:line="240" w:lineRule="auto"/>
            </w:pPr>
            <w:r>
              <w:rPr>
                <w:sz w:val="18"/>
              </w:rPr>
              <w:t>Prospectively defined inclusion/exclusion criteria are not reported. The Dryad KNOWN_LIMITATIONS.md documents an unresolved omitted attachment trial in a stored summary; the original record is retained.</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057DC8" w14:textId="7EB2044D" w:rsidR="00F102CC" w:rsidRPr="003D5AF6" w:rsidRDefault="00F102CC">
            <w:pPr>
              <w:keepNext w:val="0"/>
              <w:spacing w:line="240" w:lineRule="auto" w:after="60" w:before="60"/>
              <w:rPr>
                <w:rFonts w:ascii="Noto Sans" w:eastAsia="Noto Sans" w:hAnsi="Noto Sans" w:cs="Noto Sans"/>
                <w:bCs/>
                <w:color w:val="434343"/>
                <w:sz w:val="18"/>
                <w:szCs w:val="18"/>
              </w:rPr>
            </w:pPr>
          </w:p>
        </w:tc>
      </w:tr>
    </w:tbl>
    <w:p>
      <w:pPr>
        <w:keepNext/>
      </w:pP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6A159F8E" w14:textId="77777777">
        <w:trPr>
          <w:cantSplit/>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keepNext/>
              <w:spacing w:after="60" w:before="60" w:line="240"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cantSplit/>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9707A4"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pPr>
              <w:keepNext w:val="0"/>
              <w:spacing w:after="60" w:before="60" w:line="240" w:lineRule="auto"/>
            </w:pPr>
            <w:r>
              <w:rPr>
                <w:sz w:val="18"/>
              </w:rPr>
              <w:t>Figure 2: 10 flies per sex; repeated measurements averaged per fly. Figure 8 and Methods: 20–25 flies per substrate. Figure 8—figure supplement 2: 24 feeding events. Independent repetition counts for each imaging procedure are not reported.</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8BC811" w14:textId="0E5BEA3F" w:rsidR="00F102CC" w:rsidRPr="003D5AF6" w:rsidRDefault="00F102CC">
            <w:pPr>
              <w:keepNext w:val="0"/>
              <w:spacing w:line="240" w:lineRule="auto" w:after="60" w:before="60"/>
              <w:rPr>
                <w:rFonts w:ascii="Noto Sans" w:eastAsia="Noto Sans" w:hAnsi="Noto Sans" w:cs="Noto Sans"/>
                <w:bCs/>
                <w:color w:val="434343"/>
                <w:sz w:val="18"/>
                <w:szCs w:val="18"/>
              </w:rPr>
            </w:pPr>
          </w:p>
        </w:tc>
      </w:tr>
      <w:tr w:rsidR="00F102CC" w14:paraId="3646923A" w14:textId="77777777" w:rsidTr="003D5AF6">
        <w:trPr>
          <w:cantSplit/>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DAEDFB"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pPr>
              <w:keepNext w:val="0"/>
              <w:spacing w:after="60" w:before="60" w:line="240" w:lineRule="auto"/>
            </w:pPr>
            <w:r>
              <w:rPr>
                <w:sz w:val="18"/>
              </w:rPr>
              <w:t>Figure 2 distinguishes individual flies from repeated within-fly trials and plots per-fly means. Figure 8 reports probing observations per substrate. Raw recording blocks, derived exports and repeated summaries are not independent biological replicates; see Dryad documentation.</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33BF82" w14:textId="7736387E" w:rsidR="00F102CC" w:rsidRPr="003D5AF6" w:rsidRDefault="00F102CC">
            <w:pPr>
              <w:keepNext w:val="0"/>
              <w:spacing w:line="240" w:lineRule="auto" w:after="60" w:before="60"/>
              <w:rPr>
                <w:rFonts w:ascii="Noto Sans" w:eastAsia="Noto Sans" w:hAnsi="Noto Sans" w:cs="Noto Sans"/>
                <w:bCs/>
                <w:color w:val="434343"/>
                <w:sz w:val="18"/>
                <w:szCs w:val="18"/>
              </w:rPr>
            </w:pPr>
          </w:p>
        </w:tc>
      </w:tr>
    </w:tbl>
    <w:p>
      <w:pPr>
        <w:keepNext/>
      </w:pP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27C0F91B" w14:textId="77777777">
        <w:trPr>
          <w:cantSplit/>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keepNext/>
              <w:spacing w:after="60" w:before="60" w:line="240" w:lineRule="auto"/>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cantSplit/>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214119"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pPr>
              <w:keepNext w:val="0"/>
              <w:spacing w:after="60" w:before="60" w:line="240" w:lineRule="auto"/>
            </w:pPr>
            <w:r>
              <w:rPr>
                <w:sz w:val="18"/>
              </w:rPr>
              <w:t>Methods, Ethical clearance statement: University of Würzburg ethics approvals 182/10 and 280/18-SC; informed consent from the legal representatives of donors is reported.</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003A7F" w14:textId="76223028" w:rsidR="00F102CC" w:rsidRPr="003D5AF6" w:rsidRDefault="00F102CC">
            <w:pPr>
              <w:keepNext w:val="0"/>
              <w:spacing w:line="240" w:lineRule="auto" w:after="60" w:before="60"/>
              <w:rPr>
                <w:rFonts w:ascii="Noto Sans" w:eastAsia="Noto Sans" w:hAnsi="Noto Sans" w:cs="Noto Sans"/>
                <w:bCs/>
                <w:color w:val="434343"/>
                <w:sz w:val="18"/>
                <w:szCs w:val="18"/>
              </w:rPr>
            </w:pPr>
          </w:p>
        </w:tc>
      </w:tr>
      <w:tr w:rsidR="00F102CC" w14:paraId="76515406" w14:textId="77777777">
        <w:trPr>
          <w:cantSplit/>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893966"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pPr>
              <w:keepNext w:val="0"/>
              <w:spacing w:after="60" w:before="60" w:line="240" w:lineRule="auto"/>
            </w:pPr>
            <w:r>
              <w:rPr>
                <w:sz w:val="18"/>
              </w:rPr>
              <w:t>Methods describe tsetse experiments and use of vertebrate tissue. No specific animal ethics approval or explicit exemption statement is reported.</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5B8D86" w14:textId="189E6E70" w:rsidR="00F102CC" w:rsidRPr="003D5AF6" w:rsidRDefault="00F102CC">
            <w:pPr>
              <w:keepNext w:val="0"/>
              <w:spacing w:line="240" w:lineRule="auto" w:after="60" w:before="60"/>
              <w:rPr>
                <w:rFonts w:ascii="Noto Sans" w:eastAsia="Noto Sans" w:hAnsi="Noto Sans" w:cs="Noto Sans"/>
                <w:bCs/>
                <w:color w:val="434343"/>
                <w:sz w:val="18"/>
                <w:szCs w:val="18"/>
              </w:rPr>
            </w:pPr>
          </w:p>
        </w:tc>
      </w:tr>
      <w:tr w:rsidR="00F102CC" w14:paraId="5D62888E" w14:textId="77777777" w:rsidTr="003D5AF6">
        <w:trPr>
          <w:cantSplit/>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115E3F"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pPr>
              <w:keepNext w:val="0"/>
              <w:spacing w:after="60" w:before="60" w:line="240" w:lineRule="auto"/>
            </w:pPr>
            <w:r>
              <w:rPr>
                <w:sz w:val="18"/>
              </w:rPr>
              <w:t>Methods, Origin of probing substrates, identifies commercial, agricultural, hunter-supplied and museum sources. Permit or exemption details for specimen acquisition are not reported.</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9D4B66" w14:textId="77777777" w:rsidR="00F102CC" w:rsidRPr="003D5AF6" w:rsidRDefault="00F102CC">
            <w:pPr>
              <w:keepNext w:val="0"/>
              <w:spacing w:line="240" w:lineRule="auto" w:after="60" w:before="60"/>
              <w:rPr>
                <w:rFonts w:ascii="Noto Sans" w:eastAsia="Noto Sans" w:hAnsi="Noto Sans" w:cs="Noto Sans"/>
                <w:bCs/>
                <w:color w:val="434343"/>
                <w:sz w:val="18"/>
                <w:szCs w:val="18"/>
              </w:rPr>
            </w:pPr>
          </w:p>
        </w:tc>
      </w:tr>
    </w:tbl>
    <w:p>
      <w:pPr>
        <w:keepNext/>
      </w:pP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3B5D416" w14:textId="77777777">
        <w:trPr>
          <w:cantSplit/>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keepNext/>
              <w:spacing w:after="60" w:before="60" w:line="240" w:lineRule="auto"/>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cantSplit/>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96348C"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18"/>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pPr>
              <w:keepNext w:val="0"/>
              <w:spacing w:after="60" w:before="60" w:line="240" w:lineRule="auto"/>
            </w:pPr>
            <w:r>
              <w:rPr>
                <w:sz w:val="18"/>
              </w:rPr>
              <w:t>No DURC designation or regulatory approval is reported in the manuscript.</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9DDCC7B" w14:textId="10FF7490" w:rsidR="00F102CC" w:rsidRPr="003D5AF6" w:rsidRDefault="00F102CC">
            <w:pPr>
              <w:keepNext w:val="0"/>
              <w:spacing w:line="240" w:lineRule="auto" w:after="60" w:before="60"/>
              <w:rPr>
                <w:rFonts w:ascii="Noto Sans" w:eastAsia="Noto Sans" w:hAnsi="Noto Sans" w:cs="Noto Sans"/>
                <w:bCs/>
                <w:color w:val="434343"/>
                <w:sz w:val="18"/>
                <w:szCs w:val="18"/>
              </w:rPr>
            </w:pPr>
          </w:p>
        </w:tc>
      </w:tr>
    </w:tbl>
    <w:p>
      <w:pPr>
        <w:keepNext/>
      </w:pPr>
    </w:p>
    <w:p w14:paraId="57B9765C" w14:textId="77777777" w:rsidR="00F102CC" w:rsidRDefault="00F102CC">
      <w:pPr>
        <w:keepNext/>
        <w:spacing w:line="227" w:lineRule="auto"/>
        <w:rPr>
          <w:rFonts w:ascii="Noto Sans" w:eastAsia="Noto Sans" w:hAnsi="Noto Sans" w:cs="Noto Sans"/>
          <w:b/>
          <w:color w:val="434343"/>
          <w:sz w:val="18"/>
          <w:szCs w:val="18"/>
        </w:rPr>
      </w:pPr>
    </w:p>
    <w:p w14:paraId="00FE7AF9" w14:textId="77777777" w:rsidR="00F102CC" w:rsidRDefault="00427975">
      <w:pPr>
        <w:keepNext/>
        <w:pageBreakBefore/>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keepNext/>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cantSplit/>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cantSplit/>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4FF9D7"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pPr>
              <w:keepNext w:val="0"/>
              <w:spacing w:after="60" w:before="60" w:line="240" w:lineRule="auto"/>
            </w:pPr>
            <w:r>
              <w:rPr>
                <w:sz w:val="18"/>
              </w:rPr>
              <w:t>Prospective exclusion criteria are not reported. Dryad KNOWN_LIMITATIONS.md records discrepancies between source observations and stored summaries, including an omitted attachment trial of unknown historical rationale. Original data remain unchanged.</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182D3B" w14:textId="332782CB" w:rsidR="00F102CC" w:rsidRPr="003D5AF6" w:rsidRDefault="00F102CC">
            <w:pPr>
              <w:keepNext w:val="0"/>
              <w:spacing w:line="240" w:lineRule="auto" w:after="60" w:before="60"/>
              <w:rPr>
                <w:rFonts w:ascii="Noto Sans" w:eastAsia="Noto Sans" w:hAnsi="Noto Sans" w:cs="Noto Sans"/>
                <w:bCs/>
                <w:color w:val="434343"/>
                <w:sz w:val="18"/>
                <w:szCs w:val="18"/>
              </w:rPr>
            </w:pPr>
          </w:p>
        </w:tc>
      </w:tr>
    </w:tbl>
    <w:p>
      <w:pPr>
        <w:keepNext/>
      </w:pP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484C2955" w14:textId="77777777">
        <w:trPr>
          <w:cantSplit/>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keepNext/>
              <w:spacing w:after="60" w:before="60" w:line="240"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cantSplit/>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DA7C52" w14:textId="77777777" w:rsidR="00F102CC" w:rsidRDefault="00427975">
            <w:pPr>
              <w:keepNext w:val="0"/>
              <w:spacing w:after="60" w:before="60" w:line="240" w:lineRule="auto"/>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pPr>
              <w:keepNext w:val="0"/>
              <w:spacing w:after="60" w:before="60" w:line="240" w:lineRule="auto"/>
            </w:pPr>
            <w:r>
              <w:rPr>
                <w:sz w:val="18"/>
              </w:rPr>
              <w:t>Methods, Friction force measurement, Proboscis force measurement and Statistical analysis; legends for Figures 2 and 8 and Figure 8—figure supplement 1: Friedman, Mann–Whitney, Kruskal–Wallis and one-sample Wilcoxon tests. A complete justification of test selection and all multiple-comparison procedures is not reported.</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31D778" w14:textId="0DD16E5B" w:rsidR="00F102CC" w:rsidRPr="003D5AF6" w:rsidRDefault="00F102CC">
            <w:pPr>
              <w:keepNext w:val="0"/>
              <w:spacing w:line="240" w:lineRule="auto" w:after="60" w:before="60"/>
              <w:rPr>
                <w:rFonts w:ascii="Noto Sans" w:eastAsia="Noto Sans" w:hAnsi="Noto Sans" w:cs="Noto Sans"/>
                <w:bCs/>
                <w:color w:val="434343"/>
                <w:sz w:val="18"/>
                <w:szCs w:val="18"/>
              </w:rPr>
            </w:pPr>
          </w:p>
        </w:tc>
      </w:tr>
    </w:tbl>
    <w:p>
      <w:pPr>
        <w:keepNext/>
      </w:pP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582AED4B" w14:textId="77777777">
        <w:trPr>
          <w:cantSplit/>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keepNext/>
              <w:spacing w:after="60" w:before="60" w:line="240" w:lineRule="auto"/>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cantSplit/>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DE4884"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pPr>
              <w:keepNext w:val="0"/>
              <w:spacing w:after="60" w:before="60" w:line="240" w:lineRule="auto"/>
            </w:pPr>
            <w:r>
              <w:rPr>
                <w:sz w:val="18"/>
              </w:rPr>
              <w:t>Data availability section; Supplementary Files 1–3 and Videos 1–4; Dryad DOI 10.5061/dryad.n02v6wxdh. The deposit is in curation and covers quantitative/force data. Complete microscopy stacks and anatomical reconstruction files are not included.</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DD6482" w14:textId="36834CE9" w:rsidR="00F102CC" w:rsidRPr="003D5AF6" w:rsidRDefault="00F102CC">
            <w:pPr>
              <w:keepNext w:val="0"/>
              <w:spacing w:line="240" w:lineRule="auto" w:after="60" w:before="60"/>
              <w:rPr>
                <w:rFonts w:ascii="Noto Sans" w:eastAsia="Noto Sans" w:hAnsi="Noto Sans" w:cs="Noto Sans"/>
                <w:bCs/>
                <w:color w:val="434343"/>
                <w:sz w:val="18"/>
                <w:szCs w:val="18"/>
              </w:rPr>
            </w:pPr>
          </w:p>
        </w:tc>
      </w:tr>
      <w:tr w:rsidR="00F102CC" w14:paraId="2BD96493" w14:textId="77777777">
        <w:trPr>
          <w:cantSplit/>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172540" w14:textId="7CA0E3A4" w:rsidR="00F102CC" w:rsidRDefault="00427975">
            <w:pPr>
              <w:keepNext w:val="0"/>
              <w:spacing w:after="60" w:before="60" w:line="240" w:lineRule="auto"/>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Pr>
                <w:rFonts w:ascii="Noto Sans" w:eastAsia="Noto Sans" w:hAnsi="Noto Sans" w:cs="Noto Sans"/>
                <w:color w:val="434343"/>
                <w:sz w:val="18"/>
                <w:szCs w:val="18"/>
                <w:highlight w:val="white"/>
              </w:rPr>
              <w:t>where</w:t>
            </w:r>
            <w:proofErr w:type="spellEnd"/>
            <w:r>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pPr>
              <w:keepNext w:val="0"/>
              <w:spacing w:after="60" w:before="60" w:line="240" w:lineRule="auto"/>
            </w:pPr>
            <w:r>
              <w:rPr>
                <w:sz w:val="18"/>
              </w:rPr>
              <w:t>Dryad: https://doi.org/10.5061/dryad.n02v6wxdh; CC0. Public release is pending completion of curation.</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F67B00" w14:textId="662A54CB" w:rsidR="00F102CC" w:rsidRPr="003D5AF6" w:rsidRDefault="00F102CC">
            <w:pPr>
              <w:keepNext w:val="0"/>
              <w:spacing w:line="240" w:lineRule="auto" w:after="60" w:before="60"/>
              <w:rPr>
                <w:rFonts w:ascii="Noto Sans" w:eastAsia="Noto Sans" w:hAnsi="Noto Sans" w:cs="Noto Sans"/>
                <w:bCs/>
                <w:color w:val="434343"/>
                <w:sz w:val="18"/>
                <w:szCs w:val="18"/>
              </w:rPr>
            </w:pPr>
          </w:p>
        </w:tc>
      </w:tr>
      <w:tr w:rsidR="00F102CC" w14:paraId="194458A2" w14:textId="77777777" w:rsidTr="003D5AF6">
        <w:trPr>
          <w:cantSplit/>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F4305F" w14:textId="553ACA52" w:rsidR="00F102CC" w:rsidRDefault="00427975">
            <w:pPr>
              <w:keepNext w:val="0"/>
              <w:spacing w:after="60" w:before="60" w:line="240" w:lineRule="auto"/>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pPr>
              <w:keepNext w:val="0"/>
              <w:spacing w:after="60" w:before="60" w:line="240" w:lineRule="auto"/>
            </w:pPr>
            <w:r>
              <w:rPr>
                <w:sz w:val="18"/>
              </w:rPr>
              <w:t>No external dataset reused for quantitative analysis is identified; prior literature is cited in the manuscript.</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423DA9" w14:textId="0103DAE6" w:rsidR="00F102CC" w:rsidRPr="003D5AF6" w:rsidRDefault="00F102CC">
            <w:pPr>
              <w:keepNext w:val="0"/>
              <w:spacing w:line="240" w:lineRule="auto" w:after="60" w:before="60"/>
              <w:rPr>
                <w:rFonts w:ascii="Noto Sans" w:eastAsia="Noto Sans" w:hAnsi="Noto Sans" w:cs="Noto Sans"/>
                <w:bCs/>
                <w:color w:val="434343"/>
                <w:sz w:val="18"/>
                <w:szCs w:val="18"/>
              </w:rPr>
            </w:pPr>
          </w:p>
        </w:tc>
      </w:tr>
    </w:tbl>
    <w:p>
      <w:pPr>
        <w:keepNext/>
      </w:pP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144773F8" w14:textId="77777777">
        <w:trPr>
          <w:cantSplit/>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keepNext/>
              <w:spacing w:after="60" w:before="60" w:line="240" w:lineRule="auto"/>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cantSplit/>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38A240" w14:textId="10A90826"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pPr>
              <w:keepNext w:val="0"/>
              <w:spacing w:after="60" w:before="60" w:line="240" w:lineRule="auto"/>
            </w:pPr>
            <w:r>
              <w:rPr>
                <w:sz w:val="18"/>
              </w:rPr>
              <w:t>Methods identify image-processing software, acquisition software and statistical packages, and describe the force equations. Dryad provides source workbook formulas, open-format exports and a Python ACQ-reading example.</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34BAE5" w14:textId="0BF1534B" w:rsidR="00F102CC" w:rsidRPr="003D5AF6" w:rsidRDefault="00F102CC">
            <w:pPr>
              <w:keepNext w:val="0"/>
              <w:spacing w:line="240" w:lineRule="auto" w:after="60" w:before="60"/>
              <w:rPr>
                <w:rFonts w:ascii="Noto Sans" w:eastAsia="Noto Sans" w:hAnsi="Noto Sans" w:cs="Noto Sans"/>
                <w:bCs/>
                <w:color w:val="434343"/>
                <w:sz w:val="18"/>
                <w:szCs w:val="18"/>
              </w:rPr>
            </w:pPr>
          </w:p>
        </w:tc>
      </w:tr>
      <w:tr w:rsidR="00F102CC" w14:paraId="1178CAC5" w14:textId="77777777" w:rsidTr="003D5AF6">
        <w:trPr>
          <w:cantSplit/>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8F5375" w14:textId="22D9E917" w:rsidR="00F102CC" w:rsidRDefault="005B0259">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t>
            </w:r>
            <w:proofErr w:type="spellStart"/>
            <w:r w:rsidR="00427975">
              <w:rPr>
                <w:rFonts w:ascii="Noto Sans" w:eastAsia="Noto Sans" w:hAnsi="Noto Sans" w:cs="Noto Sans"/>
                <w:color w:val="434343"/>
                <w:sz w:val="18"/>
                <w:szCs w:val="18"/>
              </w:rPr>
              <w:t>where</w:t>
            </w:r>
            <w:proofErr w:type="spellEnd"/>
            <w:r w:rsidR="00427975">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pPr>
              <w:keepNext w:val="0"/>
              <w:spacing w:after="60" w:before="60" w:line="240" w:lineRule="auto"/>
            </w:pPr>
            <w:r>
              <w:rPr>
                <w:sz w:val="18"/>
              </w:rPr>
              <w:t>Dryad DOI 10.5061/dryad.n02v6wxdh includes additional_force_data/examples/read_acq_example.py for accessing the deposited recordings. This is an access example, not a complete reproduction of all analyses.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6875B8" w14:textId="44151E64" w:rsidR="00F102CC" w:rsidRPr="003D5AF6" w:rsidRDefault="00F102CC">
            <w:pPr>
              <w:keepNext w:val="0"/>
              <w:spacing w:line="240" w:lineRule="auto" w:after="60" w:before="60"/>
              <w:rPr>
                <w:rFonts w:ascii="Noto Sans" w:eastAsia="Noto Sans" w:hAnsi="Noto Sans" w:cs="Noto Sans"/>
                <w:bCs/>
                <w:color w:val="434343"/>
                <w:sz w:val="18"/>
                <w:szCs w:val="18"/>
              </w:rPr>
            </w:pPr>
          </w:p>
        </w:tc>
      </w:tr>
      <w:tr w:rsidR="00F102CC" w14:paraId="7047B99D" w14:textId="77777777">
        <w:trPr>
          <w:cantSplit/>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07A083" w14:textId="77777777" w:rsidR="00F102CC" w:rsidRDefault="00427975">
            <w:pPr>
              <w:keepNext w:val="0"/>
              <w:spacing w:after="60" w:before="60" w:line="240" w:lineRule="auto"/>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pPr>
              <w:keepNext w:val="0"/>
              <w:spacing w:after="60" w:before="60" w:line="240" w:lineRule="auto"/>
            </w:pPr>
            <w:r>
              <w:rPr>
                <w:sz w:val="18"/>
              </w:rPr>
              <w:t>Methods cite Fiji/ImageJ and identify commercial packages. The Dryad documentation links bioread: https://github.com/uwmadison-chm/bioread. External software retains its own licence.</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8D9987" w14:textId="793BC5DE" w:rsidR="00F102CC" w:rsidRPr="003D5AF6" w:rsidRDefault="00F102CC">
            <w:pPr>
              <w:keepNext w:val="0"/>
              <w:spacing w:line="240" w:lineRule="auto" w:after="60" w:before="60"/>
              <w:rPr>
                <w:rFonts w:ascii="Noto Sans" w:eastAsia="Noto Sans" w:hAnsi="Noto Sans" w:cs="Noto Sans"/>
                <w:bCs/>
                <w:color w:val="434343"/>
                <w:sz w:val="18"/>
                <w:szCs w:val="18"/>
              </w:rPr>
            </w:pPr>
          </w:p>
        </w:tc>
      </w:tr>
    </w:tbl>
    <w:p>
      <w:pPr>
        <w:keepNext/>
      </w:pPr>
    </w:p>
    <w:p w14:paraId="0AA8B99E" w14:textId="77777777" w:rsidR="00F102CC" w:rsidRPr="003D5AF6" w:rsidRDefault="00F102CC">
      <w:pPr>
        <w:keepNext/>
        <w:spacing w:before="60" w:line="227" w:lineRule="auto"/>
        <w:rPr>
          <w:rFonts w:ascii="Noto Sans" w:eastAsia="Noto Sans" w:hAnsi="Noto Sans" w:cs="Noto Sans"/>
          <w:b/>
          <w:color w:val="434343"/>
          <w:sz w:val="16"/>
          <w:szCs w:val="16"/>
          <w:u w:val="single"/>
        </w:rPr>
      </w:pPr>
    </w:p>
    <w:p w14:paraId="05E5A65D" w14:textId="77777777" w:rsidR="00F102CC" w:rsidRDefault="00427975">
      <w:pPr>
        <w:keepNext/>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lastRenderedPageBreak/>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keepNext/>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cantSplit/>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keepNext/>
              <w:spacing w:line="240" w:lineRule="auto" w:after="60" w:before="60"/>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cantSplit/>
        </w:trPr>
        <w:tc>
          <w:tcPr>
            <w:tcW w:w="549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7E33DE" w14:textId="77777777" w:rsidR="00F102CC" w:rsidRDefault="00427975">
            <w:pPr>
              <w:keepNext w:val="0"/>
              <w:spacing w:after="60" w:before="60" w:line="240" w:lineRule="auto"/>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pPr>
              <w:keepNext w:val="0"/>
              <w:spacing w:after="60" w:before="60" w:line="240" w:lineRule="auto"/>
            </w:pPr>
            <w:r>
              <w:rPr>
                <w:sz w:val="18"/>
              </w:rPr>
              <w:t>This MDAR checklist is supplied. Adherence to other named community reporting guidelines is not stated in the manuscript.</w:t>
            </w:r>
          </w:p>
        </w:tc>
        <w:tc>
          <w:tcPr>
            <w:tcW w:w="8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B93BA4" w14:textId="0522CE96" w:rsidR="00F102CC" w:rsidRPr="003D5AF6" w:rsidRDefault="00F102CC">
            <w:pPr>
              <w:keepNext w:val="0"/>
              <w:spacing w:line="240" w:lineRule="auto" w:after="60" w:before="60"/>
              <w:rPr>
                <w:rFonts w:ascii="Noto Sans" w:eastAsia="Noto Sans" w:hAnsi="Noto Sans" w:cs="Noto Sans"/>
                <w:bCs/>
                <w:color w:val="434343"/>
                <w:sz w:val="18"/>
                <w:szCs w:val="18"/>
              </w:rPr>
            </w:pPr>
          </w:p>
        </w:tc>
      </w:tr>
    </w:tbl>
    <w:p w14:paraId="504D0CB4" w14:textId="77777777" w:rsidR="00F102CC" w:rsidRDefault="00F102CC">
      <w:pPr>
        <w:keepNext/>
        <w:spacing w:line="227" w:lineRule="auto"/>
        <w:rPr>
          <w:rFonts w:ascii="Noto Sans" w:eastAsia="Noto Sans" w:hAnsi="Noto Sans" w:cs="Noto Sans"/>
          <w:b/>
          <w:color w:val="434343"/>
          <w:sz w:val="18"/>
          <w:szCs w:val="18"/>
        </w:rPr>
      </w:pPr>
    </w:p>
    <w:p w14:paraId="36ED3EAB" w14:textId="77777777" w:rsidR="00F102CC" w:rsidRDefault="000B600B">
      <w:pPr>
        <w:keepNext/>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Pr>
        <w:keepNext/>
      </w:pPr>
    </w:p>
    <w:p w14:paraId="4689F878" w14:textId="3E3E28F9" w:rsidR="00F102CC" w:rsidRDefault="00427975">
      <w:pPr>
        <w:pageBreakBefore/>
        <w:rPr>
          <w:color w:val="FF0000"/>
        </w:rPr>
      </w:pPr>
      <w:r>
        <w:t xml:space="preserve">* We provide the following guidance regarding transparent reporting and statistics; we also refer authors to </w:t>
      </w:r>
      <w:hyperlink r:id="rId14">
        <w:r>
          <w:rPr>
            <w:color w:val="1155CC"/>
            <w:u w:val="single"/>
          </w:rPr>
          <w:t>Ten common statistical mistakes to watch out for when writing or reviewing a manuscript</w:t>
        </w:r>
      </w:hyperlink>
      <w:r>
        <w:t>.</w:t>
      </w:r>
    </w:p>
    <w:p w14:paraId="360DDEF9" w14:textId="77777777" w:rsidR="00F102CC" w:rsidRDefault="00F102CC">
      <w:pPr>
        <w:keepNext/>
      </w:pPr>
    </w:p>
    <w:p w14:paraId="4D2FC5F5" w14:textId="77777777" w:rsidR="00F102CC" w:rsidRDefault="00427975">
      <w:pPr>
        <w:keepNext/>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Pr>
        <w:keepNext/>
      </w:pPr>
    </w:p>
    <w:p w14:paraId="481F8A46" w14:textId="77777777" w:rsidR="00F102CC" w:rsidRDefault="00427975">
      <w:pPr>
        <w:keepNext/>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w:t>
      </w:r>
      <w:proofErr w:type="spellStart"/>
      <w:r>
        <w:t>ArrayExpress</w:t>
      </w:r>
      <w:proofErr w:type="spellEnd"/>
      <w:r>
        <w:t>)</w:t>
      </w:r>
    </w:p>
    <w:p w14:paraId="6CC4C1F0" w14:textId="77777777" w:rsidR="00F102CC" w:rsidRDefault="00F102CC">
      <w:pPr>
        <w:keepNext/>
      </w:pPr>
    </w:p>
    <w:p w14:paraId="5350F358" w14:textId="77777777" w:rsidR="00F102CC" w:rsidRDefault="00427975">
      <w:pPr>
        <w:keepNext/>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Pr>
        <w:keepNext/>
      </w:pPr>
    </w:p>
    <w:p w14:paraId="0150C7CA" w14:textId="77777777" w:rsidR="00F102CC" w:rsidRDefault="00427975">
      <w:pPr>
        <w:keepNext/>
        <w:rPr>
          <w:b/>
        </w:rPr>
      </w:pPr>
      <w:r>
        <w:rPr>
          <w:b/>
        </w:rPr>
        <w:t>Group allocation</w:t>
      </w:r>
    </w:p>
    <w:p w14:paraId="130D32B4" w14:textId="77777777" w:rsidR="00F102CC" w:rsidRDefault="00427975">
      <w:pPr>
        <w:keepNext/>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5"/>
      <w:footerReference w:type="default" r:id="rId16"/>
      <w:headerReference w:type="first" r:id="rId17"/>
      <w:pgSz w:w="11910" w:h="16840"/>
      <w:pgMar w:top="1360" w:right="1220" w:bottom="936"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D307E" w14:textId="77777777" w:rsidR="000B600B" w:rsidRDefault="000B600B">
      <w:r>
        <w:separator/>
      </w:r>
    </w:p>
  </w:endnote>
  <w:endnote w:type="continuationSeparator" w:id="0">
    <w:p w14:paraId="4FBDC3C1" w14:textId="77777777" w:rsidR="000B600B" w:rsidRDefault="000B6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604020202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8D4CA" w14:textId="77777777" w:rsidR="000B600B" w:rsidRDefault="000B600B">
      <w:r>
        <w:separator/>
      </w:r>
    </w:p>
  </w:footnote>
  <w:footnote w:type="continuationSeparator" w:id="0">
    <w:p w14:paraId="3D012B3B" w14:textId="77777777" w:rsidR="000B600B" w:rsidRDefault="000B6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3D5AF6"/>
    <w:rsid w:val="00400C53"/>
    <w:rsid w:val="00427975"/>
    <w:rsid w:val="004E2C31"/>
    <w:rsid w:val="005B0259"/>
    <w:rsid w:val="007054B6"/>
    <w:rsid w:val="0078687E"/>
    <w:rsid w:val="009C7B26"/>
    <w:rsid w:val="00A11E52"/>
    <w:rsid w:val="00B2483D"/>
    <w:rsid w:val="00BD41E9"/>
    <w:rsid w:val="00C84413"/>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scicrunch.org/resourc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er.elifesciences.org/author-guide/journal-polici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38/d41586-020-0175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osbiology.org/article/info:doi/10.1371/journal.pbio.1000412" TargetMode="External"/><Relationship Id="rId14" Type="http://schemas.openxmlformats.org/officeDocument/2006/relationships/hyperlink" Target="https://doi.org/10.7554/eLife.4817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1410</Words>
  <Characters>8041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Andy Collings</cp:lastModifiedBy>
  <cp:revision>6</cp:revision>
  <dcterms:created xsi:type="dcterms:W3CDTF">2022-02-28T12:21:00Z</dcterms:created>
  <dcterms:modified xsi:type="dcterms:W3CDTF">2024-07-02T16:42:00Z</dcterms:modified>
</cp:coreProperties>
</file>