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E47D87" w14:textId="77777777" w:rsidR="004E2C31" w:rsidRDefault="004E2C31">
      <w:pPr>
        <w:spacing w:before="60" w:line="227" w:lineRule="auto"/>
        <w:jc w:val="center"/>
        <w:rPr>
          <w:rFonts w:ascii="Noto Sans" w:eastAsia="Noto Sans" w:hAnsi="Noto Sans" w:cs="Noto Sans"/>
          <w:b/>
          <w:sz w:val="26"/>
          <w:szCs w:val="26"/>
          <w:u w:val="single"/>
        </w:rPr>
      </w:pPr>
    </w:p>
    <w:p w14:paraId="6FB06408" w14:textId="77777777" w:rsidR="00F102CC" w:rsidRDefault="00427975">
      <w:pPr>
        <w:spacing w:before="60" w:line="227" w:lineRule="auto"/>
        <w:jc w:val="center"/>
        <w:rPr>
          <w:rFonts w:ascii="Noto Sans" w:eastAsia="Noto Sans" w:hAnsi="Noto Sans" w:cs="Noto Sans"/>
          <w:b/>
          <w:sz w:val="26"/>
          <w:szCs w:val="26"/>
        </w:rPr>
      </w:pPr>
      <w:r>
        <w:rPr>
          <w:rFonts w:ascii="Noto Sans" w:eastAsia="Noto Sans" w:hAnsi="Noto Sans" w:cs="Noto Sans"/>
          <w:b/>
          <w:sz w:val="26"/>
          <w:szCs w:val="26"/>
          <w:u w:val="single"/>
        </w:rPr>
        <w:t>M</w:t>
      </w:r>
      <w:r>
        <w:rPr>
          <w:rFonts w:ascii="Noto Sans" w:eastAsia="Noto Sans" w:hAnsi="Noto Sans" w:cs="Noto Sans"/>
          <w:b/>
          <w:sz w:val="26"/>
          <w:szCs w:val="26"/>
        </w:rPr>
        <w:t xml:space="preserve">aterials </w:t>
      </w:r>
      <w:r>
        <w:rPr>
          <w:rFonts w:ascii="Noto Sans" w:eastAsia="Noto Sans" w:hAnsi="Noto Sans" w:cs="Noto Sans"/>
          <w:b/>
          <w:sz w:val="26"/>
          <w:szCs w:val="26"/>
          <w:u w:val="single"/>
        </w:rPr>
        <w:t>D</w:t>
      </w:r>
      <w:r>
        <w:rPr>
          <w:rFonts w:ascii="Noto Sans" w:eastAsia="Noto Sans" w:hAnsi="Noto Sans" w:cs="Noto Sans"/>
          <w:b/>
          <w:sz w:val="26"/>
          <w:szCs w:val="26"/>
        </w:rPr>
        <w:t xml:space="preserve">esign </w:t>
      </w:r>
      <w:r>
        <w:rPr>
          <w:rFonts w:ascii="Noto Sans" w:eastAsia="Noto Sans" w:hAnsi="Noto Sans" w:cs="Noto Sans"/>
          <w:b/>
          <w:sz w:val="26"/>
          <w:szCs w:val="26"/>
          <w:u w:val="single"/>
        </w:rPr>
        <w:t>A</w:t>
      </w:r>
      <w:r>
        <w:rPr>
          <w:rFonts w:ascii="Noto Sans" w:eastAsia="Noto Sans" w:hAnsi="Noto Sans" w:cs="Noto Sans"/>
          <w:b/>
          <w:sz w:val="26"/>
          <w:szCs w:val="26"/>
        </w:rPr>
        <w:t xml:space="preserve">nalysis </w:t>
      </w:r>
      <w:r>
        <w:rPr>
          <w:rFonts w:ascii="Noto Sans" w:eastAsia="Noto Sans" w:hAnsi="Noto Sans" w:cs="Noto Sans"/>
          <w:b/>
          <w:sz w:val="26"/>
          <w:szCs w:val="26"/>
          <w:u w:val="single"/>
        </w:rPr>
        <w:t>R</w:t>
      </w:r>
      <w:r>
        <w:rPr>
          <w:rFonts w:ascii="Noto Sans" w:eastAsia="Noto Sans" w:hAnsi="Noto Sans" w:cs="Noto Sans"/>
          <w:b/>
          <w:sz w:val="26"/>
          <w:szCs w:val="26"/>
        </w:rPr>
        <w:t>eporting (MDAR)</w:t>
      </w:r>
    </w:p>
    <w:p w14:paraId="5CFA7C62" w14:textId="77777777" w:rsidR="00F102CC" w:rsidRDefault="00427975">
      <w:pPr>
        <w:spacing w:before="60" w:line="227" w:lineRule="auto"/>
        <w:jc w:val="center"/>
        <w:rPr>
          <w:rFonts w:ascii="Noto Sans" w:eastAsia="Noto Sans" w:hAnsi="Noto Sans" w:cs="Noto Sans"/>
          <w:b/>
          <w:sz w:val="26"/>
          <w:szCs w:val="26"/>
        </w:rPr>
      </w:pPr>
      <w:r>
        <w:rPr>
          <w:rFonts w:ascii="Noto Sans" w:eastAsia="Noto Sans" w:hAnsi="Noto Sans" w:cs="Noto Sans"/>
          <w:b/>
          <w:sz w:val="26"/>
          <w:szCs w:val="26"/>
        </w:rPr>
        <w:t>Checklist for Authors</w:t>
      </w:r>
    </w:p>
    <w:p w14:paraId="1082A57A" w14:textId="77777777" w:rsidR="00F102CC" w:rsidRDefault="00F102CC">
      <w:pPr>
        <w:rPr>
          <w:rFonts w:ascii="Noto Sans" w:eastAsia="Noto Sans" w:hAnsi="Noto Sans" w:cs="Noto Sans"/>
          <w:sz w:val="20"/>
          <w:szCs w:val="20"/>
        </w:rPr>
      </w:pPr>
    </w:p>
    <w:p w14:paraId="7F13060B" w14:textId="77777777" w:rsidR="00F102CC" w:rsidRDefault="00427975">
      <w:pPr>
        <w:rPr>
          <w:rFonts w:ascii="Noto Sans" w:eastAsia="Noto Sans" w:hAnsi="Noto Sans" w:cs="Noto Sans"/>
          <w:sz w:val="20"/>
          <w:szCs w:val="20"/>
        </w:rPr>
      </w:pPr>
      <w:r>
        <w:rPr>
          <w:rFonts w:ascii="Noto Sans" w:eastAsia="Noto Sans" w:hAnsi="Noto Sans" w:cs="Noto Sans"/>
          <w:sz w:val="20"/>
          <w:szCs w:val="20"/>
        </w:rPr>
        <w:t xml:space="preserve">The </w:t>
      </w:r>
      <w:hyperlink r:id="rId7">
        <w:r>
          <w:rPr>
            <w:rFonts w:ascii="Noto Sans" w:eastAsia="Noto Sans" w:hAnsi="Noto Sans" w:cs="Noto Sans"/>
            <w:color w:val="1155CC"/>
            <w:sz w:val="20"/>
            <w:szCs w:val="20"/>
            <w:u w:val="single"/>
          </w:rPr>
          <w:t>MDAR framework</w:t>
        </w:r>
      </w:hyperlink>
      <w:r>
        <w:rPr>
          <w:rFonts w:ascii="Noto Sans" w:eastAsia="Noto Sans" w:hAnsi="Noto Sans" w:cs="Noto Sans"/>
          <w:sz w:val="20"/>
          <w:szCs w:val="20"/>
        </w:rPr>
        <w:t xml:space="preserve"> establishes a minimum set of requirements in transparent reporting mainly applicable to studies in the life sciences.</w:t>
      </w:r>
    </w:p>
    <w:p w14:paraId="17DBD434" w14:textId="77777777" w:rsidR="00F102CC" w:rsidRPr="003D5AF6" w:rsidRDefault="00F102CC">
      <w:pPr>
        <w:rPr>
          <w:rFonts w:ascii="Noto Sans" w:eastAsia="Noto Sans" w:hAnsi="Noto Sans" w:cs="Noto Sans"/>
          <w:sz w:val="16"/>
          <w:szCs w:val="16"/>
        </w:rPr>
      </w:pPr>
      <w:bookmarkStart w:id="0" w:name="_cvmm3w1hmoo8" w:colFirst="0" w:colLast="0"/>
      <w:bookmarkEnd w:id="0"/>
    </w:p>
    <w:p w14:paraId="67687A46" w14:textId="77777777" w:rsidR="00F102CC" w:rsidRDefault="00427975">
      <w:pPr>
        <w:rPr>
          <w:rFonts w:ascii="Noto Sans" w:eastAsia="Noto Sans" w:hAnsi="Noto Sans" w:cs="Noto Sans"/>
          <w:sz w:val="20"/>
          <w:szCs w:val="20"/>
        </w:rPr>
      </w:pPr>
      <w:r>
        <w:rPr>
          <w:rFonts w:ascii="Noto Sans" w:eastAsia="Noto Sans" w:hAnsi="Noto Sans" w:cs="Noto Sans"/>
          <w:i/>
          <w:sz w:val="20"/>
          <w:szCs w:val="20"/>
        </w:rPr>
        <w:t>eLife</w:t>
      </w:r>
      <w:r>
        <w:rPr>
          <w:rFonts w:ascii="Noto Sans" w:eastAsia="Noto Sans" w:hAnsi="Noto Sans" w:cs="Noto Sans"/>
          <w:sz w:val="20"/>
          <w:szCs w:val="20"/>
        </w:rPr>
        <w:t xml:space="preserve"> asks authors to </w:t>
      </w:r>
      <w:r>
        <w:rPr>
          <w:rFonts w:ascii="Noto Sans" w:eastAsia="Noto Sans" w:hAnsi="Noto Sans" w:cs="Noto Sans"/>
          <w:b/>
          <w:sz w:val="20"/>
          <w:szCs w:val="20"/>
        </w:rPr>
        <w:t>provide detailed information within their article</w:t>
      </w:r>
      <w:r>
        <w:rPr>
          <w:rFonts w:ascii="Noto Sans" w:eastAsia="Noto Sans" w:hAnsi="Noto Sans" w:cs="Noto Sans"/>
          <w:sz w:val="20"/>
          <w:szCs w:val="20"/>
        </w:rPr>
        <w:t xml:space="preserve"> to facilitate the interpretation and replication of their work. Authors can also upload supporting materials to comply with relevant reporting guidelines for health-related research (see </w:t>
      </w:r>
      <w:hyperlink r:id="rId8">
        <w:r>
          <w:rPr>
            <w:rFonts w:ascii="Noto Sans" w:eastAsia="Noto Sans" w:hAnsi="Noto Sans" w:cs="Noto Sans"/>
            <w:color w:val="1155CC"/>
            <w:sz w:val="20"/>
            <w:szCs w:val="20"/>
            <w:u w:val="single"/>
          </w:rPr>
          <w:t>EQUATOR Network</w:t>
        </w:r>
      </w:hyperlink>
      <w:r>
        <w:rPr>
          <w:rFonts w:ascii="Noto Sans" w:eastAsia="Noto Sans" w:hAnsi="Noto Sans" w:cs="Noto Sans"/>
          <w:sz w:val="20"/>
          <w:szCs w:val="20"/>
        </w:rPr>
        <w:t>), life science research (see the </w:t>
      </w:r>
      <w:hyperlink r:id="rId9">
        <w:r>
          <w:rPr>
            <w:rFonts w:ascii="Noto Sans" w:eastAsia="Noto Sans" w:hAnsi="Noto Sans" w:cs="Noto Sans"/>
            <w:color w:val="1155CC"/>
            <w:sz w:val="20"/>
            <w:szCs w:val="20"/>
            <w:u w:val="single"/>
          </w:rPr>
          <w:t>BioSharing Information Resource</w:t>
        </w:r>
      </w:hyperlink>
      <w:r>
        <w:rPr>
          <w:rFonts w:ascii="Noto Sans" w:eastAsia="Noto Sans" w:hAnsi="Noto Sans" w:cs="Noto Sans"/>
          <w:sz w:val="20"/>
          <w:szCs w:val="20"/>
        </w:rPr>
        <w:t>), or animal research (see the </w:t>
      </w:r>
      <w:hyperlink r:id="rId10">
        <w:r>
          <w:rPr>
            <w:rFonts w:ascii="Noto Sans" w:eastAsia="Noto Sans" w:hAnsi="Noto Sans" w:cs="Noto Sans"/>
            <w:color w:val="1155CC"/>
            <w:sz w:val="20"/>
            <w:szCs w:val="20"/>
            <w:u w:val="single"/>
          </w:rPr>
          <w:t>ARRIVE Guidelines</w:t>
        </w:r>
      </w:hyperlink>
      <w:r>
        <w:rPr>
          <w:rFonts w:ascii="Noto Sans" w:eastAsia="Noto Sans" w:hAnsi="Noto Sans" w:cs="Noto Sans"/>
          <w:sz w:val="20"/>
          <w:szCs w:val="20"/>
        </w:rPr>
        <w:t xml:space="preserve"> and the </w:t>
      </w:r>
      <w:hyperlink r:id="rId11">
        <w:r>
          <w:rPr>
            <w:rFonts w:ascii="Noto Sans" w:eastAsia="Noto Sans" w:hAnsi="Noto Sans" w:cs="Noto Sans"/>
            <w:color w:val="1155CC"/>
            <w:sz w:val="20"/>
            <w:szCs w:val="20"/>
            <w:u w:val="single"/>
          </w:rPr>
          <w:t>STRANGE Framework</w:t>
        </w:r>
      </w:hyperlink>
      <w:r>
        <w:rPr>
          <w:rFonts w:ascii="Noto Sans" w:eastAsia="Noto Sans" w:hAnsi="Noto Sans" w:cs="Noto Sans"/>
          <w:sz w:val="20"/>
          <w:szCs w:val="20"/>
        </w:rPr>
        <w:t xml:space="preserve">; for details, see </w:t>
      </w:r>
      <w:r>
        <w:rPr>
          <w:rFonts w:ascii="Noto Sans" w:eastAsia="Noto Sans" w:hAnsi="Noto Sans" w:cs="Noto Sans"/>
          <w:i/>
          <w:sz w:val="20"/>
          <w:szCs w:val="20"/>
        </w:rPr>
        <w:t>eLife</w:t>
      </w:r>
      <w:r>
        <w:rPr>
          <w:rFonts w:ascii="Noto Sans" w:eastAsia="Noto Sans" w:hAnsi="Noto Sans" w:cs="Noto Sans"/>
          <w:sz w:val="20"/>
          <w:szCs w:val="20"/>
        </w:rPr>
        <w:t xml:space="preserve">’s </w:t>
      </w:r>
      <w:hyperlink r:id="rId12">
        <w:r>
          <w:rPr>
            <w:rFonts w:ascii="Noto Sans" w:eastAsia="Noto Sans" w:hAnsi="Noto Sans" w:cs="Noto Sans"/>
            <w:color w:val="1155CC"/>
            <w:sz w:val="20"/>
            <w:szCs w:val="20"/>
            <w:u w:val="single"/>
          </w:rPr>
          <w:t>Journal Policies</w:t>
        </w:r>
      </w:hyperlink>
      <w:r>
        <w:rPr>
          <w:rFonts w:ascii="Noto Sans" w:eastAsia="Noto Sans" w:hAnsi="Noto Sans" w:cs="Noto Sans"/>
          <w:sz w:val="20"/>
          <w:szCs w:val="20"/>
        </w:rPr>
        <w:t>). Where applicable, authors should refer to any relevant reporting standards materials in this form.</w:t>
      </w:r>
    </w:p>
    <w:p w14:paraId="2E27AFCA" w14:textId="77777777" w:rsidR="00F102CC" w:rsidRPr="003D5AF6" w:rsidRDefault="00F102CC">
      <w:pPr>
        <w:rPr>
          <w:rFonts w:ascii="Noto Sans" w:eastAsia="Noto Sans" w:hAnsi="Noto Sans" w:cs="Noto Sans"/>
          <w:b/>
          <w:color w:val="434343"/>
          <w:sz w:val="16"/>
          <w:szCs w:val="16"/>
        </w:rPr>
      </w:pPr>
    </w:p>
    <w:p w14:paraId="438FA27D" w14:textId="77777777" w:rsidR="00F102CC" w:rsidRDefault="00427975">
      <w:pPr>
        <w:spacing w:before="60" w:line="227" w:lineRule="auto"/>
        <w:rPr>
          <w:rFonts w:ascii="Noto Sans" w:eastAsia="Noto Sans" w:hAnsi="Noto Sans" w:cs="Noto Sans"/>
          <w:color w:val="434343"/>
          <w:sz w:val="20"/>
          <w:szCs w:val="20"/>
        </w:rPr>
      </w:pPr>
      <w:r>
        <w:rPr>
          <w:rFonts w:ascii="Noto Sans" w:eastAsia="Noto Sans" w:hAnsi="Noto Sans" w:cs="Noto Sans"/>
          <w:color w:val="434343"/>
          <w:sz w:val="20"/>
          <w:szCs w:val="20"/>
        </w:rPr>
        <w:t xml:space="preserve">For all that apply, please note </w:t>
      </w:r>
      <w:r>
        <w:rPr>
          <w:rFonts w:ascii="Noto Sans" w:eastAsia="Noto Sans" w:hAnsi="Noto Sans" w:cs="Noto Sans"/>
          <w:b/>
          <w:color w:val="434343"/>
          <w:sz w:val="20"/>
          <w:szCs w:val="20"/>
        </w:rPr>
        <w:t xml:space="preserve">where in the article </w:t>
      </w:r>
      <w:r>
        <w:rPr>
          <w:rFonts w:ascii="Noto Sans" w:eastAsia="Noto Sans" w:hAnsi="Noto Sans" w:cs="Noto Sans"/>
          <w:color w:val="434343"/>
          <w:sz w:val="20"/>
          <w:szCs w:val="20"/>
        </w:rPr>
        <w:t>the information is provided. Please note that we also collect information about data availability and ethics in the submission form.</w:t>
      </w:r>
    </w:p>
    <w:p w14:paraId="78596189" w14:textId="77777777" w:rsidR="00F102CC" w:rsidRPr="003D5AF6" w:rsidRDefault="00F102CC">
      <w:pPr>
        <w:spacing w:before="60" w:line="227" w:lineRule="auto"/>
        <w:rPr>
          <w:rFonts w:ascii="Noto Sans" w:eastAsia="Noto Sans" w:hAnsi="Noto Sans" w:cs="Noto Sans"/>
          <w:b/>
          <w:color w:val="434343"/>
          <w:sz w:val="16"/>
          <w:szCs w:val="16"/>
          <w:u w:val="single"/>
        </w:rPr>
      </w:pPr>
    </w:p>
    <w:p w14:paraId="17FFB397" w14:textId="77777777" w:rsidR="00F102CC" w:rsidRDefault="00427975">
      <w:pPr>
        <w:spacing w:before="60" w:line="227" w:lineRule="auto"/>
        <w:rPr>
          <w:rFonts w:ascii="Noto Sans" w:eastAsia="Noto Sans" w:hAnsi="Noto Sans" w:cs="Noto Sans"/>
          <w:b/>
          <w:color w:val="434343"/>
        </w:rPr>
      </w:pPr>
      <w:r>
        <w:rPr>
          <w:rFonts w:ascii="Noto Sans" w:eastAsia="Noto Sans" w:hAnsi="Noto Sans" w:cs="Noto Sans"/>
          <w:b/>
          <w:color w:val="434343"/>
        </w:rPr>
        <w:t>Materials:</w:t>
      </w:r>
    </w:p>
    <w:p w14:paraId="47997435"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
        <w:tblW w:w="9720" w:type="dxa"/>
        <w:tblBorders>
          <w:top w:val="nil"/>
          <w:left w:val="nil"/>
          <w:bottom w:val="nil"/>
          <w:right w:val="nil"/>
          <w:insideH w:val="nil"/>
          <w:insideV w:val="nil"/>
        </w:tblBorders>
        <w:tblLayout w:type="fixed"/>
        <w:tblLook w:val="0600" w:firstRow="0" w:lastRow="0" w:firstColumn="0" w:lastColumn="0" w:noHBand="1" w:noVBand="1"/>
      </w:tblPr>
      <w:tblGrid>
        <w:gridCol w:w="5550"/>
        <w:gridCol w:w="3075"/>
        <w:gridCol w:w="1095"/>
      </w:tblGrid>
      <w:tr w:rsidR="00F102CC" w14:paraId="6DFE6099" w14:textId="77777777">
        <w:trPr>
          <w:trHeight w:val="425"/>
        </w:trPr>
        <w:tc>
          <w:tcPr>
            <w:tcW w:w="555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650BF29D"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Newly created materials</w:t>
            </w:r>
          </w:p>
        </w:tc>
        <w:tc>
          <w:tcPr>
            <w:tcW w:w="30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1667575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158D6F95"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5B20C58A" w14:textId="77777777" w:rsidTr="003D5AF6">
        <w:trPr>
          <w:trHeight w:val="1047"/>
        </w:trPr>
        <w:tc>
          <w:tcPr>
            <w:tcW w:w="5550"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52CCB3A2"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The manuscript includes a dedicated "materials availability statement" providing transparent disclosure about availability of newly created materials including details on how materials can be accessed and describing any restrictions on access.</w:t>
            </w:r>
          </w:p>
        </w:tc>
        <w:tc>
          <w:tcPr>
            <w:tcW w:w="3075" w:type="dxa"/>
            <w:tcBorders>
              <w:top w:val="nil"/>
              <w:left w:val="nil"/>
              <w:bottom w:val="single" w:sz="8" w:space="0" w:color="000000"/>
              <w:right w:val="single" w:sz="8" w:space="0" w:color="000000"/>
            </w:tcBorders>
            <w:tcMar>
              <w:top w:w="100" w:type="dxa"/>
              <w:left w:w="120" w:type="dxa"/>
              <w:bottom w:w="100" w:type="dxa"/>
              <w:right w:w="120" w:type="dxa"/>
            </w:tcMar>
          </w:tcPr>
          <w:p w14:paraId="121436FB" w14:textId="77777777" w:rsidR="00657C81" w:rsidRDefault="00106845">
            <w:r>
              <w:rPr>
                <w:rFonts w:ascii="Arial" w:eastAsia="Arial" w:hAnsi="Arial"/>
                <w:sz w:val="17"/>
              </w:rPr>
              <w:t>Methods: Cell lines; TCR cloning and transduction. Newly generated THP1-KO and THP1-CD1c cells and EM1/EM2 TCR constructs are available from the corresponding author upon reasonable request.</w:t>
            </w:r>
          </w:p>
        </w:tc>
        <w:tc>
          <w:tcPr>
            <w:tcW w:w="1095" w:type="dxa"/>
            <w:tcBorders>
              <w:top w:val="nil"/>
              <w:left w:val="nil"/>
              <w:bottom w:val="single" w:sz="8" w:space="0" w:color="000000"/>
              <w:right w:val="single" w:sz="8" w:space="0" w:color="000000"/>
            </w:tcBorders>
            <w:tcMar>
              <w:top w:w="100" w:type="dxa"/>
              <w:left w:w="120" w:type="dxa"/>
              <w:bottom w:w="100" w:type="dxa"/>
              <w:right w:w="120" w:type="dxa"/>
            </w:tcMar>
          </w:tcPr>
          <w:p w14:paraId="2C8DE897" w14:textId="77777777" w:rsidR="00F102CC" w:rsidRPr="003D5AF6" w:rsidRDefault="00F102CC">
            <w:pPr>
              <w:rPr>
                <w:rFonts w:ascii="Noto Sans" w:eastAsia="Noto Sans" w:hAnsi="Noto Sans" w:cs="Noto Sans"/>
                <w:bCs/>
                <w:color w:val="434343"/>
                <w:sz w:val="18"/>
                <w:szCs w:val="18"/>
              </w:rPr>
            </w:pPr>
          </w:p>
        </w:tc>
      </w:tr>
      <w:tr w:rsidR="00F102CC" w14:paraId="0F88D80B" w14:textId="77777777">
        <w:trPr>
          <w:trHeight w:val="425"/>
        </w:trPr>
        <w:tc>
          <w:tcPr>
            <w:tcW w:w="5550" w:type="dxa"/>
            <w:tcBorders>
              <w:top w:val="nil"/>
              <w:left w:val="nil"/>
              <w:bottom w:val="nil"/>
              <w:right w:val="nil"/>
            </w:tcBorders>
            <w:tcMar>
              <w:top w:w="100" w:type="dxa"/>
              <w:left w:w="100" w:type="dxa"/>
              <w:bottom w:w="100" w:type="dxa"/>
              <w:right w:w="100" w:type="dxa"/>
            </w:tcMar>
          </w:tcPr>
          <w:p w14:paraId="1347336D" w14:textId="77777777" w:rsidR="003D5AF6" w:rsidRPr="003D5AF6" w:rsidRDefault="003D5AF6">
            <w:pPr>
              <w:rPr>
                <w:rFonts w:ascii="Noto Sans" w:eastAsia="Noto Sans" w:hAnsi="Noto Sans" w:cs="Noto Sans"/>
                <w:b/>
                <w:color w:val="434343"/>
                <w:sz w:val="16"/>
                <w:szCs w:val="16"/>
              </w:rPr>
            </w:pPr>
          </w:p>
        </w:tc>
        <w:tc>
          <w:tcPr>
            <w:tcW w:w="3075" w:type="dxa"/>
            <w:tcBorders>
              <w:top w:val="nil"/>
              <w:left w:val="nil"/>
              <w:bottom w:val="nil"/>
              <w:right w:val="nil"/>
            </w:tcBorders>
            <w:tcMar>
              <w:top w:w="100" w:type="dxa"/>
              <w:left w:w="100" w:type="dxa"/>
              <w:bottom w:w="100" w:type="dxa"/>
              <w:right w:w="100" w:type="dxa"/>
            </w:tcMar>
          </w:tcPr>
          <w:p w14:paraId="2D8C8C7A" w14:textId="77777777" w:rsidR="00F102CC" w:rsidRDefault="00427975">
            <w:pPr>
              <w:spacing w:line="225" w:lineRule="auto"/>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nil"/>
              <w:right w:val="nil"/>
            </w:tcBorders>
            <w:tcMar>
              <w:top w:w="100" w:type="dxa"/>
              <w:left w:w="100" w:type="dxa"/>
              <w:bottom w:w="100" w:type="dxa"/>
              <w:right w:w="100" w:type="dxa"/>
            </w:tcMar>
          </w:tcPr>
          <w:p w14:paraId="03F600C9" w14:textId="77777777" w:rsidR="00F102CC" w:rsidRDefault="00427975">
            <w:pPr>
              <w:spacing w:line="225" w:lineRule="auto"/>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3D9782D6" w14:textId="77777777">
        <w:trPr>
          <w:trHeight w:val="425"/>
        </w:trPr>
        <w:tc>
          <w:tcPr>
            <w:tcW w:w="555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0FD4DA3E"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Antibodies</w:t>
            </w:r>
          </w:p>
        </w:tc>
        <w:tc>
          <w:tcPr>
            <w:tcW w:w="30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73C5317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6F08BF15"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4F477A04" w14:textId="77777777" w:rsidTr="003D5AF6">
        <w:trPr>
          <w:trHeight w:val="605"/>
        </w:trPr>
        <w:tc>
          <w:tcPr>
            <w:tcW w:w="5550"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78832F78"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For commercial reagents, provide supplier name, catalogue number and</w:t>
            </w:r>
            <w:hyperlink r:id="rId13">
              <w:r>
                <w:rPr>
                  <w:rFonts w:ascii="Noto Sans" w:eastAsia="Noto Sans" w:hAnsi="Noto Sans" w:cs="Noto Sans"/>
                  <w:color w:val="434343"/>
                  <w:sz w:val="18"/>
                  <w:szCs w:val="18"/>
                </w:rPr>
                <w:t xml:space="preserve"> </w:t>
              </w:r>
            </w:hyperlink>
            <w:hyperlink r:id="rId14">
              <w:r>
                <w:rPr>
                  <w:rFonts w:ascii="Noto Sans" w:eastAsia="Noto Sans" w:hAnsi="Noto Sans" w:cs="Noto Sans"/>
                  <w:color w:val="1155CC"/>
                  <w:sz w:val="18"/>
                  <w:szCs w:val="18"/>
                  <w:u w:val="single"/>
                </w:rPr>
                <w:t>RRID</w:t>
              </w:r>
            </w:hyperlink>
            <w:r>
              <w:rPr>
                <w:rFonts w:ascii="Noto Sans" w:eastAsia="Noto Sans" w:hAnsi="Noto Sans" w:cs="Noto Sans"/>
                <w:color w:val="434343"/>
                <w:sz w:val="18"/>
                <w:szCs w:val="18"/>
              </w:rPr>
              <w:t>, if available.</w:t>
            </w:r>
          </w:p>
        </w:tc>
        <w:tc>
          <w:tcPr>
            <w:tcW w:w="3075" w:type="dxa"/>
            <w:tcBorders>
              <w:top w:val="nil"/>
              <w:left w:val="nil"/>
              <w:bottom w:val="single" w:sz="8" w:space="0" w:color="000000"/>
              <w:right w:val="single" w:sz="8" w:space="0" w:color="000000"/>
            </w:tcBorders>
            <w:tcMar>
              <w:top w:w="100" w:type="dxa"/>
              <w:left w:w="120" w:type="dxa"/>
              <w:bottom w:w="100" w:type="dxa"/>
              <w:right w:w="120" w:type="dxa"/>
            </w:tcMar>
          </w:tcPr>
          <w:p w14:paraId="5BC105BA" w14:textId="77777777" w:rsidR="00657C81" w:rsidRDefault="00106845">
            <w:r>
              <w:rPr>
                <w:rFonts w:ascii="Arial" w:eastAsia="Arial" w:hAnsi="Arial"/>
                <w:sz w:val="17"/>
              </w:rPr>
              <w:t>Materials and Methods: Key Resources Table; Flow cytometry; Immunohistochemistry. Antibody suppliers and clones are reported, with catalogue numbers and RRIDs where available.</w:t>
            </w:r>
          </w:p>
        </w:tc>
        <w:tc>
          <w:tcPr>
            <w:tcW w:w="1095" w:type="dxa"/>
            <w:tcBorders>
              <w:top w:val="nil"/>
              <w:left w:val="nil"/>
              <w:bottom w:val="single" w:sz="8" w:space="0" w:color="000000"/>
              <w:right w:val="single" w:sz="8" w:space="0" w:color="000000"/>
            </w:tcBorders>
            <w:tcMar>
              <w:top w:w="100" w:type="dxa"/>
              <w:left w:w="120" w:type="dxa"/>
              <w:bottom w:w="100" w:type="dxa"/>
              <w:right w:w="120" w:type="dxa"/>
            </w:tcMar>
          </w:tcPr>
          <w:p w14:paraId="1705A995" w14:textId="77777777" w:rsidR="00F102CC" w:rsidRPr="003D5AF6" w:rsidRDefault="00F102CC">
            <w:pPr>
              <w:rPr>
                <w:rFonts w:ascii="Noto Sans" w:eastAsia="Noto Sans" w:hAnsi="Noto Sans" w:cs="Noto Sans"/>
                <w:bCs/>
                <w:color w:val="434343"/>
                <w:sz w:val="18"/>
                <w:szCs w:val="18"/>
              </w:rPr>
            </w:pPr>
          </w:p>
        </w:tc>
      </w:tr>
      <w:tr w:rsidR="00F102CC" w14:paraId="21ACED5E"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0420D0D6" w14:textId="77777777" w:rsidR="00F102CC" w:rsidRPr="003D5AF6" w:rsidRDefault="00F102CC">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79F84C00"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458886EC"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24117617"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021AFCA1"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DNA and RNA sequences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05A58E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512249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335CF20" w14:textId="77777777" w:rsidTr="003D5AF6">
        <w:trPr>
          <w:trHeight w:val="579"/>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CEC18A9" w14:textId="77777777"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Short novel DNA or RNA including primers, probes: Sequences should be included or deposited in a public repository.</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187AF01A" w14:textId="77777777" w:rsidR="00657C81" w:rsidRDefault="00106845">
            <w:r>
              <w:rPr>
                <w:rFonts w:ascii="Arial" w:eastAsia="Arial" w:hAnsi="Arial"/>
                <w:sz w:val="17"/>
              </w:rPr>
              <w:t>Methods: TCR sequencing and TCR cloning and transduction; Supplementary File 1. TCR amplification primer sequences are provided; EM1 and EM2 TCRs were synthesised and cloned into pELNS.</w:t>
            </w: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3F59CDB8" w14:textId="77777777" w:rsidR="00F102CC" w:rsidRPr="003D5AF6" w:rsidRDefault="00F102CC">
            <w:pPr>
              <w:rPr>
                <w:rFonts w:ascii="Noto Sans" w:eastAsia="Noto Sans" w:hAnsi="Noto Sans" w:cs="Noto Sans"/>
                <w:bCs/>
                <w:color w:val="434343"/>
                <w:sz w:val="18"/>
                <w:szCs w:val="18"/>
              </w:rPr>
            </w:pPr>
          </w:p>
        </w:tc>
      </w:tr>
      <w:tr w:rsidR="00F102CC" w14:paraId="774A4B42" w14:textId="77777777" w:rsidTr="00A11E52">
        <w:trPr>
          <w:trHeight w:val="485"/>
        </w:trPr>
        <w:tc>
          <w:tcPr>
            <w:tcW w:w="5550" w:type="dxa"/>
            <w:tcBorders>
              <w:top w:val="single" w:sz="8" w:space="0" w:color="000000"/>
              <w:left w:val="nil"/>
              <w:bottom w:val="single" w:sz="8" w:space="0" w:color="000000"/>
              <w:right w:val="nil"/>
            </w:tcBorders>
            <w:tcMar>
              <w:top w:w="100" w:type="dxa"/>
              <w:left w:w="100" w:type="dxa"/>
              <w:bottom w:w="100" w:type="dxa"/>
              <w:right w:w="100" w:type="dxa"/>
            </w:tcMar>
          </w:tcPr>
          <w:p w14:paraId="7258032C" w14:textId="77777777" w:rsidR="00F102CC" w:rsidRPr="003D5AF6" w:rsidRDefault="00F102CC">
            <w:pPr>
              <w:rPr>
                <w:rFonts w:ascii="Noto Sans" w:eastAsia="Noto Sans" w:hAnsi="Noto Sans" w:cs="Noto Sans"/>
                <w:b/>
                <w:color w:val="434343"/>
                <w:sz w:val="16"/>
                <w:szCs w:val="16"/>
              </w:rPr>
            </w:pPr>
          </w:p>
        </w:tc>
        <w:tc>
          <w:tcPr>
            <w:tcW w:w="3075" w:type="dxa"/>
            <w:tcBorders>
              <w:top w:val="single" w:sz="8" w:space="0" w:color="000000"/>
              <w:left w:val="nil"/>
              <w:bottom w:val="single" w:sz="8" w:space="0" w:color="000000"/>
              <w:right w:val="nil"/>
            </w:tcBorders>
            <w:tcMar>
              <w:top w:w="100" w:type="dxa"/>
              <w:left w:w="100" w:type="dxa"/>
              <w:bottom w:w="100" w:type="dxa"/>
              <w:right w:w="100" w:type="dxa"/>
            </w:tcMar>
          </w:tcPr>
          <w:p w14:paraId="357E9543" w14:textId="77777777" w:rsidR="00F102CC" w:rsidRDefault="00427975">
            <w:pPr>
              <w:ind w:left="400"/>
              <w:rPr>
                <w:rFonts w:ascii="Noto Sans" w:eastAsia="Noto Sans" w:hAnsi="Noto Sans" w:cs="Noto Sans"/>
                <w:b/>
                <w:color w:val="434343"/>
              </w:rPr>
            </w:pPr>
            <w:r>
              <w:rPr>
                <w:rFonts w:ascii="Noto Sans" w:eastAsia="Noto Sans" w:hAnsi="Noto Sans" w:cs="Noto Sans"/>
                <w:b/>
                <w:color w:val="434343"/>
                <w:sz w:val="17"/>
              </w:rPr>
              <w:t xml:space="preserve"> </w:t>
            </w:r>
          </w:p>
        </w:tc>
        <w:tc>
          <w:tcPr>
            <w:tcW w:w="1095" w:type="dxa"/>
            <w:tcBorders>
              <w:top w:val="single" w:sz="8" w:space="0" w:color="000000"/>
              <w:left w:val="nil"/>
              <w:bottom w:val="single" w:sz="8" w:space="0" w:color="000000"/>
              <w:right w:val="nil"/>
            </w:tcBorders>
            <w:tcMar>
              <w:top w:w="100" w:type="dxa"/>
              <w:left w:w="100" w:type="dxa"/>
              <w:bottom w:w="100" w:type="dxa"/>
              <w:right w:w="100" w:type="dxa"/>
            </w:tcMar>
          </w:tcPr>
          <w:p w14:paraId="543102EE" w14:textId="77777777" w:rsidR="00F102CC" w:rsidRDefault="00427975">
            <w:pPr>
              <w:ind w:left="400"/>
              <w:jc w:val="center"/>
              <w:rPr>
                <w:rFonts w:ascii="Noto Sans" w:eastAsia="Noto Sans" w:hAnsi="Noto Sans" w:cs="Noto Sans"/>
                <w:b/>
                <w:color w:val="434343"/>
              </w:rPr>
            </w:pPr>
            <w:r>
              <w:rPr>
                <w:rFonts w:ascii="Noto Sans" w:eastAsia="Noto Sans" w:hAnsi="Noto Sans" w:cs="Noto Sans"/>
                <w:b/>
                <w:color w:val="434343"/>
                <w:sz w:val="17"/>
              </w:rPr>
              <w:t xml:space="preserve"> </w:t>
            </w:r>
          </w:p>
        </w:tc>
      </w:tr>
      <w:tr w:rsidR="00F102CC" w14:paraId="741CFB28"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78362B45"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Cell materials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5126DF7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5B58AE20"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3C9AA2D4" w14:textId="77777777">
        <w:trPr>
          <w:trHeight w:val="990"/>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6DC1F33"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lastRenderedPageBreak/>
              <w:t>Cell lines: Provide species information, strain. Provide accession number in repository OR supplier name, catalog number, clone number, OR RRID.</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15A5B023" w14:textId="1A53E372" w:rsidR="00657C81" w:rsidRDefault="00106845">
            <w:r>
              <w:rPr>
                <w:rFonts w:ascii="Arial" w:eastAsia="Arial" w:hAnsi="Arial"/>
                <w:sz w:val="17"/>
              </w:rPr>
              <w:t xml:space="preserve">Methods: Cell lines; Key Resources Table. Human THP1 cells were obtained from </w:t>
            </w:r>
            <w:r w:rsidR="00A944AA">
              <w:rPr>
                <w:rFonts w:ascii="Arial" w:eastAsia="Arial" w:hAnsi="Arial"/>
                <w:sz w:val="17"/>
              </w:rPr>
              <w:t>ATCC</w:t>
            </w:r>
            <w:r>
              <w:rPr>
                <w:rFonts w:ascii="Arial" w:eastAsia="Arial" w:hAnsi="Arial"/>
                <w:sz w:val="17"/>
              </w:rPr>
              <w:t xml:space="preserve">; HEK293TN cells from ATCC; β2-microglobulin-knockout J.RT3-T3.5 Jurkat cells were provided by Pierre Vantourout (King's College London). </w:t>
            </w:r>
            <w:r w:rsidR="005B1F75">
              <w:rPr>
                <w:rFonts w:ascii="Arial" w:eastAsia="Arial" w:hAnsi="Arial"/>
                <w:sz w:val="17"/>
              </w:rPr>
              <w:t>Cells</w:t>
            </w:r>
            <w:r>
              <w:rPr>
                <w:rFonts w:ascii="Arial" w:eastAsia="Arial" w:hAnsi="Arial"/>
                <w:sz w:val="17"/>
              </w:rPr>
              <w:t xml:space="preserve"> were verified by flow cytometry</w:t>
            </w:r>
            <w:r w:rsidR="005B1F75">
              <w:rPr>
                <w:rFonts w:ascii="Arial" w:eastAsia="Arial" w:hAnsi="Arial"/>
                <w:sz w:val="17"/>
              </w:rPr>
              <w:t xml:space="preserve"> and</w:t>
            </w:r>
            <w:r>
              <w:rPr>
                <w:rFonts w:ascii="Arial" w:eastAsia="Arial" w:hAnsi="Arial"/>
                <w:sz w:val="17"/>
              </w:rPr>
              <w:t xml:space="preserve"> STR profiling. All cell lines were mycoplasma negative.</w:t>
            </w: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1062E292" w14:textId="77777777" w:rsidR="00F102CC" w:rsidRPr="003D5AF6" w:rsidRDefault="00F102CC">
            <w:pPr>
              <w:rPr>
                <w:rFonts w:ascii="Noto Sans" w:eastAsia="Noto Sans" w:hAnsi="Noto Sans" w:cs="Noto Sans"/>
                <w:bCs/>
                <w:color w:val="434343"/>
                <w:sz w:val="18"/>
                <w:szCs w:val="18"/>
              </w:rPr>
            </w:pPr>
          </w:p>
        </w:tc>
      </w:tr>
      <w:tr w:rsidR="00F102CC" w14:paraId="3F50A6E7" w14:textId="77777777" w:rsidTr="003D5AF6">
        <w:trPr>
          <w:trHeight w:val="605"/>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36563CE"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Primary cultures: Provide species, strain, sex of origin, genetic modification status.</w:t>
            </w:r>
            <w:r w:rsidR="00C84413">
              <w:rPr>
                <w:rFonts w:ascii="Noto Sans" w:eastAsia="Noto Sans" w:hAnsi="Noto Sans" w:cs="Noto Sans"/>
                <w:color w:val="434343"/>
                <w:sz w:val="18"/>
                <w:szCs w:val="18"/>
              </w:rPr>
              <w:t xml:space="preserve"> </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33B27F92" w14:textId="77777777" w:rsidR="00657C81" w:rsidRDefault="00106845">
            <w:r>
              <w:rPr>
                <w:rFonts w:ascii="Arial" w:eastAsia="Arial" w:hAnsi="Arial"/>
                <w:sz w:val="17"/>
              </w:rPr>
              <w:t>Methods: Cell lines; MoDC generation. Human PBMCs and T cells were obtained from healthy blood-bank donors. Monocyte-derived dendritic cells were generated from human CD14+ monocytes.</w:t>
            </w: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61D4E48C" w14:textId="77777777" w:rsidR="00F102CC" w:rsidRPr="003D5AF6" w:rsidRDefault="00F102CC">
            <w:pPr>
              <w:rPr>
                <w:rFonts w:ascii="Noto Sans" w:eastAsia="Noto Sans" w:hAnsi="Noto Sans" w:cs="Noto Sans"/>
                <w:bCs/>
                <w:color w:val="434343"/>
                <w:sz w:val="18"/>
                <w:szCs w:val="18"/>
              </w:rPr>
            </w:pPr>
          </w:p>
        </w:tc>
      </w:tr>
      <w:tr w:rsidR="00F102CC" w14:paraId="5DD9DCFA"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141FAFCE" w14:textId="77777777" w:rsidR="00F102CC" w:rsidRPr="003D5AF6" w:rsidRDefault="00F102CC">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1EA83B0B"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36EDDA3B"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8A159D9"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09FF50F8"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Experimental animals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22D1EE05"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AA50AE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4AB05C6E" w14:textId="77777777">
        <w:trPr>
          <w:trHeight w:val="1095"/>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100D0AB"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Laboratory animals or Model organisms: Provide species, strain, sex, age, genetic modification status. Provide accession number in repository OR supplier name, catalog number, clone number, OR RRID.</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57520D1B"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01CDAE9D" w14:textId="77777777" w:rsidR="00657C81" w:rsidRDefault="00106845">
            <w:r>
              <w:rPr>
                <w:rFonts w:ascii="Arial" w:eastAsia="Arial" w:hAnsi="Arial"/>
                <w:b/>
                <w:sz w:val="18"/>
              </w:rPr>
              <w:t>X</w:t>
            </w:r>
          </w:p>
        </w:tc>
      </w:tr>
      <w:tr w:rsidR="00F102CC" w14:paraId="7F946430" w14:textId="77777777" w:rsidTr="003D5AF6">
        <w:trPr>
          <w:trHeight w:val="668"/>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AD6C5EC"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Animal observed in or captured from the field: Provide species, sex, and age where possible.</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C73D709"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130D481E" w14:textId="77777777" w:rsidR="00657C81" w:rsidRDefault="00106845">
            <w:r>
              <w:rPr>
                <w:rFonts w:ascii="Arial" w:eastAsia="Arial" w:hAnsi="Arial"/>
                <w:b/>
                <w:sz w:val="18"/>
              </w:rPr>
              <w:t>X</w:t>
            </w:r>
          </w:p>
        </w:tc>
      </w:tr>
      <w:tr w:rsidR="00F102CC" w14:paraId="4766362C"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7AD4759A" w14:textId="77777777" w:rsidR="00F102CC" w:rsidRPr="003D5AF6" w:rsidRDefault="00F102CC">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43B09200"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67DDE9FB"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1CFD3561"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73916B8"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Plants and microbes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2429576E"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10BCE7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2BA2BBA4" w14:textId="77777777" w:rsidTr="003D5AF6">
        <w:trPr>
          <w:trHeight w:val="728"/>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8F584E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color w:val="434343"/>
                <w:sz w:val="18"/>
                <w:szCs w:val="18"/>
              </w:rPr>
              <w:t>Plants: provide species and strain, ecotype and cultivar where relevant, unique accession number if available, and source (including location for collected wild specimens).</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3DF89ABD"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05551211" w14:textId="77777777" w:rsidR="00657C81" w:rsidRDefault="00106845">
            <w:r>
              <w:rPr>
                <w:rFonts w:ascii="Arial" w:eastAsia="Arial" w:hAnsi="Arial"/>
                <w:b/>
                <w:sz w:val="18"/>
              </w:rPr>
              <w:t>X</w:t>
            </w:r>
          </w:p>
        </w:tc>
      </w:tr>
      <w:tr w:rsidR="00F102CC" w14:paraId="183FCF1D" w14:textId="77777777" w:rsidTr="003D5AF6">
        <w:trPr>
          <w:trHeight w:val="574"/>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D055587"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Microbes: provide species and strain, unique accession number if available, and source.</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70AED270" w14:textId="77777777" w:rsidR="00657C81" w:rsidRDefault="00106845">
            <w:r>
              <w:rPr>
                <w:rFonts w:ascii="Arial" w:eastAsia="Arial" w:hAnsi="Arial"/>
                <w:sz w:val="17"/>
              </w:rPr>
              <w:t>Methods: Mtb Culture. Mycobacterium tuberculosis H37Rv and bioluminescent H37Rv-lux were used.</w:t>
            </w: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7DCC0DF1" w14:textId="77777777" w:rsidR="00F102CC" w:rsidRPr="003D5AF6" w:rsidRDefault="00F102CC">
            <w:pPr>
              <w:rPr>
                <w:rFonts w:ascii="Noto Sans" w:eastAsia="Noto Sans" w:hAnsi="Noto Sans" w:cs="Noto Sans"/>
                <w:bCs/>
                <w:color w:val="434343"/>
                <w:sz w:val="18"/>
                <w:szCs w:val="18"/>
              </w:rPr>
            </w:pPr>
          </w:p>
        </w:tc>
      </w:tr>
      <w:tr w:rsidR="00F102CC" w14:paraId="4BB0C9D4"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62F9490D" w14:textId="77777777" w:rsidR="00F102CC" w:rsidRPr="003D5AF6" w:rsidRDefault="00F102CC">
            <w:pPr>
              <w:spacing w:line="225" w:lineRule="auto"/>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1074566F"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5A24AA94"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2988C959" w14:textId="77777777">
        <w:trPr>
          <w:trHeight w:val="63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83BB09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Human research participants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4F28440"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 or state if these demographics were not collected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6C8343C"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574E084C" w14:textId="77777777" w:rsidTr="003D5AF6">
        <w:trPr>
          <w:trHeight w:val="471"/>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FA13637" w14:textId="77777777" w:rsidR="00F102CC" w:rsidRDefault="00427975">
            <w:pPr>
              <w:spacing w:line="225" w:lineRule="auto"/>
              <w:rPr>
                <w:rFonts w:ascii="Noto Sans" w:eastAsia="Noto Sans" w:hAnsi="Noto Sans" w:cs="Noto Sans"/>
                <w:color w:val="434343"/>
                <w:sz w:val="18"/>
                <w:szCs w:val="18"/>
              </w:rPr>
            </w:pPr>
            <w:r>
              <w:rPr>
                <w:rFonts w:ascii="Noto Sans" w:eastAsia="Noto Sans" w:hAnsi="Noto Sans" w:cs="Noto Sans"/>
                <w:color w:val="434343"/>
                <w:sz w:val="18"/>
                <w:szCs w:val="18"/>
              </w:rPr>
              <w:t>If collected and within the bounds of privacy constraints report on age,</w:t>
            </w:r>
            <w:r>
              <w:rPr>
                <w:rFonts w:ascii="Noto Sans" w:eastAsia="Noto Sans" w:hAnsi="Noto Sans" w:cs="Noto Sans"/>
                <w:color w:val="434343"/>
                <w:sz w:val="17"/>
              </w:rPr>
              <w:t xml:space="preserve"> </w:t>
            </w:r>
            <w:r>
              <w:rPr>
                <w:rFonts w:ascii="Noto Sans" w:eastAsia="Noto Sans" w:hAnsi="Noto Sans" w:cs="Noto Sans"/>
                <w:color w:val="434343"/>
                <w:sz w:val="18"/>
                <w:szCs w:val="18"/>
              </w:rPr>
              <w:t>sex</w:t>
            </w:r>
            <w:r w:rsidR="00A11E52">
              <w:rPr>
                <w:rFonts w:ascii="Noto Sans" w:eastAsia="Noto Sans" w:hAnsi="Noto Sans" w:cs="Noto Sans"/>
                <w:color w:val="434343"/>
                <w:sz w:val="18"/>
                <w:szCs w:val="18"/>
              </w:rPr>
              <w:t xml:space="preserve">, </w:t>
            </w:r>
            <w:r>
              <w:rPr>
                <w:rFonts w:ascii="Noto Sans" w:eastAsia="Noto Sans" w:hAnsi="Noto Sans" w:cs="Noto Sans"/>
                <w:color w:val="434343"/>
                <w:sz w:val="18"/>
                <w:szCs w:val="18"/>
              </w:rPr>
              <w:t xml:space="preserve">gender </w:t>
            </w:r>
            <w:r w:rsidR="00A11E52">
              <w:rPr>
                <w:rFonts w:ascii="Noto Sans" w:eastAsia="Noto Sans" w:hAnsi="Noto Sans" w:cs="Noto Sans"/>
                <w:color w:val="434343"/>
                <w:sz w:val="18"/>
                <w:szCs w:val="18"/>
              </w:rPr>
              <w:t>and</w:t>
            </w:r>
            <w:r>
              <w:rPr>
                <w:rFonts w:ascii="Noto Sans" w:eastAsia="Noto Sans" w:hAnsi="Noto Sans" w:cs="Noto Sans"/>
                <w:color w:val="434343"/>
                <w:sz w:val="18"/>
                <w:szCs w:val="18"/>
              </w:rPr>
              <w:t xml:space="preserve"> ethnicity for all study participants.</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66A9E8D8" w14:textId="77777777" w:rsidR="00657C81" w:rsidRDefault="00106845">
            <w:r>
              <w:rPr>
                <w:rFonts w:ascii="Arial" w:eastAsia="Arial" w:hAnsi="Arial"/>
                <w:sz w:val="17"/>
              </w:rPr>
              <w:t>Methods: Study approval. Human samples comprised anonymised healthy blood-bank donor PBMCs and archived lung tissue from patients with tuberculosis and adenocarcinoma controls.</w:t>
            </w: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1F5692E4" w14:textId="77777777" w:rsidR="00F102CC" w:rsidRDefault="00F102CC">
            <w:pPr>
              <w:rPr>
                <w:rFonts w:ascii="Noto Sans" w:eastAsia="Noto Sans" w:hAnsi="Noto Sans" w:cs="Noto Sans"/>
                <w:b/>
                <w:color w:val="434343"/>
                <w:sz w:val="18"/>
                <w:szCs w:val="18"/>
              </w:rPr>
            </w:pPr>
          </w:p>
        </w:tc>
      </w:tr>
    </w:tbl>
    <w:p w14:paraId="67A132C9" w14:textId="77777777" w:rsidR="00F102CC" w:rsidRPr="003D5AF6" w:rsidRDefault="00F102CC">
      <w:pPr>
        <w:spacing w:before="80" w:line="227" w:lineRule="auto"/>
        <w:rPr>
          <w:rFonts w:ascii="Noto Sans" w:eastAsia="Noto Sans" w:hAnsi="Noto Sans" w:cs="Noto Sans"/>
          <w:b/>
          <w:color w:val="434343"/>
          <w:sz w:val="16"/>
          <w:szCs w:val="16"/>
          <w:u w:val="single"/>
        </w:rPr>
      </w:pPr>
    </w:p>
    <w:p w14:paraId="2E26276E" w14:textId="77777777" w:rsidR="00F102CC" w:rsidRDefault="00427975">
      <w:pPr>
        <w:spacing w:before="80" w:line="227" w:lineRule="auto"/>
        <w:rPr>
          <w:rFonts w:ascii="Noto Sans" w:eastAsia="Noto Sans" w:hAnsi="Noto Sans" w:cs="Noto Sans"/>
          <w:b/>
          <w:color w:val="434343"/>
          <w:sz w:val="24"/>
          <w:szCs w:val="24"/>
        </w:rPr>
      </w:pPr>
      <w:bookmarkStart w:id="1" w:name="_ff5b8dustxkx" w:colFirst="0" w:colLast="0"/>
      <w:bookmarkEnd w:id="1"/>
      <w:r>
        <w:rPr>
          <w:rFonts w:ascii="Noto Sans" w:eastAsia="Noto Sans" w:hAnsi="Noto Sans" w:cs="Noto Sans"/>
          <w:b/>
          <w:color w:val="434343"/>
          <w:sz w:val="24"/>
          <w:szCs w:val="24"/>
        </w:rPr>
        <w:t>Design:</w:t>
      </w:r>
    </w:p>
    <w:p w14:paraId="08C37BB5"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0"/>
        <w:tblW w:w="9690" w:type="dxa"/>
        <w:tblBorders>
          <w:top w:val="nil"/>
          <w:left w:val="nil"/>
          <w:bottom w:val="nil"/>
          <w:right w:val="nil"/>
          <w:insideH w:val="nil"/>
          <w:insideV w:val="nil"/>
        </w:tblBorders>
        <w:tblLayout w:type="fixed"/>
        <w:tblLook w:val="0600" w:firstRow="0" w:lastRow="0" w:firstColumn="0" w:lastColumn="0" w:noHBand="1" w:noVBand="1"/>
      </w:tblPr>
      <w:tblGrid>
        <w:gridCol w:w="5595"/>
        <w:gridCol w:w="3105"/>
        <w:gridCol w:w="990"/>
      </w:tblGrid>
      <w:tr w:rsidR="00F102CC" w14:paraId="6629BBF8" w14:textId="77777777">
        <w:trPr>
          <w:trHeight w:val="470"/>
        </w:trPr>
        <w:tc>
          <w:tcPr>
            <w:tcW w:w="559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4E6D92F0"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lastRenderedPageBreak/>
              <w:t>Study protocol</w:t>
            </w:r>
          </w:p>
        </w:tc>
        <w:tc>
          <w:tcPr>
            <w:tcW w:w="310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5CAAE644"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35099D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0743B31A" w14:textId="77777777" w:rsidTr="003D5AF6">
        <w:trPr>
          <w:trHeight w:val="606"/>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A1CF926"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If the study protocol has been pre-registered, provide DOI. For clinical trials, provide the trial registration number OR cite DOI.</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748F21C2"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320F1274" w14:textId="77777777" w:rsidR="00657C81" w:rsidRDefault="00106845">
            <w:r>
              <w:rPr>
                <w:rFonts w:ascii="Arial" w:eastAsia="Arial" w:hAnsi="Arial"/>
                <w:b/>
                <w:sz w:val="18"/>
              </w:rPr>
              <w:t>X</w:t>
            </w:r>
          </w:p>
        </w:tc>
      </w:tr>
      <w:tr w:rsidR="00F102CC" w14:paraId="11DCECA2"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4B3AA072"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tcMar>
              <w:top w:w="100" w:type="dxa"/>
              <w:left w:w="100" w:type="dxa"/>
              <w:bottom w:w="100" w:type="dxa"/>
              <w:right w:w="100" w:type="dxa"/>
            </w:tcMar>
          </w:tcPr>
          <w:p w14:paraId="232A1181"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1FEE3E68"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6C86DA39"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636EB5F3"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Laboratory protocol</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294726D6"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29A9A760"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2F878177" w14:textId="77777777" w:rsidTr="003D5AF6">
        <w:trPr>
          <w:trHeight w:val="51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C6EC06F" w14:textId="77777777" w:rsidR="00F102CC" w:rsidRDefault="00427975">
            <w:pPr>
              <w:rPr>
                <w:rFonts w:ascii="Noto Sans" w:eastAsia="Noto Sans" w:hAnsi="Noto Sans" w:cs="Noto Sans"/>
                <w:b/>
                <w:color w:val="434343"/>
                <w:sz w:val="18"/>
                <w:szCs w:val="18"/>
              </w:rPr>
            </w:pPr>
            <w:r>
              <w:rPr>
                <w:rFonts w:ascii="Noto Sans" w:eastAsia="Noto Sans" w:hAnsi="Noto Sans" w:cs="Noto Sans"/>
                <w:color w:val="434343"/>
                <w:sz w:val="18"/>
                <w:szCs w:val="18"/>
              </w:rPr>
              <w:t>Provide DOI OR other citation details if detailed step-by-step protocols are available.</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0FD92264" w14:textId="77777777" w:rsidR="00657C81" w:rsidRDefault="00106845">
            <w:r>
              <w:rPr>
                <w:rFonts w:ascii="Arial" w:eastAsia="Arial" w:hAnsi="Arial"/>
                <w:sz w:val="17"/>
              </w:rPr>
              <w:t>Methods provides detailed experimental procedures. TCR sequencing was adapted from SMART-seq2 and cited accordingly; manufacturer protocols are identified for commercial assays and single-cell library preparation.</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1809156C" w14:textId="77777777" w:rsidR="00F102CC" w:rsidRPr="003D5AF6" w:rsidRDefault="00F102CC">
            <w:pPr>
              <w:spacing w:line="225" w:lineRule="auto"/>
              <w:rPr>
                <w:rFonts w:ascii="Noto Sans" w:eastAsia="Noto Sans" w:hAnsi="Noto Sans" w:cs="Noto Sans"/>
                <w:bCs/>
                <w:color w:val="434343"/>
                <w:sz w:val="18"/>
                <w:szCs w:val="18"/>
              </w:rPr>
            </w:pPr>
          </w:p>
        </w:tc>
      </w:tr>
      <w:tr w:rsidR="00F102CC" w14:paraId="0EDEB316"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7C7E72AA"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tcMar>
              <w:top w:w="100" w:type="dxa"/>
              <w:left w:w="100" w:type="dxa"/>
              <w:bottom w:w="100" w:type="dxa"/>
              <w:right w:w="100" w:type="dxa"/>
            </w:tcMar>
          </w:tcPr>
          <w:p w14:paraId="1A01EC0E"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56C99825"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777E9096" w14:textId="77777777">
        <w:trPr>
          <w:trHeight w:val="425"/>
        </w:trPr>
        <w:tc>
          <w:tcPr>
            <w:tcW w:w="9690" w:type="dxa"/>
            <w:gridSpan w:val="3"/>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0891F33"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Experimental study design (statistics </w:t>
            </w:r>
            <w:r w:rsidR="001B3BCC">
              <w:rPr>
                <w:rFonts w:ascii="Noto Sans" w:eastAsia="Noto Sans" w:hAnsi="Noto Sans" w:cs="Noto Sans"/>
                <w:b/>
                <w:color w:val="434343"/>
                <w:sz w:val="18"/>
                <w:szCs w:val="18"/>
              </w:rPr>
              <w:t>details) *</w:t>
            </w:r>
          </w:p>
        </w:tc>
      </w:tr>
      <w:tr w:rsidR="00F102CC" w14:paraId="6C9FBB43" w14:textId="77777777">
        <w:trPr>
          <w:trHeight w:val="63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4D7DB903"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For in vivo studies: State whether and how the following have been done</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B2F7EEE"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 If it could have been done, but was not, write “not done”</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8255E4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143E94D5" w14:textId="77777777" w:rsidTr="003D5AF6">
        <w:trPr>
          <w:trHeight w:val="349"/>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6DFECE1"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Sample size determination</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178F512D"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7029F23A" w14:textId="77777777" w:rsidR="00657C81" w:rsidRDefault="00106845">
            <w:r>
              <w:rPr>
                <w:rFonts w:ascii="Arial" w:eastAsia="Arial" w:hAnsi="Arial"/>
                <w:b/>
                <w:sz w:val="18"/>
              </w:rPr>
              <w:t>X</w:t>
            </w:r>
          </w:p>
        </w:tc>
      </w:tr>
      <w:tr w:rsidR="00F102CC" w14:paraId="3CEE3351" w14:textId="77777777" w:rsidTr="003D5AF6">
        <w:trPr>
          <w:trHeight w:val="361"/>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FE0694C"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Randomisation</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1F34721C"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3A0A6C6C" w14:textId="77777777" w:rsidR="00657C81" w:rsidRDefault="00106845">
            <w:r>
              <w:rPr>
                <w:rFonts w:ascii="Arial" w:eastAsia="Arial" w:hAnsi="Arial"/>
                <w:b/>
                <w:sz w:val="18"/>
              </w:rPr>
              <w:t>X</w:t>
            </w:r>
          </w:p>
        </w:tc>
      </w:tr>
      <w:tr w:rsidR="00F102CC" w14:paraId="0D9DF5C3" w14:textId="77777777" w:rsidTr="003D5AF6">
        <w:trPr>
          <w:trHeight w:val="373"/>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9337A3A"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Blinding</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6E4C7B4"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71CE2CEA" w14:textId="77777777" w:rsidR="00657C81" w:rsidRDefault="00106845">
            <w:r>
              <w:rPr>
                <w:rFonts w:ascii="Arial" w:eastAsia="Arial" w:hAnsi="Arial"/>
                <w:b/>
                <w:sz w:val="18"/>
              </w:rPr>
              <w:t>X</w:t>
            </w:r>
          </w:p>
        </w:tc>
      </w:tr>
      <w:tr w:rsidR="00F102CC" w14:paraId="1364DF70" w14:textId="77777777" w:rsidTr="003D5AF6">
        <w:trPr>
          <w:trHeight w:val="398"/>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FE9EAEA"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Inclusion/exclusion criteria</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4BE6123C"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5456721F" w14:textId="77777777" w:rsidR="00657C81" w:rsidRDefault="00106845">
            <w:r>
              <w:rPr>
                <w:rFonts w:ascii="Arial" w:eastAsia="Arial" w:hAnsi="Arial"/>
                <w:b/>
                <w:sz w:val="18"/>
              </w:rPr>
              <w:t>X</w:t>
            </w:r>
          </w:p>
        </w:tc>
      </w:tr>
      <w:tr w:rsidR="00F102CC" w14:paraId="58B38C66" w14:textId="77777777">
        <w:trPr>
          <w:trHeight w:val="425"/>
        </w:trPr>
        <w:tc>
          <w:tcPr>
            <w:tcW w:w="5595" w:type="dxa"/>
            <w:tcBorders>
              <w:top w:val="nil"/>
              <w:left w:val="nil"/>
              <w:bottom w:val="nil"/>
              <w:right w:val="nil"/>
            </w:tcBorders>
            <w:tcMar>
              <w:top w:w="100" w:type="dxa"/>
              <w:left w:w="100" w:type="dxa"/>
              <w:bottom w:w="100" w:type="dxa"/>
              <w:right w:w="100" w:type="dxa"/>
            </w:tcMar>
          </w:tcPr>
          <w:p w14:paraId="1FDC8CCD"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nil"/>
              <w:right w:val="nil"/>
            </w:tcBorders>
            <w:tcMar>
              <w:top w:w="100" w:type="dxa"/>
              <w:left w:w="100" w:type="dxa"/>
              <w:bottom w:w="100" w:type="dxa"/>
              <w:right w:w="100" w:type="dxa"/>
            </w:tcMar>
          </w:tcPr>
          <w:p w14:paraId="6B126864"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nil"/>
              <w:right w:val="nil"/>
            </w:tcBorders>
            <w:tcMar>
              <w:top w:w="100" w:type="dxa"/>
              <w:left w:w="100" w:type="dxa"/>
              <w:bottom w:w="100" w:type="dxa"/>
              <w:right w:w="100" w:type="dxa"/>
            </w:tcMar>
          </w:tcPr>
          <w:p w14:paraId="3C3BAEF4"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350D3919" w14:textId="77777777">
        <w:trPr>
          <w:trHeight w:val="425"/>
        </w:trPr>
        <w:tc>
          <w:tcPr>
            <w:tcW w:w="559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7B1E0303"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Sample definition and in-laboratory replication</w:t>
            </w:r>
          </w:p>
        </w:tc>
        <w:tc>
          <w:tcPr>
            <w:tcW w:w="310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496681C0"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7C8C7FBC"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3D532ADE" w14:textId="77777777">
        <w:trPr>
          <w:trHeight w:val="650"/>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75439D7"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highlight w:val="white"/>
              </w:rPr>
              <w:t>State number of times the experiment was replicated in the laboratory</w:t>
            </w:r>
            <w:r>
              <w:rPr>
                <w:rFonts w:ascii="Noto Sans" w:eastAsia="Noto Sans" w:hAnsi="Noto Sans" w:cs="Noto Sans"/>
                <w:color w:val="434343"/>
                <w:sz w:val="18"/>
                <w:szCs w:val="18"/>
              </w:rPr>
              <w:t>.</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553BCB11" w14:textId="77777777" w:rsidR="00657C81" w:rsidRDefault="00106845">
            <w:r>
              <w:rPr>
                <w:rFonts w:ascii="Arial" w:eastAsia="Arial" w:hAnsi="Arial"/>
                <w:sz w:val="17"/>
              </w:rPr>
              <w:t>Methods and figure legends report the number of independent experiments and sample sizes; multiple functional assays were performed in independent experiments with triplicate wells as stated in the relevant figure legends.</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71EA1C78" w14:textId="77777777" w:rsidR="00F102CC" w:rsidRPr="003D5AF6" w:rsidRDefault="00F102CC">
            <w:pPr>
              <w:spacing w:line="225" w:lineRule="auto"/>
              <w:rPr>
                <w:rFonts w:ascii="Noto Sans" w:eastAsia="Noto Sans" w:hAnsi="Noto Sans" w:cs="Noto Sans"/>
                <w:bCs/>
                <w:color w:val="434343"/>
                <w:sz w:val="18"/>
                <w:szCs w:val="18"/>
              </w:rPr>
            </w:pPr>
          </w:p>
        </w:tc>
      </w:tr>
      <w:tr w:rsidR="00F102CC" w14:paraId="357D5E60" w14:textId="77777777" w:rsidTr="003D5AF6">
        <w:trPr>
          <w:trHeight w:val="38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AA0697B"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highlight w:val="white"/>
              </w:rPr>
              <w:t>Define whether data describe technical or biological replicates</w:t>
            </w:r>
            <w:r>
              <w:rPr>
                <w:rFonts w:ascii="Noto Sans" w:eastAsia="Noto Sans" w:hAnsi="Noto Sans" w:cs="Noto Sans"/>
                <w:color w:val="434343"/>
                <w:sz w:val="18"/>
                <w:szCs w:val="18"/>
              </w:rPr>
              <w:t>.</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36FB5D90" w14:textId="77777777" w:rsidR="00657C81" w:rsidRDefault="00106845">
            <w:r>
              <w:rPr>
                <w:rFonts w:ascii="Arial" w:eastAsia="Arial" w:hAnsi="Arial"/>
                <w:sz w:val="17"/>
              </w:rPr>
              <w:t>Biological replicates are independent human donors or independently generated cultures; technical replicates are replicate wells or measurements. Examples include 14 healthy donors for expansion/AIM analysis, five donors for bulk RNA-seq and two donors for scRNA-seq.</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64413AE5" w14:textId="77777777" w:rsidR="00F102CC" w:rsidRPr="003D5AF6" w:rsidRDefault="00F102CC">
            <w:pPr>
              <w:spacing w:line="225" w:lineRule="auto"/>
              <w:rPr>
                <w:rFonts w:ascii="Noto Sans" w:eastAsia="Noto Sans" w:hAnsi="Noto Sans" w:cs="Noto Sans"/>
                <w:bCs/>
                <w:color w:val="434343"/>
                <w:sz w:val="18"/>
                <w:szCs w:val="18"/>
              </w:rPr>
            </w:pPr>
          </w:p>
        </w:tc>
      </w:tr>
      <w:tr w:rsidR="00F102CC" w14:paraId="19B7B96F"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259A5408" w14:textId="77777777" w:rsidR="00F102CC" w:rsidRPr="003D5AF6" w:rsidRDefault="00F102CC">
            <w:pPr>
              <w:rPr>
                <w:rFonts w:ascii="Noto Sans" w:eastAsia="Noto Sans" w:hAnsi="Noto Sans" w:cs="Noto Sans"/>
                <w:b/>
                <w:color w:val="434343"/>
                <w:sz w:val="16"/>
                <w:szCs w:val="16"/>
                <w:highlight w:val="white"/>
              </w:rPr>
            </w:pPr>
          </w:p>
        </w:tc>
        <w:tc>
          <w:tcPr>
            <w:tcW w:w="3105" w:type="dxa"/>
            <w:tcBorders>
              <w:top w:val="nil"/>
              <w:left w:val="nil"/>
              <w:bottom w:val="single" w:sz="8" w:space="0" w:color="000000"/>
              <w:right w:val="nil"/>
            </w:tcBorders>
            <w:tcMar>
              <w:top w:w="100" w:type="dxa"/>
              <w:left w:w="100" w:type="dxa"/>
              <w:bottom w:w="100" w:type="dxa"/>
              <w:right w:w="100" w:type="dxa"/>
            </w:tcMar>
          </w:tcPr>
          <w:p w14:paraId="2C967180"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228D16FD"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6905A7D"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851A2C7"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Ethics</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2EDE82C3"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294B3DD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318DFA9E" w14:textId="77777777" w:rsidTr="003D5AF6">
        <w:trPr>
          <w:trHeight w:val="784"/>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AEC5124"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human participants: State details of authority granting ethics approval (IRB or equivalent committee(s), provide reference number for approval.</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46F1A2DA" w14:textId="77777777" w:rsidR="00657C81" w:rsidRDefault="00106845">
            <w:r>
              <w:rPr>
                <w:rFonts w:ascii="Arial" w:eastAsia="Arial" w:hAnsi="Arial"/>
                <w:sz w:val="17"/>
              </w:rPr>
              <w:t>Methods: Study approval and submission Ethics Statement. Archived lung tissue was used with University Hospital Southampton Institutional Review Board approval (12/NW/0794: SRB04_14); individual consent was waived for surplus archived tissue obtained during routine care. The participant study was approved by NRES Committee South Central - Southampton A (REC 13/SC/0043; IRAS 109038), with approved participant information and consent documents. The study followed the Declaration of Helsinki.</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3F0157B1" w14:textId="77777777" w:rsidR="00F102CC" w:rsidRPr="003D5AF6" w:rsidRDefault="00F102CC">
            <w:pPr>
              <w:spacing w:line="225" w:lineRule="auto"/>
              <w:rPr>
                <w:rFonts w:ascii="Noto Sans" w:eastAsia="Noto Sans" w:hAnsi="Noto Sans" w:cs="Noto Sans"/>
                <w:bCs/>
                <w:color w:val="434343"/>
                <w:sz w:val="18"/>
                <w:szCs w:val="18"/>
              </w:rPr>
            </w:pPr>
          </w:p>
        </w:tc>
      </w:tr>
      <w:tr w:rsidR="00F102CC" w14:paraId="5D63EF81" w14:textId="77777777">
        <w:trPr>
          <w:trHeight w:val="97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ED446A8"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experimental animals: State details of authority granting ethics approval (IRB or equivalent committee(s), provide reference number for approval.</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20A76AE8"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51BD11E2" w14:textId="77777777" w:rsidR="00657C81" w:rsidRDefault="00106845">
            <w:r>
              <w:rPr>
                <w:rFonts w:ascii="Arial" w:eastAsia="Arial" w:hAnsi="Arial"/>
                <w:b/>
                <w:sz w:val="18"/>
              </w:rPr>
              <w:t>X</w:t>
            </w:r>
          </w:p>
        </w:tc>
      </w:tr>
      <w:tr w:rsidR="00F102CC" w14:paraId="6535CD7A" w14:textId="77777777" w:rsidTr="003D5AF6">
        <w:trPr>
          <w:trHeight w:val="889"/>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DE810FC"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specimen and field samples: State if relevant permits obtained, provide details of authority approving study; if none were required, explain why.</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2AE08DAE"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03A828E7" w14:textId="77777777" w:rsidR="00657C81" w:rsidRDefault="00106845">
            <w:r>
              <w:rPr>
                <w:rFonts w:ascii="Arial" w:eastAsia="Arial" w:hAnsi="Arial"/>
                <w:b/>
                <w:sz w:val="18"/>
              </w:rPr>
              <w:t>X</w:t>
            </w:r>
          </w:p>
        </w:tc>
      </w:tr>
      <w:tr w:rsidR="00F102CC" w14:paraId="24FCA97D"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5C18BDED"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tcMar>
              <w:top w:w="100" w:type="dxa"/>
              <w:left w:w="100" w:type="dxa"/>
              <w:bottom w:w="100" w:type="dxa"/>
              <w:right w:w="100" w:type="dxa"/>
            </w:tcMar>
          </w:tcPr>
          <w:p w14:paraId="3C3B098F"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3FEA9255"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31BFFB17"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0BFED563"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Dual Use Research of Concern (DURC)</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A4CFA8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634C6EC"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22F41E91" w14:textId="77777777">
        <w:trPr>
          <w:trHeight w:val="87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D107367"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If</w:t>
            </w:r>
            <w:r>
              <w:rPr>
                <w:rFonts w:ascii="Noto Sans" w:eastAsia="Noto Sans" w:hAnsi="Noto Sans" w:cs="Noto Sans"/>
                <w:color w:val="434343"/>
                <w:sz w:val="18"/>
                <w:szCs w:val="18"/>
                <w:highlight w:val="white"/>
              </w:rPr>
              <w:t xml:space="preserve"> study is subject to dual use research of</w:t>
            </w:r>
            <w:r>
              <w:rPr>
                <w:rFonts w:ascii="Noto Sans" w:eastAsia="Noto Sans" w:hAnsi="Noto Sans" w:cs="Noto Sans"/>
                <w:color w:val="434343"/>
                <w:sz w:val="20"/>
                <w:szCs w:val="20"/>
                <w:highlight w:val="white"/>
              </w:rPr>
              <w:t xml:space="preserve"> </w:t>
            </w:r>
            <w:r>
              <w:rPr>
                <w:rFonts w:ascii="Noto Sans" w:eastAsia="Noto Sans" w:hAnsi="Noto Sans" w:cs="Noto Sans"/>
                <w:color w:val="434343"/>
                <w:sz w:val="18"/>
                <w:szCs w:val="18"/>
                <w:highlight w:val="white"/>
              </w:rPr>
              <w:t xml:space="preserve">concern regulations, state </w:t>
            </w:r>
            <w:r>
              <w:rPr>
                <w:rFonts w:ascii="Noto Sans" w:eastAsia="Noto Sans" w:hAnsi="Noto Sans" w:cs="Noto Sans"/>
                <w:color w:val="434343"/>
                <w:sz w:val="18"/>
                <w:szCs w:val="18"/>
              </w:rPr>
              <w:t>the authority granting approval and reference number for the regulatory approval.</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B280C49"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7A6C2C80" w14:textId="77777777" w:rsidR="00657C81" w:rsidRDefault="00106845">
            <w:r>
              <w:rPr>
                <w:rFonts w:ascii="Arial" w:eastAsia="Arial" w:hAnsi="Arial"/>
                <w:b/>
                <w:sz w:val="18"/>
              </w:rPr>
              <w:t>X</w:t>
            </w:r>
          </w:p>
        </w:tc>
      </w:tr>
    </w:tbl>
    <w:p w14:paraId="0A456217" w14:textId="77777777" w:rsidR="00F102CC" w:rsidRDefault="00F102CC">
      <w:pPr>
        <w:spacing w:line="227" w:lineRule="auto"/>
        <w:rPr>
          <w:rFonts w:ascii="Noto Sans" w:eastAsia="Noto Sans" w:hAnsi="Noto Sans" w:cs="Noto Sans"/>
          <w:b/>
          <w:color w:val="434343"/>
          <w:sz w:val="18"/>
          <w:szCs w:val="18"/>
        </w:rPr>
      </w:pPr>
    </w:p>
    <w:p w14:paraId="22D0D5CA" w14:textId="77777777" w:rsidR="00F102CC" w:rsidRDefault="00427975">
      <w:pPr>
        <w:spacing w:before="60" w:line="227" w:lineRule="auto"/>
        <w:rPr>
          <w:rFonts w:ascii="Noto Sans" w:eastAsia="Noto Sans" w:hAnsi="Noto Sans" w:cs="Noto Sans"/>
          <w:b/>
          <w:color w:val="434343"/>
          <w:sz w:val="24"/>
          <w:szCs w:val="24"/>
        </w:rPr>
      </w:pPr>
      <w:r>
        <w:rPr>
          <w:rFonts w:ascii="Noto Sans" w:eastAsia="Noto Sans" w:hAnsi="Noto Sans" w:cs="Noto Sans"/>
          <w:b/>
          <w:color w:val="434343"/>
          <w:sz w:val="24"/>
          <w:szCs w:val="24"/>
        </w:rPr>
        <w:t>Analysis:</w:t>
      </w:r>
    </w:p>
    <w:p w14:paraId="40A65A29"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1"/>
        <w:tblW w:w="9705" w:type="dxa"/>
        <w:tblBorders>
          <w:top w:val="nil"/>
          <w:left w:val="nil"/>
          <w:bottom w:val="nil"/>
          <w:right w:val="nil"/>
          <w:insideH w:val="nil"/>
          <w:insideV w:val="nil"/>
        </w:tblBorders>
        <w:tblLayout w:type="fixed"/>
        <w:tblLook w:val="0600" w:firstRow="0" w:lastRow="0" w:firstColumn="0" w:lastColumn="0" w:noHBand="1" w:noVBand="1"/>
      </w:tblPr>
      <w:tblGrid>
        <w:gridCol w:w="5565"/>
        <w:gridCol w:w="3165"/>
        <w:gridCol w:w="975"/>
      </w:tblGrid>
      <w:tr w:rsidR="00F102CC" w14:paraId="3A4E8CC9" w14:textId="77777777">
        <w:trPr>
          <w:trHeight w:val="425"/>
        </w:trPr>
        <w:tc>
          <w:tcPr>
            <w:tcW w:w="556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48DD9E14"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Attrition</w:t>
            </w:r>
          </w:p>
        </w:tc>
        <w:tc>
          <w:tcPr>
            <w:tcW w:w="316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79062E2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7D261DB4"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38BC8EEB" w14:textId="77777777" w:rsidTr="003D5AF6">
        <w:trPr>
          <w:trHeight w:val="1060"/>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27BC160"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Describe whether exclusion criteria were pre-established. Report if sample or data points were omitted from analysis. If yes, report if this was due to attrition or intentional exclusion and provide justification.</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10B66F39" w14:textId="77777777" w:rsidR="00657C81" w:rsidRDefault="00106845">
            <w:r>
              <w:rPr>
                <w:rFonts w:ascii="Arial" w:eastAsia="Arial" w:hAnsi="Arial"/>
                <w:sz w:val="17"/>
              </w:rPr>
              <w:t>Methods: Quality control and filtering; Annotation of CD1c-endo binding. For scRNA-seq, 14,524 cells were initially profiled and 11,804 high-quality cells were retained after explicit QC filtering, including mitochondrial/ribosomal thresholds and doublet detection. Additional dextramer-based filtering rules are described. No other intentional sample exclusions are reported.</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41D58E30" w14:textId="77777777" w:rsidR="00F102CC" w:rsidRPr="003D5AF6" w:rsidRDefault="00F102CC">
            <w:pPr>
              <w:spacing w:line="225" w:lineRule="auto"/>
              <w:rPr>
                <w:rFonts w:ascii="Noto Sans" w:eastAsia="Noto Sans" w:hAnsi="Noto Sans" w:cs="Noto Sans"/>
                <w:bCs/>
                <w:color w:val="434343"/>
                <w:sz w:val="18"/>
                <w:szCs w:val="18"/>
              </w:rPr>
            </w:pPr>
          </w:p>
        </w:tc>
      </w:tr>
      <w:tr w:rsidR="00F102CC" w14:paraId="73A96D42" w14:textId="77777777">
        <w:trPr>
          <w:trHeight w:val="425"/>
        </w:trPr>
        <w:tc>
          <w:tcPr>
            <w:tcW w:w="5565" w:type="dxa"/>
            <w:tcBorders>
              <w:top w:val="nil"/>
              <w:left w:val="nil"/>
              <w:bottom w:val="single" w:sz="8" w:space="0" w:color="000000"/>
              <w:right w:val="nil"/>
            </w:tcBorders>
            <w:tcMar>
              <w:top w:w="100" w:type="dxa"/>
              <w:left w:w="100" w:type="dxa"/>
              <w:bottom w:w="100" w:type="dxa"/>
              <w:right w:w="100" w:type="dxa"/>
            </w:tcMar>
          </w:tcPr>
          <w:p w14:paraId="34C3B227" w14:textId="77777777" w:rsidR="00F102CC" w:rsidRPr="003D5AF6" w:rsidRDefault="00F102CC">
            <w:pPr>
              <w:rPr>
                <w:rFonts w:ascii="Noto Sans" w:eastAsia="Noto Sans" w:hAnsi="Noto Sans" w:cs="Noto Sans"/>
                <w:b/>
                <w:color w:val="434343"/>
                <w:sz w:val="16"/>
                <w:szCs w:val="16"/>
              </w:rPr>
            </w:pPr>
          </w:p>
        </w:tc>
        <w:tc>
          <w:tcPr>
            <w:tcW w:w="3165" w:type="dxa"/>
            <w:tcBorders>
              <w:top w:val="nil"/>
              <w:left w:val="nil"/>
              <w:bottom w:val="single" w:sz="8" w:space="0" w:color="000000"/>
              <w:right w:val="nil"/>
            </w:tcBorders>
            <w:tcMar>
              <w:top w:w="100" w:type="dxa"/>
              <w:left w:w="100" w:type="dxa"/>
              <w:bottom w:w="100" w:type="dxa"/>
              <w:right w:w="100" w:type="dxa"/>
            </w:tcMar>
          </w:tcPr>
          <w:p w14:paraId="52964168"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tcMar>
              <w:top w:w="100" w:type="dxa"/>
              <w:left w:w="100" w:type="dxa"/>
              <w:bottom w:w="100" w:type="dxa"/>
              <w:right w:w="100" w:type="dxa"/>
            </w:tcMar>
          </w:tcPr>
          <w:p w14:paraId="6958184F"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0CCD9781" w14:textId="77777777">
        <w:trPr>
          <w:trHeight w:val="42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45D15FA8"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Statistics</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C4F926A"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Indicate where provided: </w:t>
            </w:r>
            <w:r>
              <w:rPr>
                <w:rFonts w:ascii="Noto Sans" w:eastAsia="Noto Sans" w:hAnsi="Noto Sans" w:cs="Noto Sans"/>
                <w:b/>
                <w:color w:val="434343"/>
                <w:sz w:val="18"/>
                <w:szCs w:val="18"/>
              </w:rPr>
              <w:lastRenderedPageBreak/>
              <w:t>section/figure legend</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3B0B2F0"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lastRenderedPageBreak/>
              <w:t>N/A</w:t>
            </w:r>
          </w:p>
        </w:tc>
      </w:tr>
      <w:tr w:rsidR="00F102CC" w14:paraId="23B540A2" w14:textId="77777777" w:rsidTr="003D5AF6">
        <w:trPr>
          <w:trHeight w:val="419"/>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639DC12" w14:textId="77777777" w:rsidR="00F102CC" w:rsidRDefault="00427975">
            <w:pPr>
              <w:rPr>
                <w:rFonts w:ascii="Noto Sans" w:eastAsia="Noto Sans" w:hAnsi="Noto Sans" w:cs="Noto Sans"/>
                <w:b/>
                <w:color w:val="434343"/>
                <w:sz w:val="18"/>
                <w:szCs w:val="18"/>
              </w:rPr>
            </w:pPr>
            <w:r>
              <w:rPr>
                <w:rFonts w:ascii="Noto Sans" w:eastAsia="Noto Sans" w:hAnsi="Noto Sans" w:cs="Noto Sans"/>
                <w:color w:val="434343"/>
                <w:sz w:val="18"/>
                <w:szCs w:val="18"/>
              </w:rPr>
              <w:t>Describe statistical tests used and justify choice of tests.</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34BC7ED3" w14:textId="77777777" w:rsidR="00657C81" w:rsidRDefault="00106845">
            <w:r>
              <w:rPr>
                <w:rFonts w:ascii="Arial" w:eastAsia="Arial" w:hAnsi="Arial"/>
                <w:sz w:val="17"/>
              </w:rPr>
              <w:t>Methods: Statistical Analysis and Differential Gene Expression Analysis; individual figure legends. Statistical tests included Mann-Whitney U, t tests, one-way ANOVA, Wilcoxon matched-pairs signed-rank test, two-way ANOVA and Tukey multiple-comparison tests as specified. Differential expression used voom-limma with Benjamini-Hochberg correction; scRNA-seq comparisons used Wilcoxon rank-sum testing.</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3E5A27CA" w14:textId="77777777" w:rsidR="00F102CC" w:rsidRPr="003D5AF6" w:rsidRDefault="00F102CC">
            <w:pPr>
              <w:spacing w:line="225" w:lineRule="auto"/>
              <w:rPr>
                <w:rFonts w:ascii="Noto Sans" w:eastAsia="Noto Sans" w:hAnsi="Noto Sans" w:cs="Noto Sans"/>
                <w:bCs/>
                <w:color w:val="434343"/>
                <w:sz w:val="18"/>
                <w:szCs w:val="18"/>
              </w:rPr>
            </w:pPr>
          </w:p>
        </w:tc>
      </w:tr>
      <w:tr w:rsidR="00F102CC" w14:paraId="236A06E0" w14:textId="77777777">
        <w:trPr>
          <w:trHeight w:val="425"/>
        </w:trPr>
        <w:tc>
          <w:tcPr>
            <w:tcW w:w="5565" w:type="dxa"/>
            <w:tcBorders>
              <w:top w:val="nil"/>
              <w:left w:val="nil"/>
              <w:bottom w:val="single" w:sz="8" w:space="0" w:color="000000"/>
              <w:right w:val="nil"/>
            </w:tcBorders>
            <w:tcMar>
              <w:top w:w="100" w:type="dxa"/>
              <w:left w:w="100" w:type="dxa"/>
              <w:bottom w:w="100" w:type="dxa"/>
              <w:right w:w="100" w:type="dxa"/>
            </w:tcMar>
          </w:tcPr>
          <w:p w14:paraId="7B7D4EEE" w14:textId="77777777" w:rsidR="00F102CC" w:rsidRPr="003D5AF6" w:rsidRDefault="00F102CC">
            <w:pPr>
              <w:rPr>
                <w:rFonts w:ascii="Noto Sans" w:eastAsia="Noto Sans" w:hAnsi="Noto Sans" w:cs="Noto Sans"/>
                <w:b/>
                <w:color w:val="434343"/>
                <w:sz w:val="16"/>
                <w:szCs w:val="16"/>
              </w:rPr>
            </w:pPr>
          </w:p>
        </w:tc>
        <w:tc>
          <w:tcPr>
            <w:tcW w:w="3165" w:type="dxa"/>
            <w:tcBorders>
              <w:top w:val="nil"/>
              <w:left w:val="nil"/>
              <w:bottom w:val="single" w:sz="8" w:space="0" w:color="000000"/>
              <w:right w:val="nil"/>
            </w:tcBorders>
            <w:tcMar>
              <w:top w:w="100" w:type="dxa"/>
              <w:left w:w="100" w:type="dxa"/>
              <w:bottom w:w="100" w:type="dxa"/>
              <w:right w:w="100" w:type="dxa"/>
            </w:tcMar>
          </w:tcPr>
          <w:p w14:paraId="1149F6A0"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tcMar>
              <w:top w:w="100" w:type="dxa"/>
              <w:left w:w="100" w:type="dxa"/>
              <w:bottom w:w="100" w:type="dxa"/>
              <w:right w:w="100" w:type="dxa"/>
            </w:tcMar>
          </w:tcPr>
          <w:p w14:paraId="5D871CD5"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2872E70F" w14:textId="77777777">
        <w:trPr>
          <w:trHeight w:val="42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5967DA4"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Data availability</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95ED43E"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6013C4A"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3C8A2437" w14:textId="77777777" w:rsidTr="003D5AF6">
        <w:trPr>
          <w:trHeight w:val="829"/>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B16EDCF"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For newly created and reused datasets, the manuscript includes a data availability statement that provides details for access (or notes restrictions on access).</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19AE035B" w14:textId="77777777" w:rsidR="00657C81" w:rsidRDefault="00106845">
            <w:r>
              <w:rPr>
                <w:rFonts w:ascii="Arial" w:eastAsia="Arial" w:hAnsi="Arial"/>
                <w:sz w:val="17"/>
              </w:rPr>
              <w:t>Data Availability Statement. Source data files are provided with the article. Single-cell RNA-sequencing data are deposited in the European Nucleotide Archive (ENA) under accession PRJEB94332.</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43C375C7" w14:textId="77777777" w:rsidR="00F102CC" w:rsidRPr="003D5AF6" w:rsidRDefault="00F102CC">
            <w:pPr>
              <w:spacing w:line="225" w:lineRule="auto"/>
              <w:rPr>
                <w:rFonts w:ascii="Noto Sans" w:eastAsia="Noto Sans" w:hAnsi="Noto Sans" w:cs="Noto Sans"/>
                <w:bCs/>
                <w:color w:val="434343"/>
                <w:sz w:val="18"/>
                <w:szCs w:val="18"/>
              </w:rPr>
            </w:pPr>
          </w:p>
        </w:tc>
      </w:tr>
      <w:tr w:rsidR="00F102CC" w14:paraId="75C7B89E" w14:textId="77777777">
        <w:trPr>
          <w:trHeight w:val="875"/>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A9C326A" w14:textId="77777777"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When newly created datasets are publicly available, provide accession number in repository OR DOI and licensing details where available.</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7546DD94" w14:textId="77777777" w:rsidR="00657C81" w:rsidRDefault="00106845">
            <w:r>
              <w:rPr>
                <w:rFonts w:ascii="Arial" w:eastAsia="Arial" w:hAnsi="Arial"/>
                <w:sz w:val="17"/>
              </w:rPr>
              <w:t>Single-cell RNA-sequencing data: ENA accession PRJEB94332; publicly available as of the date of publication.</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3AAF6523" w14:textId="77777777" w:rsidR="00F102CC" w:rsidRPr="003D5AF6" w:rsidRDefault="00F102CC">
            <w:pPr>
              <w:spacing w:line="225" w:lineRule="auto"/>
              <w:rPr>
                <w:rFonts w:ascii="Noto Sans" w:eastAsia="Noto Sans" w:hAnsi="Noto Sans" w:cs="Noto Sans"/>
                <w:bCs/>
                <w:color w:val="434343"/>
                <w:sz w:val="18"/>
                <w:szCs w:val="18"/>
              </w:rPr>
            </w:pPr>
          </w:p>
        </w:tc>
      </w:tr>
      <w:tr w:rsidR="00F102CC" w14:paraId="1949DC3D" w14:textId="77777777" w:rsidTr="003D5AF6">
        <w:trPr>
          <w:trHeight w:val="706"/>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A027B7D" w14:textId="77777777"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If reused data is publicly available provide accession number in repository OR DOI</w:t>
            </w:r>
            <w:r w:rsidR="001B3BCC">
              <w:rPr>
                <w:rFonts w:ascii="Noto Sans" w:eastAsia="Noto Sans" w:hAnsi="Noto Sans" w:cs="Noto Sans"/>
                <w:color w:val="434343"/>
                <w:sz w:val="18"/>
                <w:szCs w:val="18"/>
                <w:highlight w:val="white"/>
              </w:rPr>
              <w:t>,</w:t>
            </w:r>
            <w:r>
              <w:rPr>
                <w:rFonts w:ascii="Noto Sans" w:eastAsia="Noto Sans" w:hAnsi="Noto Sans" w:cs="Noto Sans"/>
                <w:color w:val="434343"/>
                <w:sz w:val="18"/>
                <w:szCs w:val="18"/>
                <w:highlight w:val="white"/>
              </w:rPr>
              <w:t xml:space="preserve"> OR URL, OR citation.</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1C482814" w14:textId="77777777" w:rsidR="00657C81" w:rsidRDefault="00106845">
            <w:r>
              <w:rPr>
                <w:rFonts w:ascii="Arial" w:eastAsia="Arial" w:hAnsi="Arial"/>
                <w:sz w:val="17"/>
              </w:rPr>
              <w:t>Previously published bulk RNA-seq dataset: accession PRJNA478394.</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7364D8D" w14:textId="77777777" w:rsidR="00F102CC" w:rsidRPr="003D5AF6" w:rsidRDefault="00F102CC">
            <w:pPr>
              <w:spacing w:line="225" w:lineRule="auto"/>
              <w:rPr>
                <w:rFonts w:ascii="Noto Sans" w:eastAsia="Noto Sans" w:hAnsi="Noto Sans" w:cs="Noto Sans"/>
                <w:bCs/>
                <w:color w:val="434343"/>
                <w:sz w:val="18"/>
                <w:szCs w:val="18"/>
              </w:rPr>
            </w:pPr>
          </w:p>
        </w:tc>
      </w:tr>
      <w:tr w:rsidR="00F102CC" w14:paraId="551B786B" w14:textId="77777777">
        <w:trPr>
          <w:trHeight w:val="425"/>
        </w:trPr>
        <w:tc>
          <w:tcPr>
            <w:tcW w:w="5565" w:type="dxa"/>
            <w:tcBorders>
              <w:top w:val="nil"/>
              <w:left w:val="nil"/>
              <w:bottom w:val="single" w:sz="8" w:space="0" w:color="000000"/>
              <w:right w:val="nil"/>
            </w:tcBorders>
            <w:tcMar>
              <w:top w:w="100" w:type="dxa"/>
              <w:left w:w="100" w:type="dxa"/>
              <w:bottom w:w="100" w:type="dxa"/>
              <w:right w:w="100" w:type="dxa"/>
            </w:tcMar>
          </w:tcPr>
          <w:p w14:paraId="4192C49C" w14:textId="77777777" w:rsidR="00F102CC" w:rsidRPr="003D5AF6" w:rsidRDefault="00F102CC">
            <w:pPr>
              <w:rPr>
                <w:rFonts w:ascii="Noto Sans" w:eastAsia="Noto Sans" w:hAnsi="Noto Sans" w:cs="Noto Sans"/>
                <w:b/>
                <w:color w:val="434343"/>
                <w:sz w:val="16"/>
                <w:szCs w:val="16"/>
                <w:highlight w:val="white"/>
              </w:rPr>
            </w:pPr>
          </w:p>
        </w:tc>
        <w:tc>
          <w:tcPr>
            <w:tcW w:w="3165" w:type="dxa"/>
            <w:tcBorders>
              <w:top w:val="nil"/>
              <w:left w:val="nil"/>
              <w:bottom w:val="single" w:sz="8" w:space="0" w:color="000000"/>
              <w:right w:val="nil"/>
            </w:tcBorders>
            <w:tcMar>
              <w:top w:w="100" w:type="dxa"/>
              <w:left w:w="100" w:type="dxa"/>
              <w:bottom w:w="100" w:type="dxa"/>
              <w:right w:w="100" w:type="dxa"/>
            </w:tcMar>
          </w:tcPr>
          <w:p w14:paraId="368D7435"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tcMar>
              <w:top w:w="100" w:type="dxa"/>
              <w:left w:w="100" w:type="dxa"/>
              <w:bottom w:w="100" w:type="dxa"/>
              <w:right w:w="100" w:type="dxa"/>
            </w:tcMar>
          </w:tcPr>
          <w:p w14:paraId="6BAFDF6E"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4F19EFB" w14:textId="77777777">
        <w:trPr>
          <w:trHeight w:val="63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9E78BA6"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Code availability</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2E50C8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81FBF1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2DA210F5" w14:textId="77777777" w:rsidTr="003D5AF6">
        <w:trPr>
          <w:trHeight w:val="1341"/>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46CD8AE"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 xml:space="preserve">For </w:t>
            </w:r>
            <w:r w:rsidR="005B0259">
              <w:rPr>
                <w:rFonts w:ascii="Noto Sans" w:eastAsia="Noto Sans" w:hAnsi="Noto Sans" w:cs="Noto Sans"/>
                <w:color w:val="434343"/>
                <w:sz w:val="18"/>
                <w:szCs w:val="18"/>
              </w:rPr>
              <w:t xml:space="preserve">any </w:t>
            </w:r>
            <w:r>
              <w:rPr>
                <w:rFonts w:ascii="Noto Sans" w:eastAsia="Noto Sans" w:hAnsi="Noto Sans" w:cs="Noto Sans"/>
                <w:color w:val="434343"/>
                <w:sz w:val="18"/>
                <w:szCs w:val="18"/>
              </w:rPr>
              <w:t>computer code/software/mathematical algorithm</w:t>
            </w:r>
            <w:r w:rsidR="005B0259">
              <w:rPr>
                <w:rFonts w:ascii="Noto Sans" w:eastAsia="Noto Sans" w:hAnsi="Noto Sans" w:cs="Noto Sans"/>
                <w:color w:val="434343"/>
                <w:sz w:val="18"/>
                <w:szCs w:val="18"/>
              </w:rPr>
              <w:t>s</w:t>
            </w:r>
            <w:r>
              <w:rPr>
                <w:rFonts w:ascii="Noto Sans" w:eastAsia="Noto Sans" w:hAnsi="Noto Sans" w:cs="Noto Sans"/>
                <w:color w:val="434343"/>
                <w:sz w:val="18"/>
                <w:szCs w:val="18"/>
              </w:rPr>
              <w:t xml:space="preserve"> essential for replicating the main findings of the study, </w:t>
            </w:r>
            <w:r w:rsidR="005B0259">
              <w:rPr>
                <w:rFonts w:ascii="Noto Sans" w:eastAsia="Noto Sans" w:hAnsi="Noto Sans" w:cs="Noto Sans"/>
                <w:color w:val="434343"/>
                <w:sz w:val="18"/>
                <w:szCs w:val="18"/>
              </w:rPr>
              <w:t xml:space="preserve">whether newly generated or re-used, </w:t>
            </w:r>
            <w:r>
              <w:rPr>
                <w:rFonts w:ascii="Noto Sans" w:eastAsia="Noto Sans" w:hAnsi="Noto Sans" w:cs="Noto Sans"/>
                <w:color w:val="434343"/>
                <w:sz w:val="18"/>
                <w:szCs w:val="18"/>
              </w:rPr>
              <w:t>the manuscript includes a data availability statement that provides details for access or notes restrictions.</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5EC1485A" w14:textId="65D27937" w:rsidR="00657C81" w:rsidRDefault="00106845">
            <w:r>
              <w:rPr>
                <w:rFonts w:ascii="Arial" w:eastAsia="Arial" w:hAnsi="Arial"/>
                <w:sz w:val="17"/>
              </w:rPr>
              <w:t xml:space="preserve">Methods and Data Availability Statement. No bespoke software package was generated. Standard software/packages used for analysis are reported in Methods, including FlowJo, Cell Ranger, kallisto, tximport, edgeR, limma, Scrublet, scDblFinder and GraphPad Prism. </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380186ED" w14:textId="77777777" w:rsidR="00F102CC" w:rsidRPr="003D5AF6" w:rsidRDefault="00F102CC">
            <w:pPr>
              <w:spacing w:line="225" w:lineRule="auto"/>
              <w:rPr>
                <w:rFonts w:ascii="Noto Sans" w:eastAsia="Noto Sans" w:hAnsi="Noto Sans" w:cs="Noto Sans"/>
                <w:bCs/>
                <w:color w:val="434343"/>
                <w:sz w:val="18"/>
                <w:szCs w:val="18"/>
              </w:rPr>
            </w:pPr>
          </w:p>
        </w:tc>
      </w:tr>
      <w:tr w:rsidR="00F102CC" w14:paraId="4685FB5C" w14:textId="77777777" w:rsidTr="003D5AF6">
        <w:trPr>
          <w:trHeight w:val="1080"/>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D715F32" w14:textId="77777777" w:rsidR="00F102CC" w:rsidRDefault="005B0259">
            <w:pPr>
              <w:rPr>
                <w:rFonts w:ascii="Noto Sans" w:eastAsia="Noto Sans" w:hAnsi="Noto Sans" w:cs="Noto Sans"/>
                <w:color w:val="434343"/>
                <w:sz w:val="18"/>
                <w:szCs w:val="18"/>
              </w:rPr>
            </w:pPr>
            <w:r>
              <w:rPr>
                <w:rFonts w:ascii="Noto Sans" w:eastAsia="Noto Sans" w:hAnsi="Noto Sans" w:cs="Noto Sans"/>
                <w:color w:val="434343"/>
                <w:sz w:val="18"/>
                <w:szCs w:val="18"/>
              </w:rPr>
              <w:t>Where</w:t>
            </w:r>
            <w:r w:rsidR="00427975">
              <w:rPr>
                <w:rFonts w:ascii="Noto Sans" w:eastAsia="Noto Sans" w:hAnsi="Noto Sans" w:cs="Noto Sans"/>
                <w:color w:val="434343"/>
                <w:sz w:val="18"/>
                <w:szCs w:val="18"/>
              </w:rPr>
              <w:t xml:space="preserve"> newly generated code is publicly available, provide accession number in repository, OR DOI OR URL and licensing details where available. State any restrictions on code availability or accessibility.</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415DD2FC" w14:textId="77777777" w:rsidR="00F102CC" w:rsidRPr="003D5AF6" w:rsidRDefault="00F102CC">
            <w:pPr>
              <w:spacing w:line="225" w:lineRule="auto"/>
              <w:rPr>
                <w:rFonts w:ascii="Noto Sans" w:eastAsia="Noto Sans" w:hAnsi="Noto Sans" w:cs="Noto Sans"/>
                <w:bCs/>
                <w:color w:val="434343"/>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4773F4DF" w14:textId="77777777" w:rsidR="00657C81" w:rsidRDefault="00106845">
            <w:r>
              <w:rPr>
                <w:rFonts w:ascii="Arial" w:eastAsia="Arial" w:hAnsi="Arial"/>
                <w:b/>
                <w:sz w:val="18"/>
              </w:rPr>
              <w:t>X</w:t>
            </w:r>
          </w:p>
        </w:tc>
      </w:tr>
      <w:tr w:rsidR="00F102CC" w14:paraId="71C6EAE3" w14:textId="77777777">
        <w:trPr>
          <w:trHeight w:val="720"/>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D08C4ED" w14:textId="77777777"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rPr>
              <w:t xml:space="preserve">If reused code is </w:t>
            </w:r>
            <w:r>
              <w:rPr>
                <w:rFonts w:ascii="Noto Sans" w:eastAsia="Noto Sans" w:hAnsi="Noto Sans" w:cs="Noto Sans"/>
                <w:color w:val="434343"/>
                <w:sz w:val="18"/>
                <w:szCs w:val="18"/>
                <w:highlight w:val="white"/>
              </w:rPr>
              <w:t>publicly available provide accession number in repository OR DOI OR URL, OR citation.</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74777D07" w14:textId="77777777" w:rsidR="00657C81" w:rsidRDefault="00106845">
            <w:r>
              <w:rPr>
                <w:rFonts w:ascii="Arial" w:eastAsia="Arial" w:hAnsi="Arial"/>
                <w:sz w:val="17"/>
              </w:rPr>
              <w:t>Methods identifies the standard software and packages used for analysis, with versions/citations where applicable.</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270479F1" w14:textId="77777777" w:rsidR="00F102CC" w:rsidRPr="003D5AF6" w:rsidRDefault="00F102CC">
            <w:pPr>
              <w:spacing w:line="225" w:lineRule="auto"/>
              <w:rPr>
                <w:rFonts w:ascii="Noto Sans" w:eastAsia="Noto Sans" w:hAnsi="Noto Sans" w:cs="Noto Sans"/>
                <w:bCs/>
                <w:color w:val="434343"/>
                <w:sz w:val="18"/>
                <w:szCs w:val="18"/>
              </w:rPr>
            </w:pPr>
          </w:p>
        </w:tc>
      </w:tr>
    </w:tbl>
    <w:p w14:paraId="772E0C95" w14:textId="77777777" w:rsidR="00F102CC" w:rsidRPr="003D5AF6" w:rsidRDefault="00F102CC">
      <w:pPr>
        <w:spacing w:before="60" w:line="227" w:lineRule="auto"/>
        <w:rPr>
          <w:rFonts w:ascii="Noto Sans" w:eastAsia="Noto Sans" w:hAnsi="Noto Sans" w:cs="Noto Sans"/>
          <w:b/>
          <w:color w:val="434343"/>
          <w:sz w:val="16"/>
          <w:szCs w:val="16"/>
          <w:u w:val="single"/>
        </w:rPr>
      </w:pPr>
    </w:p>
    <w:p w14:paraId="3CA5B5BA" w14:textId="77777777" w:rsidR="00F102CC" w:rsidRDefault="00427975">
      <w:pPr>
        <w:spacing w:before="60" w:line="227" w:lineRule="auto"/>
        <w:rPr>
          <w:rFonts w:ascii="Noto Sans" w:eastAsia="Noto Sans" w:hAnsi="Noto Sans" w:cs="Noto Sans"/>
          <w:b/>
          <w:color w:val="434343"/>
          <w:sz w:val="24"/>
          <w:szCs w:val="24"/>
        </w:rPr>
      </w:pPr>
      <w:bookmarkStart w:id="2" w:name="_qing2gdaj9k6" w:colFirst="0" w:colLast="0"/>
      <w:bookmarkEnd w:id="2"/>
      <w:r>
        <w:rPr>
          <w:rFonts w:ascii="Noto Sans" w:eastAsia="Noto Sans" w:hAnsi="Noto Sans" w:cs="Noto Sans"/>
          <w:b/>
          <w:color w:val="434343"/>
          <w:sz w:val="24"/>
          <w:szCs w:val="24"/>
        </w:rPr>
        <w:t>Reporting:</w:t>
      </w:r>
    </w:p>
    <w:p w14:paraId="3C397551" w14:textId="77777777" w:rsidR="00F102CC" w:rsidRDefault="00427975">
      <w:pPr>
        <w:spacing w:before="80" w:line="227" w:lineRule="auto"/>
        <w:rPr>
          <w:rFonts w:ascii="Noto Sans" w:eastAsia="Noto Sans" w:hAnsi="Noto Sans" w:cs="Noto Sans"/>
          <w:color w:val="434343"/>
          <w:sz w:val="18"/>
          <w:szCs w:val="18"/>
        </w:rPr>
      </w:pPr>
      <w:r>
        <w:rPr>
          <w:rFonts w:ascii="Noto Sans" w:eastAsia="Noto Sans" w:hAnsi="Noto Sans" w:cs="Noto Sans"/>
          <w:color w:val="434343"/>
          <w:sz w:val="18"/>
          <w:szCs w:val="18"/>
        </w:rPr>
        <w:lastRenderedPageBreak/>
        <w:t>The MDAR framework recommends adoption of discipline-specific guidelines, established and endorsed through community initiatives.</w:t>
      </w:r>
    </w:p>
    <w:p w14:paraId="0356689D" w14:textId="77777777" w:rsidR="00F102CC" w:rsidRDefault="00427975">
      <w:pPr>
        <w:spacing w:line="227" w:lineRule="auto"/>
        <w:ind w:left="46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2"/>
        <w:tblW w:w="9675" w:type="dxa"/>
        <w:tblBorders>
          <w:top w:val="nil"/>
          <w:left w:val="nil"/>
          <w:bottom w:val="nil"/>
          <w:right w:val="nil"/>
          <w:insideH w:val="nil"/>
          <w:insideV w:val="nil"/>
        </w:tblBorders>
        <w:tblLayout w:type="fixed"/>
        <w:tblLook w:val="0600" w:firstRow="0" w:lastRow="0" w:firstColumn="0" w:lastColumn="0" w:noHBand="1" w:noVBand="1"/>
      </w:tblPr>
      <w:tblGrid>
        <w:gridCol w:w="5490"/>
        <w:gridCol w:w="3330"/>
        <w:gridCol w:w="855"/>
      </w:tblGrid>
      <w:tr w:rsidR="00F102CC" w14:paraId="75AB9E92" w14:textId="77777777">
        <w:trPr>
          <w:trHeight w:val="500"/>
        </w:trPr>
        <w:tc>
          <w:tcPr>
            <w:tcW w:w="549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24F80DC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Adherence to community standards</w:t>
            </w:r>
          </w:p>
        </w:tc>
        <w:tc>
          <w:tcPr>
            <w:tcW w:w="333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5B3459D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85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02684855"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12F1E0D" w14:textId="77777777" w:rsidTr="003D5AF6">
        <w:trPr>
          <w:trHeight w:val="915"/>
        </w:trPr>
        <w:tc>
          <w:tcPr>
            <w:tcW w:w="549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3EF41FF"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State if relevant guidelines (e.g., ICMJE, MIBBI, ARRIVE, STRANGE) have been followed, and whether a checklist (e.g., CONSORT, PRISMA, ARRIVE) is provided with the manuscript.</w:t>
            </w:r>
          </w:p>
        </w:tc>
        <w:tc>
          <w:tcPr>
            <w:tcW w:w="3330" w:type="dxa"/>
            <w:tcBorders>
              <w:top w:val="nil"/>
              <w:left w:val="nil"/>
              <w:bottom w:val="single" w:sz="8" w:space="0" w:color="000000"/>
              <w:right w:val="single" w:sz="8" w:space="0" w:color="000000"/>
            </w:tcBorders>
            <w:tcMar>
              <w:top w:w="100" w:type="dxa"/>
              <w:left w:w="100" w:type="dxa"/>
              <w:bottom w:w="100" w:type="dxa"/>
              <w:right w:w="100" w:type="dxa"/>
            </w:tcMar>
          </w:tcPr>
          <w:p w14:paraId="1CC3C741" w14:textId="77777777" w:rsidR="00657C81" w:rsidRDefault="00106845">
            <w:r>
              <w:rPr>
                <w:rFonts w:ascii="Arial" w:eastAsia="Arial" w:hAnsi="Arial"/>
                <w:sz w:val="17"/>
              </w:rPr>
              <w:t>No additional discipline-specific reporting checklist is applicable (no clinical trial, systematic review or animal study). This MDAR checklist is provided with the submission.</w:t>
            </w:r>
          </w:p>
        </w:tc>
        <w:tc>
          <w:tcPr>
            <w:tcW w:w="855" w:type="dxa"/>
            <w:tcBorders>
              <w:top w:val="nil"/>
              <w:left w:val="nil"/>
              <w:bottom w:val="single" w:sz="8" w:space="0" w:color="000000"/>
              <w:right w:val="single" w:sz="8" w:space="0" w:color="000000"/>
            </w:tcBorders>
            <w:tcMar>
              <w:top w:w="100" w:type="dxa"/>
              <w:left w:w="100" w:type="dxa"/>
              <w:bottom w:w="100" w:type="dxa"/>
              <w:right w:w="100" w:type="dxa"/>
            </w:tcMar>
          </w:tcPr>
          <w:p w14:paraId="1DBFC682" w14:textId="77777777" w:rsidR="00F102CC" w:rsidRPr="003D5AF6" w:rsidRDefault="00F102CC">
            <w:pPr>
              <w:spacing w:line="225" w:lineRule="auto"/>
              <w:rPr>
                <w:rFonts w:ascii="Noto Sans" w:eastAsia="Noto Sans" w:hAnsi="Noto Sans" w:cs="Noto Sans"/>
                <w:bCs/>
                <w:color w:val="434343"/>
                <w:sz w:val="18"/>
                <w:szCs w:val="18"/>
              </w:rPr>
            </w:pPr>
          </w:p>
        </w:tc>
      </w:tr>
    </w:tbl>
    <w:p w14:paraId="67A0B4BC" w14:textId="77777777" w:rsidR="00F102CC" w:rsidRDefault="00F102CC">
      <w:pPr>
        <w:spacing w:line="227" w:lineRule="auto"/>
        <w:rPr>
          <w:rFonts w:ascii="Noto Sans" w:eastAsia="Noto Sans" w:hAnsi="Noto Sans" w:cs="Noto Sans"/>
          <w:b/>
          <w:color w:val="434343"/>
          <w:sz w:val="18"/>
          <w:szCs w:val="18"/>
        </w:rPr>
      </w:pPr>
    </w:p>
    <w:p w14:paraId="1B426C3D" w14:textId="77777777" w:rsidR="00F102CC" w:rsidRDefault="00000000">
      <w:pPr>
        <w:spacing w:before="80"/>
      </w:pPr>
      <w:bookmarkStart w:id="3" w:name="_cm0qssfkw66b" w:colFirst="0" w:colLast="0"/>
      <w:bookmarkEnd w:id="3"/>
      <w:r>
        <w:rPr>
          <w:noProof/>
        </w:rPr>
        <w:pict w14:anchorId="5E7F9325">
          <v:rect id="_x0000_i1025" alt="" style="width:468pt;height:.05pt;mso-width-percent:0;mso-height-percent:0;mso-width-percent:0;mso-height-percent:0" o:hralign="center" o:hrstd="t" o:hr="t" fillcolor="#a0a0a0" stroked="f"/>
        </w:pict>
      </w:r>
    </w:p>
    <w:p w14:paraId="5E3F0EC4" w14:textId="77777777" w:rsidR="003D5AF6" w:rsidRDefault="003D5AF6"/>
    <w:p w14:paraId="34264E4B" w14:textId="77777777" w:rsidR="00F102CC" w:rsidRDefault="00427975">
      <w:pPr>
        <w:rPr>
          <w:color w:val="FF0000"/>
        </w:rPr>
      </w:pPr>
      <w:r>
        <w:t xml:space="preserve">* We provide the following guidance regarding transparent reporting and statistics; we also refer authors to </w:t>
      </w:r>
      <w:hyperlink r:id="rId15">
        <w:r>
          <w:rPr>
            <w:color w:val="1155CC"/>
            <w:u w:val="single"/>
          </w:rPr>
          <w:t>Ten common statistical mistakes to watch out for when writing or reviewing a manuscript</w:t>
        </w:r>
      </w:hyperlink>
      <w:r>
        <w:t>.</w:t>
      </w:r>
    </w:p>
    <w:p w14:paraId="3C966BF6" w14:textId="77777777" w:rsidR="00F102CC" w:rsidRDefault="00F102CC"/>
    <w:p w14:paraId="71B8989A" w14:textId="77777777" w:rsidR="00F102CC" w:rsidRDefault="00427975">
      <w:pPr>
        <w:rPr>
          <w:b/>
        </w:rPr>
      </w:pPr>
      <w:r>
        <w:rPr>
          <w:b/>
        </w:rPr>
        <w:t>Sample-size estimation</w:t>
      </w:r>
    </w:p>
    <w:p w14:paraId="51C33CC9" w14:textId="77777777" w:rsidR="00F102CC" w:rsidRDefault="00427975">
      <w:pPr>
        <w:numPr>
          <w:ilvl w:val="0"/>
          <w:numId w:val="1"/>
        </w:numPr>
      </w:pPr>
      <w:r>
        <w:t>You should state whether an appropriate sample size was computed when the study was being designed</w:t>
      </w:r>
    </w:p>
    <w:p w14:paraId="49FFDA23" w14:textId="77777777" w:rsidR="00F102CC" w:rsidRDefault="00427975">
      <w:pPr>
        <w:numPr>
          <w:ilvl w:val="0"/>
          <w:numId w:val="1"/>
        </w:numPr>
      </w:pPr>
      <w:r>
        <w:t>You should state the statistical method of sample size computation and any required assumptions</w:t>
      </w:r>
    </w:p>
    <w:p w14:paraId="776058DD" w14:textId="77777777" w:rsidR="00F102CC" w:rsidRDefault="00427975">
      <w:pPr>
        <w:numPr>
          <w:ilvl w:val="0"/>
          <w:numId w:val="1"/>
        </w:numPr>
      </w:pPr>
      <w:r>
        <w:t>If no explicit power analysis was used, you should describe how you decided what sample (replicate) size (number) to use</w:t>
      </w:r>
    </w:p>
    <w:p w14:paraId="463E028E" w14:textId="77777777" w:rsidR="00F102CC" w:rsidRDefault="00F102CC"/>
    <w:p w14:paraId="53F4ED8F" w14:textId="77777777" w:rsidR="00F102CC" w:rsidRDefault="00427975">
      <w:pPr>
        <w:rPr>
          <w:b/>
        </w:rPr>
      </w:pPr>
      <w:r>
        <w:rPr>
          <w:b/>
        </w:rPr>
        <w:t>Replicates</w:t>
      </w:r>
    </w:p>
    <w:p w14:paraId="764A56F8" w14:textId="77777777" w:rsidR="00F102CC" w:rsidRDefault="00427975">
      <w:pPr>
        <w:numPr>
          <w:ilvl w:val="0"/>
          <w:numId w:val="3"/>
        </w:numPr>
      </w:pPr>
      <w:r>
        <w:t>You should report how often each experiment was performed</w:t>
      </w:r>
    </w:p>
    <w:p w14:paraId="1CF76800" w14:textId="77777777" w:rsidR="00F102CC" w:rsidRDefault="00427975">
      <w:pPr>
        <w:numPr>
          <w:ilvl w:val="0"/>
          <w:numId w:val="3"/>
        </w:numPr>
      </w:pPr>
      <w:r>
        <w:t>You should include a definition of biological versus technical replication</w:t>
      </w:r>
    </w:p>
    <w:p w14:paraId="5A5D7DDF" w14:textId="77777777" w:rsidR="00F102CC" w:rsidRDefault="00427975">
      <w:pPr>
        <w:numPr>
          <w:ilvl w:val="0"/>
          <w:numId w:val="3"/>
        </w:numPr>
      </w:pPr>
      <w:r>
        <w:t>The data obtained should be provided and sufficient information should be provided to indicate the number of independent biological and/or technical replicates</w:t>
      </w:r>
    </w:p>
    <w:p w14:paraId="4FB2C4DA" w14:textId="77777777" w:rsidR="00F102CC" w:rsidRDefault="00427975">
      <w:pPr>
        <w:numPr>
          <w:ilvl w:val="0"/>
          <w:numId w:val="3"/>
        </w:numPr>
      </w:pPr>
      <w:r>
        <w:t>If you encountered any outliers, you should describe how these were handled</w:t>
      </w:r>
    </w:p>
    <w:p w14:paraId="1836CE2B" w14:textId="77777777" w:rsidR="00F102CC" w:rsidRDefault="00427975">
      <w:pPr>
        <w:numPr>
          <w:ilvl w:val="0"/>
          <w:numId w:val="3"/>
        </w:numPr>
      </w:pPr>
      <w:r>
        <w:t>Criteria for exclusion/inclusion of data should be clearly stated</w:t>
      </w:r>
    </w:p>
    <w:p w14:paraId="098FFB7A" w14:textId="77777777" w:rsidR="00F102CC" w:rsidRDefault="00427975">
      <w:pPr>
        <w:numPr>
          <w:ilvl w:val="0"/>
          <w:numId w:val="3"/>
        </w:numPr>
      </w:pPr>
      <w:r>
        <w:t>High-throughput sequence data should be uploaded before submission, with a private link for reviewers provided (these are available from both GEO and ArrayExpress)</w:t>
      </w:r>
    </w:p>
    <w:p w14:paraId="73AF1F1B" w14:textId="77777777" w:rsidR="00F102CC" w:rsidRDefault="00F102CC"/>
    <w:p w14:paraId="204939F5" w14:textId="77777777" w:rsidR="00F102CC" w:rsidRDefault="00427975">
      <w:pPr>
        <w:rPr>
          <w:b/>
        </w:rPr>
      </w:pPr>
      <w:r>
        <w:rPr>
          <w:b/>
        </w:rPr>
        <w:t>Statistical reporting</w:t>
      </w:r>
    </w:p>
    <w:p w14:paraId="34413C41" w14:textId="77777777" w:rsidR="00F102CC" w:rsidRDefault="00427975">
      <w:pPr>
        <w:numPr>
          <w:ilvl w:val="0"/>
          <w:numId w:val="2"/>
        </w:numPr>
      </w:pPr>
      <w:r>
        <w:t>Statistical analysis methods should be described and justified</w:t>
      </w:r>
    </w:p>
    <w:p w14:paraId="45B151B2" w14:textId="77777777" w:rsidR="00F102CC" w:rsidRDefault="00427975">
      <w:pPr>
        <w:numPr>
          <w:ilvl w:val="0"/>
          <w:numId w:val="2"/>
        </w:numPr>
      </w:pPr>
      <w:r>
        <w:t>Raw data should be presented in figures whenever informative to do so (typically when N per group is less than 10)</w:t>
      </w:r>
    </w:p>
    <w:p w14:paraId="3E97E977" w14:textId="77777777" w:rsidR="00F102CC" w:rsidRDefault="00427975">
      <w:pPr>
        <w:numPr>
          <w:ilvl w:val="0"/>
          <w:numId w:val="2"/>
        </w:numPr>
      </w:pPr>
      <w:r>
        <w:t>For each experiment, you should identify the statistical tests used, exact values of N, definitions of center, methods of multiple test correction, and dispersion and precision measures (e.g., mean, median, SD, SEM, confidence intervals; and, for the major substantive results, a measure of effect size (e.g., Pearson's r, Cohen's d)</w:t>
      </w:r>
    </w:p>
    <w:p w14:paraId="64E43EDD" w14:textId="77777777" w:rsidR="00F102CC" w:rsidRDefault="00427975">
      <w:pPr>
        <w:numPr>
          <w:ilvl w:val="0"/>
          <w:numId w:val="2"/>
        </w:numPr>
      </w:pPr>
      <w:r>
        <w:t>Report exact p-values wherever possible alongside the summary statistics and 95% confidence intervals. These should be reported for all key questions and not only when the p-value is less than 0.05.</w:t>
      </w:r>
    </w:p>
    <w:p w14:paraId="234C8CD0" w14:textId="77777777" w:rsidR="00F102CC" w:rsidRDefault="00F102CC"/>
    <w:p w14:paraId="4AC2C9F3" w14:textId="77777777" w:rsidR="00F102CC" w:rsidRDefault="00427975">
      <w:pPr>
        <w:rPr>
          <w:b/>
        </w:rPr>
      </w:pPr>
      <w:r>
        <w:rPr>
          <w:b/>
        </w:rPr>
        <w:t>Group allocation</w:t>
      </w:r>
    </w:p>
    <w:p w14:paraId="2DCA4692" w14:textId="77777777" w:rsidR="00F102CC" w:rsidRDefault="00427975">
      <w:pPr>
        <w:numPr>
          <w:ilvl w:val="0"/>
          <w:numId w:val="4"/>
        </w:numPr>
      </w:pPr>
      <w:r>
        <w:t>Indicate how samples were allocated into experimental groups (in the case of clinical studies, please specify allocation to treatment method); if randomization was used, please also state if restricted randomization was applied</w:t>
      </w:r>
    </w:p>
    <w:p w14:paraId="440219F8" w14:textId="77777777" w:rsidR="00F102CC" w:rsidRDefault="00427975">
      <w:pPr>
        <w:numPr>
          <w:ilvl w:val="0"/>
          <w:numId w:val="4"/>
        </w:numPr>
      </w:pPr>
      <w:r>
        <w:t>Indicate if masking was used during group allocation, data collection and/or data analysis</w:t>
      </w:r>
    </w:p>
    <w:sectPr w:rsidR="00F102CC" w:rsidSect="004E2C31">
      <w:headerReference w:type="default" r:id="rId16"/>
      <w:footerReference w:type="default" r:id="rId17"/>
      <w:headerReference w:type="first" r:id="rId18"/>
      <w:pgSz w:w="11910" w:h="16840"/>
      <w:pgMar w:top="1360" w:right="1220" w:bottom="280" w:left="10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B21D99" w14:textId="77777777" w:rsidR="0003750C" w:rsidRDefault="0003750C">
      <w:r>
        <w:separator/>
      </w:r>
    </w:p>
  </w:endnote>
  <w:endnote w:type="continuationSeparator" w:id="0">
    <w:p w14:paraId="44915242" w14:textId="77777777" w:rsidR="0003750C" w:rsidRDefault="000375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Noto Sans">
    <w:charset w:val="00"/>
    <w:family w:val="swiss"/>
    <w:pitch w:val="variable"/>
    <w:sig w:usb0="E00082FF" w:usb1="400078FF" w:usb2="00000021"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3D178" w14:textId="77777777" w:rsidR="00F102CC" w:rsidRDefault="00427975">
    <w:pPr>
      <w:pBdr>
        <w:top w:val="nil"/>
        <w:left w:val="nil"/>
        <w:bottom w:val="nil"/>
        <w:right w:val="nil"/>
        <w:between w:val="nil"/>
      </w:pBdr>
      <w:tabs>
        <w:tab w:val="center" w:pos="4513"/>
        <w:tab w:val="right" w:pos="9026"/>
      </w:tabs>
      <w:jc w:val="center"/>
      <w:rPr>
        <w:color w:val="000000"/>
      </w:rPr>
    </w:pPr>
    <w:r>
      <w:rPr>
        <w:color w:val="000000"/>
      </w:rPr>
      <w:fldChar w:fldCharType="begin"/>
    </w:r>
    <w:r>
      <w:rPr>
        <w:color w:val="000000"/>
      </w:rPr>
      <w:instrText>PAGE</w:instrText>
    </w:r>
    <w:r>
      <w:rPr>
        <w:color w:val="000000"/>
      </w:rPr>
      <w:fldChar w:fldCharType="separate"/>
    </w:r>
    <w:r w:rsidR="007054B6">
      <w:rPr>
        <w:noProof/>
        <w:color w:val="000000"/>
      </w:rPr>
      <w:t>1</w:t>
    </w:r>
    <w:r>
      <w:rPr>
        <w:color w:val="000000"/>
      </w:rPr>
      <w:fldChar w:fldCharType="end"/>
    </w:r>
  </w:p>
  <w:p w14:paraId="32E79ADF" w14:textId="77777777" w:rsidR="00F102CC" w:rsidRDefault="00F102CC">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04FB0F" w14:textId="77777777" w:rsidR="0003750C" w:rsidRDefault="0003750C">
      <w:r>
        <w:separator/>
      </w:r>
    </w:p>
  </w:footnote>
  <w:footnote w:type="continuationSeparator" w:id="0">
    <w:p w14:paraId="78349F8E" w14:textId="77777777" w:rsidR="0003750C" w:rsidRDefault="000375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66E91" w14:textId="77777777" w:rsidR="00F102CC" w:rsidRDefault="00F102CC">
    <w:pPr>
      <w:pBdr>
        <w:top w:val="nil"/>
        <w:left w:val="nil"/>
        <w:bottom w:val="nil"/>
        <w:right w:val="nil"/>
        <w:between w:val="nil"/>
      </w:pBdr>
      <w:tabs>
        <w:tab w:val="center" w:pos="4513"/>
        <w:tab w:val="right" w:pos="902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EC2C2" w14:textId="77777777" w:rsidR="004E2C31" w:rsidRDefault="004E2C31">
    <w:pPr>
      <w:pStyle w:val="Header"/>
    </w:pPr>
    <w:r>
      <w:rPr>
        <w:noProof/>
      </w:rPr>
      <w:drawing>
        <wp:inline distT="19050" distB="19050" distL="19050" distR="19050" wp14:anchorId="56E79628" wp14:editId="388845BB">
          <wp:extent cx="1295400" cy="447675"/>
          <wp:effectExtent l="0" t="0" r="0" b="0"/>
          <wp:docPr id="3" name="image3.jpg" descr="A picture containing text, clipart&#10;&#10;Description automatically generated"/>
          <wp:cNvGraphicFramePr/>
          <a:graphic xmlns:a="http://schemas.openxmlformats.org/drawingml/2006/main">
            <a:graphicData uri="http://schemas.openxmlformats.org/drawingml/2006/picture">
              <pic:pic xmlns:pic="http://schemas.openxmlformats.org/drawingml/2006/picture">
                <pic:nvPicPr>
                  <pic:cNvPr id="3" name="image3.jpg" descr="A picture containing text, clipart&#10;&#10;Description automatically generated"/>
                  <pic:cNvPicPr preferRelativeResize="0"/>
                </pic:nvPicPr>
                <pic:blipFill>
                  <a:blip r:embed="rId1"/>
                  <a:srcRect/>
                  <a:stretch>
                    <a:fillRect/>
                  </a:stretch>
                </pic:blipFill>
                <pic:spPr>
                  <a:xfrm>
                    <a:off x="0" y="0"/>
                    <a:ext cx="1295400" cy="447675"/>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7121BF"/>
    <w:multiLevelType w:val="multilevel"/>
    <w:tmpl w:val="C4F474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5F335CF"/>
    <w:multiLevelType w:val="multilevel"/>
    <w:tmpl w:val="1AA6BE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3BD0F57"/>
    <w:multiLevelType w:val="multilevel"/>
    <w:tmpl w:val="5E4AA4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736D606B"/>
    <w:multiLevelType w:val="multilevel"/>
    <w:tmpl w:val="605C1B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000083177">
    <w:abstractNumId w:val="2"/>
  </w:num>
  <w:num w:numId="2" w16cid:durableId="81417975">
    <w:abstractNumId w:val="0"/>
  </w:num>
  <w:num w:numId="3" w16cid:durableId="14818306">
    <w:abstractNumId w:val="1"/>
  </w:num>
  <w:num w:numId="4" w16cid:durableId="134928778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3"/>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02CC"/>
    <w:rsid w:val="0003750C"/>
    <w:rsid w:val="000B600B"/>
    <w:rsid w:val="00106845"/>
    <w:rsid w:val="001B3BCC"/>
    <w:rsid w:val="002209A8"/>
    <w:rsid w:val="003D5AF6"/>
    <w:rsid w:val="00400C53"/>
    <w:rsid w:val="00427975"/>
    <w:rsid w:val="004E2C31"/>
    <w:rsid w:val="005B0259"/>
    <w:rsid w:val="005B1F75"/>
    <w:rsid w:val="00657C81"/>
    <w:rsid w:val="007054B6"/>
    <w:rsid w:val="007333F9"/>
    <w:rsid w:val="0078687E"/>
    <w:rsid w:val="009C7B26"/>
    <w:rsid w:val="009C7EBC"/>
    <w:rsid w:val="00A11E52"/>
    <w:rsid w:val="00A944AA"/>
    <w:rsid w:val="00B2483D"/>
    <w:rsid w:val="00B3504D"/>
    <w:rsid w:val="00BD41E9"/>
    <w:rsid w:val="00C84413"/>
    <w:rsid w:val="00F102CC"/>
    <w:rsid w:val="00F91042"/>
    <w:rsid w:val="00FF77C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3D01E4"/>
  <w15:docId w15:val="{B41349A2-509E-1B45-B178-798AAC1C2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4E2C31"/>
    <w:pPr>
      <w:tabs>
        <w:tab w:val="center" w:pos="4513"/>
        <w:tab w:val="right" w:pos="9026"/>
      </w:tabs>
    </w:pPr>
  </w:style>
  <w:style w:type="character" w:customStyle="1" w:styleId="HeaderChar">
    <w:name w:val="Header Char"/>
    <w:basedOn w:val="DefaultParagraphFont"/>
    <w:link w:val="Header"/>
    <w:uiPriority w:val="99"/>
    <w:rsid w:val="004E2C31"/>
  </w:style>
  <w:style w:type="paragraph" w:styleId="Footer">
    <w:name w:val="footer"/>
    <w:basedOn w:val="Normal"/>
    <w:link w:val="FooterChar"/>
    <w:uiPriority w:val="99"/>
    <w:unhideWhenUsed/>
    <w:rsid w:val="004E2C31"/>
    <w:pPr>
      <w:tabs>
        <w:tab w:val="center" w:pos="4513"/>
        <w:tab w:val="right" w:pos="9026"/>
      </w:tabs>
    </w:pPr>
  </w:style>
  <w:style w:type="character" w:customStyle="1" w:styleId="FooterChar">
    <w:name w:val="Footer Char"/>
    <w:basedOn w:val="DefaultParagraphFont"/>
    <w:link w:val="Footer"/>
    <w:uiPriority w:val="99"/>
    <w:rsid w:val="004E2C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equator-network.org/%20" TargetMode="External"/><Relationship Id="rId13" Type="http://schemas.openxmlformats.org/officeDocument/2006/relationships/hyperlink" Target="https://scicrunch.org/resources" TargetMode="External"/><Relationship Id="rId1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osf.io/xfpn4/" TargetMode="External"/><Relationship Id="rId12" Type="http://schemas.openxmlformats.org/officeDocument/2006/relationships/hyperlink" Target="https://reviewer.elifesciences.org/author-guide/journal-policies"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38/d41586-020-01751-5" TargetMode="External"/><Relationship Id="rId5" Type="http://schemas.openxmlformats.org/officeDocument/2006/relationships/footnotes" Target="footnotes.xml"/><Relationship Id="rId15" Type="http://schemas.openxmlformats.org/officeDocument/2006/relationships/hyperlink" Target="https://doi.org/10.7554/eLife.48175" TargetMode="External"/><Relationship Id="rId10" Type="http://schemas.openxmlformats.org/officeDocument/2006/relationships/hyperlink" Target="http://www.plosbiology.org/article/info:doi/10.1371/journal.pbio.1000412"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biosharing.org/" TargetMode="External"/><Relationship Id="rId14" Type="http://schemas.openxmlformats.org/officeDocument/2006/relationships/hyperlink" Target="https://scicrunch.org/resource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6</Pages>
  <Words>1773</Words>
  <Characters>11212</Characters>
  <Application>Microsoft Office Word</Application>
  <DocSecurity>0</DocSecurity>
  <Lines>440</Lines>
  <Paragraphs>147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Salah Mansour</dc:creator>
  <cp:lastModifiedBy>Salah Mansour</cp:lastModifiedBy>
  <cp:revision>3</cp:revision>
  <dcterms:created xsi:type="dcterms:W3CDTF">2026-09-18T14:27:00Z</dcterms:created>
  <dcterms:modified xsi:type="dcterms:W3CDTF">2026-09-18T15:01:00Z</dcterms:modified>
</cp:coreProperties>
</file>