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FAA5BE5" w:rsidR="00F102CC" w:rsidRPr="003D5AF6" w:rsidRDefault="00227EC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6E33E003" w:rsidR="00F102CC" w:rsidRPr="003D5AF6" w:rsidRDefault="00227EC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2BF1B4E2" w:rsidR="00F102CC" w:rsidRPr="003D5AF6" w:rsidRDefault="00DA41C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7DFAC95" w:rsidR="00F102CC" w:rsidRPr="003D5AF6" w:rsidRDefault="00DA41C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4A1177B" w:rsidR="00F102CC" w:rsidRPr="003D5AF6" w:rsidRDefault="00DA41C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063C7BA6" w:rsidR="00F102CC" w:rsidRPr="003D5AF6" w:rsidRDefault="00CC14E3">
            <w:pPr>
              <w:rPr>
                <w:rFonts w:ascii="Noto Sans" w:eastAsia="Noto Sans" w:hAnsi="Noto Sans" w:cs="Noto Sans"/>
                <w:bCs/>
                <w:color w:val="434343"/>
                <w:sz w:val="18"/>
                <w:szCs w:val="18"/>
              </w:rPr>
            </w:pPr>
            <w:r>
              <w:rPr>
                <w:rFonts w:ascii="Noto Sans" w:eastAsia="Noto Sans" w:hAnsi="Noto Sans" w:cs="Noto Sans"/>
                <w:bCs/>
                <w:color w:val="434343"/>
                <w:sz w:val="18"/>
                <w:szCs w:val="18"/>
              </w:rPr>
              <w:t>Day 1 post-fertilisation chicken eggs (Medeggs Ltd, UK).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4B5AD12B" w:rsidR="00F102CC" w:rsidRPr="003D5AF6" w:rsidRDefault="001C5295">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CC49667" w:rsidR="00F102CC" w:rsidRPr="003D5AF6" w:rsidRDefault="00DD257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664D41EA" w:rsidR="00F102CC" w:rsidRPr="003D5AF6" w:rsidRDefault="00DD257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3F38E67C" w:rsidR="00F102CC" w:rsidRPr="003D5AF6" w:rsidRDefault="001C5295">
            <w:pPr>
              <w:rPr>
                <w:rFonts w:ascii="Noto Sans" w:eastAsia="Noto Sans" w:hAnsi="Noto Sans" w:cs="Noto Sans"/>
                <w:bCs/>
                <w:color w:val="434343"/>
                <w:sz w:val="18"/>
                <w:szCs w:val="18"/>
              </w:rPr>
            </w:pPr>
            <w:r>
              <w:rPr>
                <w:rFonts w:ascii="Noto Sans" w:eastAsia="Noto Sans" w:hAnsi="Noto Sans" w:cs="Noto Sans"/>
                <w:bCs/>
                <w:color w:val="434343"/>
                <w:sz w:val="18"/>
                <w:szCs w:val="18"/>
              </w:rPr>
              <w:t>Blood collected from health</w:t>
            </w:r>
            <w:r w:rsidR="00C26E4D">
              <w:rPr>
                <w:rFonts w:ascii="Noto Sans" w:eastAsia="Noto Sans" w:hAnsi="Noto Sans" w:cs="Noto Sans"/>
                <w:bCs/>
                <w:color w:val="434343"/>
                <w:sz w:val="18"/>
                <w:szCs w:val="18"/>
              </w:rPr>
              <w:t>y</w:t>
            </w:r>
            <w:r>
              <w:rPr>
                <w:rFonts w:ascii="Noto Sans" w:eastAsia="Noto Sans" w:hAnsi="Noto Sans" w:cs="Noto Sans"/>
                <w:bCs/>
                <w:color w:val="434343"/>
                <w:sz w:val="18"/>
                <w:szCs w:val="18"/>
              </w:rPr>
              <w:t xml:space="preserve"> </w:t>
            </w:r>
            <w:r w:rsidR="00CC14E3">
              <w:rPr>
                <w:rFonts w:ascii="Noto Sans" w:eastAsia="Noto Sans" w:hAnsi="Noto Sans" w:cs="Noto Sans"/>
                <w:bCs/>
                <w:color w:val="434343"/>
                <w:sz w:val="18"/>
                <w:szCs w:val="18"/>
              </w:rPr>
              <w:t>consenting donors</w:t>
            </w:r>
            <w:r>
              <w:rPr>
                <w:rFonts w:ascii="Noto Sans" w:eastAsia="Noto Sans" w:hAnsi="Noto Sans" w:cs="Noto Sans"/>
                <w:bCs/>
                <w:color w:val="434343"/>
                <w:sz w:val="18"/>
                <w:szCs w:val="18"/>
              </w:rPr>
              <w:t>. Demographics were not collected.</w:t>
            </w:r>
            <w:r w:rsidR="00CC14E3">
              <w:rPr>
                <w:rFonts w:ascii="Noto Sans" w:eastAsia="Noto Sans" w:hAnsi="Noto Sans" w:cs="Noto Sans"/>
                <w:bCs/>
                <w:color w:val="434343"/>
                <w:sz w:val="18"/>
                <w:szCs w:val="18"/>
              </w:rPr>
              <w:t xml:space="preserve">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DD53154" w:rsidR="00F102CC" w:rsidRPr="003D5AF6" w:rsidRDefault="001A123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29DF94A" w:rsidR="00F102CC" w:rsidRPr="003D5AF6" w:rsidRDefault="008D45F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0299B54" w:rsidR="00F102CC"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Sample sizes calculated based on prior experimental data. Methods</w:t>
            </w:r>
            <w:r w:rsidR="00B0128A">
              <w:rPr>
                <w:rFonts w:ascii="Noto Sans" w:eastAsia="Noto Sans" w:hAnsi="Noto Sans" w:cs="Noto Sans"/>
                <w:bCs/>
                <w:color w:val="434343"/>
                <w:sz w:val="18"/>
                <w:szCs w:val="18"/>
              </w:rPr>
              <w:t xml:space="preserve"> and Figure legend</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19880B88" w:rsidR="00F102CC"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Yes.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3500B4AD" w:rsidR="00F102CC"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C21ECB6" w:rsidR="00F102CC"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Damaged/infertile eggs excluded. Methods.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70BE3AC4" w14:textId="36684915" w:rsidR="00CC14E3" w:rsidRPr="00783A9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SDS-</w:t>
            </w:r>
            <w:r w:rsidRPr="00783A96">
              <w:rPr>
                <w:rFonts w:ascii="Noto Sans" w:eastAsia="Noto Sans" w:hAnsi="Noto Sans" w:cs="Noto Sans"/>
                <w:bCs/>
                <w:color w:val="434343"/>
                <w:sz w:val="18"/>
                <w:szCs w:val="18"/>
              </w:rPr>
              <w:t>PAGE: singleton.</w:t>
            </w:r>
          </w:p>
          <w:p w14:paraId="702BF6F2" w14:textId="114FD8C7" w:rsidR="00CC14E3" w:rsidRPr="00783A96" w:rsidRDefault="00CC14E3">
            <w:pPr>
              <w:spacing w:line="225" w:lineRule="auto"/>
              <w:rPr>
                <w:rFonts w:ascii="Noto Sans" w:eastAsia="Noto Sans" w:hAnsi="Noto Sans" w:cs="Noto Sans"/>
                <w:bCs/>
                <w:color w:val="434343"/>
                <w:sz w:val="18"/>
                <w:szCs w:val="18"/>
              </w:rPr>
            </w:pPr>
            <w:r w:rsidRPr="00783A96">
              <w:rPr>
                <w:rFonts w:ascii="Noto Sans" w:eastAsia="Noto Sans" w:hAnsi="Noto Sans" w:cs="Noto Sans"/>
                <w:bCs/>
                <w:color w:val="434343"/>
                <w:sz w:val="18"/>
                <w:szCs w:val="18"/>
              </w:rPr>
              <w:t xml:space="preserve">In vitro assays: </w:t>
            </w:r>
            <w:r w:rsidR="00783A96" w:rsidRPr="00783A96">
              <w:rPr>
                <w:rFonts w:ascii="Noto Sans" w:eastAsia="Noto Sans" w:hAnsi="Noto Sans" w:cs="Noto Sans"/>
                <w:bCs/>
                <w:color w:val="434343"/>
                <w:sz w:val="18"/>
                <w:szCs w:val="18"/>
              </w:rPr>
              <w:t>≥</w:t>
            </w:r>
            <w:r w:rsidR="001B4486">
              <w:rPr>
                <w:rFonts w:ascii="Noto Sans" w:eastAsia="Noto Sans" w:hAnsi="Noto Sans" w:cs="Noto Sans"/>
                <w:bCs/>
                <w:color w:val="434343"/>
                <w:sz w:val="18"/>
                <w:szCs w:val="18"/>
              </w:rPr>
              <w:t>singleton</w:t>
            </w:r>
          </w:p>
          <w:p w14:paraId="435455BD" w14:textId="023F7016" w:rsidR="00CC14E3" w:rsidRDefault="00CC14E3">
            <w:pPr>
              <w:spacing w:line="225" w:lineRule="auto"/>
              <w:rPr>
                <w:rFonts w:ascii="Noto Sans" w:eastAsia="Noto Sans" w:hAnsi="Noto Sans" w:cs="Noto Sans"/>
                <w:bCs/>
                <w:color w:val="434343"/>
                <w:sz w:val="18"/>
                <w:szCs w:val="18"/>
              </w:rPr>
            </w:pPr>
            <w:r w:rsidRPr="00783A96">
              <w:rPr>
                <w:rFonts w:ascii="Noto Sans" w:eastAsia="Noto Sans" w:hAnsi="Noto Sans" w:cs="Noto Sans"/>
                <w:bCs/>
                <w:color w:val="434343"/>
                <w:sz w:val="18"/>
                <w:szCs w:val="18"/>
              </w:rPr>
              <w:t xml:space="preserve">TEG: </w:t>
            </w:r>
            <w:r w:rsidR="00783A96" w:rsidRPr="00783A96">
              <w:rPr>
                <w:rFonts w:ascii="Noto Sans" w:eastAsia="Noto Sans" w:hAnsi="Noto Sans" w:cs="Noto Sans"/>
                <w:bCs/>
                <w:color w:val="434343"/>
                <w:sz w:val="18"/>
                <w:szCs w:val="18"/>
              </w:rPr>
              <w:t>≥triplicate</w:t>
            </w:r>
          </w:p>
          <w:p w14:paraId="17E168FF" w14:textId="1E52F920" w:rsidR="00F102CC"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Egg embryos: singleton</w:t>
            </w:r>
          </w:p>
          <w:p w14:paraId="4FCE59FC" w14:textId="77777777" w:rsidR="00CC14E3" w:rsidRDefault="00CC14E3">
            <w:pPr>
              <w:spacing w:line="225" w:lineRule="auto"/>
              <w:rPr>
                <w:rFonts w:ascii="Noto Sans" w:eastAsia="Noto Sans" w:hAnsi="Noto Sans" w:cs="Noto Sans"/>
                <w:bCs/>
                <w:color w:val="434343"/>
                <w:sz w:val="18"/>
                <w:szCs w:val="18"/>
              </w:rPr>
            </w:pPr>
          </w:p>
          <w:p w14:paraId="6F0CFE7C" w14:textId="1EFD562A" w:rsidR="00CC14E3"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Described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7C6E3C" w14:textId="4D3A4A18" w:rsidR="00171549" w:rsidRDefault="00783A96" w:rsidP="00783A96">
            <w:pPr>
              <w:pStyle w:val="NoSpacing"/>
              <w:rPr>
                <w:rFonts w:ascii="Noto Sans" w:eastAsia="Arial" w:hAnsi="Noto Sans" w:cs="Noto Sans"/>
                <w:color w:val="404040" w:themeColor="text1" w:themeTint="BF"/>
                <w:sz w:val="18"/>
                <w:szCs w:val="18"/>
              </w:rPr>
            </w:pPr>
            <w:r w:rsidRPr="00783A96">
              <w:rPr>
                <w:rFonts w:ascii="Noto Sans" w:eastAsia="Arial" w:hAnsi="Noto Sans" w:cs="Noto Sans"/>
                <w:color w:val="404040" w:themeColor="text1" w:themeTint="BF"/>
                <w:sz w:val="18"/>
                <w:szCs w:val="18"/>
              </w:rPr>
              <w:t xml:space="preserve">The sample sizes </w:t>
            </w:r>
            <w:r w:rsidR="006A29C2">
              <w:rPr>
                <w:rFonts w:ascii="Noto Sans" w:eastAsia="Arial" w:hAnsi="Noto Sans" w:cs="Noto Sans"/>
                <w:color w:val="404040" w:themeColor="text1" w:themeTint="BF"/>
                <w:sz w:val="18"/>
                <w:szCs w:val="18"/>
              </w:rPr>
              <w:t xml:space="preserve">for </w:t>
            </w:r>
            <w:r w:rsidR="009E532B">
              <w:rPr>
                <w:rFonts w:ascii="Noto Sans" w:eastAsia="Arial" w:hAnsi="Noto Sans" w:cs="Noto Sans"/>
                <w:color w:val="404040" w:themeColor="text1" w:themeTint="BF"/>
                <w:sz w:val="18"/>
                <w:szCs w:val="18"/>
              </w:rPr>
              <w:t xml:space="preserve">all </w:t>
            </w:r>
            <w:r w:rsidRPr="00783A96">
              <w:rPr>
                <w:rFonts w:ascii="Noto Sans" w:eastAsia="Arial" w:hAnsi="Noto Sans" w:cs="Noto Sans"/>
                <w:color w:val="404040" w:themeColor="text1" w:themeTint="BF"/>
                <w:sz w:val="18"/>
                <w:szCs w:val="18"/>
              </w:rPr>
              <w:t>experiment</w:t>
            </w:r>
            <w:r w:rsidR="009E532B">
              <w:rPr>
                <w:rFonts w:ascii="Noto Sans" w:eastAsia="Arial" w:hAnsi="Noto Sans" w:cs="Noto Sans"/>
                <w:color w:val="404040" w:themeColor="text1" w:themeTint="BF"/>
                <w:sz w:val="18"/>
                <w:szCs w:val="18"/>
              </w:rPr>
              <w:t>s</w:t>
            </w:r>
            <w:r w:rsidRPr="00783A96">
              <w:rPr>
                <w:rFonts w:ascii="Noto Sans" w:eastAsia="Arial" w:hAnsi="Noto Sans" w:cs="Noto Sans"/>
                <w:color w:val="404040" w:themeColor="text1" w:themeTint="BF"/>
                <w:sz w:val="18"/>
                <w:szCs w:val="18"/>
              </w:rPr>
              <w:t xml:space="preserve"> are </w:t>
            </w:r>
            <w:r w:rsidR="00F878F3">
              <w:rPr>
                <w:rFonts w:ascii="Noto Sans" w:eastAsia="Arial" w:hAnsi="Noto Sans" w:cs="Noto Sans"/>
                <w:color w:val="404040" w:themeColor="text1" w:themeTint="BF"/>
                <w:sz w:val="18"/>
                <w:szCs w:val="18"/>
              </w:rPr>
              <w:t xml:space="preserve">from </w:t>
            </w:r>
            <w:r w:rsidR="00171549">
              <w:rPr>
                <w:rFonts w:ascii="Noto Sans" w:eastAsia="Arial" w:hAnsi="Noto Sans" w:cs="Noto Sans"/>
                <w:color w:val="404040" w:themeColor="text1" w:themeTint="BF"/>
                <w:sz w:val="18"/>
                <w:szCs w:val="18"/>
              </w:rPr>
              <w:t>≥</w:t>
            </w:r>
            <w:r w:rsidR="00F878F3">
              <w:rPr>
                <w:rFonts w:ascii="Noto Sans" w:eastAsia="Arial" w:hAnsi="Noto Sans" w:cs="Noto Sans"/>
                <w:color w:val="404040" w:themeColor="text1" w:themeTint="BF"/>
                <w:sz w:val="18"/>
                <w:szCs w:val="18"/>
              </w:rPr>
              <w:t xml:space="preserve">single biological repeats with </w:t>
            </w:r>
            <w:r w:rsidR="004621FF">
              <w:rPr>
                <w:rFonts w:ascii="Noto Sans" w:eastAsia="Arial" w:hAnsi="Noto Sans" w:cs="Noto Sans"/>
                <w:color w:val="404040" w:themeColor="text1" w:themeTint="BF"/>
                <w:sz w:val="18"/>
                <w:szCs w:val="18"/>
              </w:rPr>
              <w:t>technical repeats</w:t>
            </w:r>
            <w:r w:rsidR="006F1682">
              <w:rPr>
                <w:rFonts w:ascii="Noto Sans" w:eastAsia="Arial" w:hAnsi="Noto Sans" w:cs="Noto Sans"/>
                <w:color w:val="404040" w:themeColor="text1" w:themeTint="BF"/>
                <w:sz w:val="18"/>
                <w:szCs w:val="18"/>
              </w:rPr>
              <w:t xml:space="preserve"> </w:t>
            </w:r>
            <w:r w:rsidR="006F1682" w:rsidRPr="00783A96">
              <w:rPr>
                <w:rFonts w:ascii="Noto Sans" w:eastAsia="Arial" w:hAnsi="Noto Sans" w:cs="Noto Sans"/>
                <w:color w:val="404040" w:themeColor="text1" w:themeTint="BF"/>
                <w:sz w:val="18"/>
                <w:szCs w:val="18"/>
              </w:rPr>
              <w:t xml:space="preserve">n </w:t>
            </w:r>
            <w:r w:rsidR="006F1682">
              <w:rPr>
                <w:rFonts w:ascii="Noto Sans" w:eastAsia="Arial" w:hAnsi="Noto Sans" w:cs="Noto Sans"/>
                <w:color w:val="404040" w:themeColor="text1" w:themeTint="BF"/>
                <w:sz w:val="18"/>
                <w:szCs w:val="18"/>
              </w:rPr>
              <w:t>≥</w:t>
            </w:r>
            <w:r w:rsidR="006F1682" w:rsidRPr="00783A96">
              <w:rPr>
                <w:rFonts w:ascii="Noto Sans" w:eastAsia="Arial" w:hAnsi="Noto Sans" w:cs="Noto Sans"/>
                <w:color w:val="404040" w:themeColor="text1" w:themeTint="BF"/>
                <w:sz w:val="18"/>
                <w:szCs w:val="18"/>
              </w:rPr>
              <w:t>2</w:t>
            </w:r>
            <w:r w:rsidRPr="00783A96">
              <w:rPr>
                <w:rFonts w:ascii="Noto Sans" w:eastAsia="Arial" w:hAnsi="Noto Sans" w:cs="Noto Sans"/>
                <w:color w:val="404040" w:themeColor="text1" w:themeTint="BF"/>
                <w:sz w:val="18"/>
                <w:szCs w:val="18"/>
              </w:rPr>
              <w:t xml:space="preserve">. </w:t>
            </w:r>
          </w:p>
          <w:p w14:paraId="3C933021" w14:textId="77777777" w:rsidR="00171549" w:rsidRDefault="00171549" w:rsidP="00783A96">
            <w:pPr>
              <w:pStyle w:val="NoSpacing"/>
              <w:rPr>
                <w:rFonts w:ascii="Noto Sans" w:eastAsia="Arial" w:hAnsi="Noto Sans" w:cs="Noto Sans"/>
                <w:color w:val="404040" w:themeColor="text1" w:themeTint="BF"/>
                <w:sz w:val="18"/>
                <w:szCs w:val="18"/>
              </w:rPr>
            </w:pPr>
          </w:p>
          <w:p w14:paraId="53E8B9FB" w14:textId="012FB12F" w:rsidR="00F102CC" w:rsidRPr="003D5AF6" w:rsidRDefault="00DE0C8F" w:rsidP="00F30EB8">
            <w:pPr>
              <w:pStyle w:val="NoSpacing"/>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The detail on the precise replicates are explained in the figure legend of </w:t>
            </w:r>
            <w:r w:rsidR="009A449A">
              <w:rPr>
                <w:rFonts w:ascii="Noto Sans" w:eastAsia="Noto Sans" w:hAnsi="Noto Sans" w:cs="Noto Sans"/>
                <w:bCs/>
                <w:color w:val="434343"/>
                <w:sz w:val="18"/>
                <w:szCs w:val="18"/>
              </w:rPr>
              <w:t>each respective figure.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10BFF790" w:rsidR="00F102CC" w:rsidRPr="003D5AF6" w:rsidRDefault="00C65E8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 </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16FFCF6C" w:rsidR="00F102CC" w:rsidRPr="00EA1215" w:rsidRDefault="00CC14E3">
            <w:pPr>
              <w:spacing w:line="225" w:lineRule="auto"/>
              <w:rPr>
                <w:rFonts w:ascii="Noto Sans" w:eastAsia="Noto Sans" w:hAnsi="Noto Sans" w:cs="Noto Sans"/>
                <w:b/>
                <w:color w:val="404040" w:themeColor="text1" w:themeTint="BF"/>
                <w:sz w:val="18"/>
                <w:szCs w:val="18"/>
              </w:rPr>
            </w:pPr>
            <w:r w:rsidRPr="00EA1215">
              <w:rPr>
                <w:rFonts w:ascii="Noto Sans" w:eastAsia="Arial" w:hAnsi="Noto Sans" w:cs="Noto Sans"/>
                <w:color w:val="404040" w:themeColor="text1" w:themeTint="BF"/>
                <w:sz w:val="18"/>
                <w:szCs w:val="18"/>
              </w:rPr>
              <w:t>LSTM research tissue bank, REC ref. 11/H1002/9.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1F6589B"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6084CC59" w:rsidR="00F102CC" w:rsidRPr="00EA1215" w:rsidRDefault="00CC14E3">
            <w:pPr>
              <w:spacing w:line="225" w:lineRule="auto"/>
              <w:rPr>
                <w:rFonts w:ascii="Noto Sans" w:eastAsia="Noto Sans" w:hAnsi="Noto Sans" w:cs="Noto Sans"/>
                <w:bCs/>
                <w:color w:val="404040" w:themeColor="text1" w:themeTint="BF"/>
                <w:sz w:val="18"/>
                <w:szCs w:val="18"/>
              </w:rPr>
            </w:pPr>
            <w:r w:rsidRPr="00EA1215">
              <w:rPr>
                <w:rFonts w:ascii="Noto Sans" w:eastAsia="Noto Sans" w:hAnsi="Noto Sans" w:cs="Noto Sans"/>
                <w:bCs/>
                <w:color w:val="404040" w:themeColor="text1" w:themeTint="BF"/>
                <w:sz w:val="18"/>
                <w:szCs w:val="18"/>
              </w:rPr>
              <w:t>Experimental animals (day 1 post-fertilisation) used are not governed by the UK Scientific Procedures Act, due to the life stage. Hence no ethical approvals were required.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CE6F16F"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CFC88D4" w:rsidR="00F102CC" w:rsidRPr="003D5AF6" w:rsidRDefault="00EB287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AC62AD1" w:rsidR="00F102CC" w:rsidRPr="003D5AF6" w:rsidRDefault="00BD166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7F830A" w14:textId="19828E00" w:rsidR="00F102CC" w:rsidRDefault="002B1BBA">
            <w:pPr>
              <w:spacing w:line="225" w:lineRule="auto"/>
              <w:rPr>
                <w:rFonts w:ascii="Noto Sans" w:eastAsia="Noto Sans" w:hAnsi="Noto Sans" w:cs="Noto Sans"/>
                <w:bCs/>
                <w:color w:val="434343"/>
                <w:sz w:val="18"/>
                <w:szCs w:val="18"/>
              </w:rPr>
            </w:pPr>
            <w:r w:rsidRPr="00346EE2">
              <w:rPr>
                <w:rFonts w:ascii="Noto Sans" w:eastAsia="Noto Sans" w:hAnsi="Noto Sans" w:cs="Noto Sans"/>
                <w:bCs/>
                <w:color w:val="434343"/>
                <w:sz w:val="18"/>
                <w:szCs w:val="18"/>
              </w:rPr>
              <w:t>Exclusion criteria for all experiments were pre</w:t>
            </w:r>
            <w:r w:rsidRPr="00346EE2">
              <w:rPr>
                <w:rFonts w:ascii="Noto Sans" w:eastAsia="Noto Sans" w:hAnsi="Noto Sans" w:cs="Noto Sans"/>
                <w:bCs/>
                <w:color w:val="434343"/>
                <w:sz w:val="18"/>
                <w:szCs w:val="18"/>
              </w:rPr>
              <w:noBreakHyphen/>
              <w:t xml:space="preserve">established prior to data collection. Samples or data points were omitted only when they met predefined criteria, such as technical failure defined by the </w:t>
            </w:r>
            <w:r w:rsidR="00060E6A" w:rsidRPr="00346EE2">
              <w:rPr>
                <w:rFonts w:ascii="Noto Sans" w:eastAsia="Noto Sans" w:hAnsi="Noto Sans" w:cs="Noto Sans"/>
                <w:bCs/>
                <w:color w:val="434343"/>
                <w:sz w:val="18"/>
                <w:szCs w:val="18"/>
              </w:rPr>
              <w:t>on-board</w:t>
            </w:r>
            <w:r w:rsidRPr="00346EE2">
              <w:rPr>
                <w:rFonts w:ascii="Noto Sans" w:eastAsia="Noto Sans" w:hAnsi="Noto Sans" w:cs="Noto Sans"/>
                <w:bCs/>
                <w:color w:val="434343"/>
                <w:sz w:val="18"/>
                <w:szCs w:val="18"/>
              </w:rPr>
              <w:t xml:space="preserve"> controls (e.g., pipetting error, equipment malfunction), or values falling outside physiologically plausible ranges due to identifiable procedural error. Any exclusions were intentional and based on these criteria rather than attrition. </w:t>
            </w:r>
          </w:p>
          <w:p w14:paraId="2A306ED2" w14:textId="6D395F0C" w:rsidR="002B1BBA" w:rsidRPr="003D5AF6" w:rsidRDefault="002B1BBA">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1908739" w14:textId="4A9CE240" w:rsidR="00F83C21" w:rsidRPr="00EA1215" w:rsidRDefault="00D167AA" w:rsidP="00F83C21">
            <w:pPr>
              <w:spacing w:line="225" w:lineRule="auto"/>
              <w:rPr>
                <w:rFonts w:ascii="Noto Sans" w:eastAsia="Noto Sans" w:hAnsi="Noto Sans" w:cs="Noto Sans"/>
                <w:bCs/>
                <w:color w:val="404040" w:themeColor="text1" w:themeTint="BF"/>
                <w:sz w:val="18"/>
                <w:szCs w:val="18"/>
              </w:rPr>
            </w:pPr>
            <w:r w:rsidRPr="00EA1215">
              <w:rPr>
                <w:rFonts w:ascii="Noto Sans" w:eastAsia="Noto Sans" w:hAnsi="Noto Sans" w:cs="Noto Sans"/>
                <w:bCs/>
                <w:color w:val="404040" w:themeColor="text1" w:themeTint="BF"/>
                <w:sz w:val="18"/>
                <w:szCs w:val="18"/>
              </w:rPr>
              <w:t xml:space="preserve">The </w:t>
            </w:r>
            <w:r w:rsidRPr="00EA1215">
              <w:rPr>
                <w:rFonts w:ascii="Noto Sans" w:eastAsia="Noto Sans" w:hAnsi="Noto Sans" w:cs="Noto Sans"/>
                <w:bCs/>
                <w:i/>
                <w:iCs/>
                <w:color w:val="404040" w:themeColor="text1" w:themeTint="BF"/>
                <w:sz w:val="18"/>
                <w:szCs w:val="18"/>
              </w:rPr>
              <w:t>i</w:t>
            </w:r>
            <w:r w:rsidR="008D7ECD" w:rsidRPr="00EA1215">
              <w:rPr>
                <w:rFonts w:ascii="Noto Sans" w:eastAsia="Noto Sans" w:hAnsi="Noto Sans" w:cs="Noto Sans"/>
                <w:bCs/>
                <w:i/>
                <w:iCs/>
                <w:color w:val="404040" w:themeColor="text1" w:themeTint="BF"/>
                <w:sz w:val="18"/>
                <w:szCs w:val="18"/>
              </w:rPr>
              <w:t>n vitro</w:t>
            </w:r>
            <w:r w:rsidR="008D7ECD" w:rsidRPr="00EA1215">
              <w:rPr>
                <w:rFonts w:ascii="Noto Sans" w:eastAsia="Noto Sans" w:hAnsi="Noto Sans" w:cs="Noto Sans"/>
                <w:bCs/>
                <w:color w:val="404040" w:themeColor="text1" w:themeTint="BF"/>
                <w:sz w:val="18"/>
                <w:szCs w:val="18"/>
              </w:rPr>
              <w:t xml:space="preserve"> data </w:t>
            </w:r>
            <w:r w:rsidRPr="00EA1215">
              <w:rPr>
                <w:rFonts w:ascii="Noto Sans" w:eastAsia="Noto Sans" w:hAnsi="Noto Sans" w:cs="Noto Sans"/>
                <w:bCs/>
                <w:color w:val="404040" w:themeColor="text1" w:themeTint="BF"/>
                <w:sz w:val="18"/>
                <w:szCs w:val="18"/>
              </w:rPr>
              <w:t xml:space="preserve">was </w:t>
            </w:r>
            <w:r w:rsidR="008D7ECD" w:rsidRPr="00EA1215">
              <w:rPr>
                <w:rFonts w:ascii="Noto Sans" w:eastAsia="Noto Sans" w:hAnsi="Noto Sans" w:cs="Noto Sans"/>
                <w:bCs/>
                <w:color w:val="404040" w:themeColor="text1" w:themeTint="BF"/>
                <w:sz w:val="18"/>
                <w:szCs w:val="18"/>
              </w:rPr>
              <w:t>analys</w:t>
            </w:r>
            <w:r w:rsidRPr="00EA1215">
              <w:rPr>
                <w:rFonts w:ascii="Noto Sans" w:eastAsia="Noto Sans" w:hAnsi="Noto Sans" w:cs="Noto Sans"/>
                <w:bCs/>
                <w:color w:val="404040" w:themeColor="text1" w:themeTint="BF"/>
                <w:sz w:val="18"/>
                <w:szCs w:val="18"/>
              </w:rPr>
              <w:t xml:space="preserve">ed </w:t>
            </w:r>
            <w:r w:rsidR="008D7ECD" w:rsidRPr="00EA1215">
              <w:rPr>
                <w:rFonts w:ascii="Noto Sans" w:eastAsia="Noto Sans" w:hAnsi="Noto Sans" w:cs="Noto Sans"/>
                <w:bCs/>
                <w:color w:val="404040" w:themeColor="text1" w:themeTint="BF"/>
                <w:sz w:val="18"/>
                <w:szCs w:val="18"/>
              </w:rPr>
              <w:t>using standard statistical tests (e.g. one or two way ANOVA), followed by post</w:t>
            </w:r>
            <w:r w:rsidR="008D7ECD" w:rsidRPr="00EA1215">
              <w:rPr>
                <w:rFonts w:ascii="Noto Sans" w:eastAsia="Noto Sans" w:hAnsi="Noto Sans" w:cs="Noto Sans"/>
                <w:bCs/>
                <w:color w:val="404040" w:themeColor="text1" w:themeTint="BF"/>
                <w:sz w:val="18"/>
                <w:szCs w:val="18"/>
              </w:rPr>
              <w:noBreakHyphen/>
              <w:t xml:space="preserve">hoc corrections where relevant (e.g. Dunnett’s, </w:t>
            </w:r>
            <w:r w:rsidR="008D7ECD" w:rsidRPr="00EA1215">
              <w:rPr>
                <w:rFonts w:ascii="Noto Sans" w:hAnsi="Noto Sans" w:cs="Noto Sans"/>
                <w:color w:val="404040" w:themeColor="text1" w:themeTint="BF"/>
                <w:sz w:val="18"/>
                <w:szCs w:val="18"/>
              </w:rPr>
              <w:t xml:space="preserve">Šídák's </w:t>
            </w:r>
            <w:r w:rsidRPr="00EA1215">
              <w:rPr>
                <w:rFonts w:ascii="Noto Sans" w:hAnsi="Noto Sans" w:cs="Noto Sans"/>
                <w:color w:val="404040" w:themeColor="text1" w:themeTint="BF"/>
                <w:sz w:val="18"/>
                <w:szCs w:val="18"/>
              </w:rPr>
              <w:t xml:space="preserve">and Tukey </w:t>
            </w:r>
            <w:r w:rsidR="008D7ECD" w:rsidRPr="00EA1215">
              <w:rPr>
                <w:rFonts w:ascii="Noto Sans" w:hAnsi="Noto Sans" w:cs="Noto Sans"/>
                <w:color w:val="404040" w:themeColor="text1" w:themeTint="BF"/>
                <w:sz w:val="18"/>
                <w:szCs w:val="18"/>
              </w:rPr>
              <w:t>multiple comparisons test</w:t>
            </w:r>
            <w:r w:rsidRPr="00EA1215">
              <w:rPr>
                <w:rFonts w:ascii="Noto Sans" w:hAnsi="Noto Sans" w:cs="Noto Sans"/>
                <w:color w:val="404040" w:themeColor="text1" w:themeTint="BF"/>
                <w:sz w:val="18"/>
                <w:szCs w:val="18"/>
              </w:rPr>
              <w:t>)</w:t>
            </w:r>
            <w:r w:rsidR="008D7ECD" w:rsidRPr="00EA1215">
              <w:rPr>
                <w:rFonts w:ascii="Noto Sans" w:eastAsia="Noto Sans" w:hAnsi="Noto Sans" w:cs="Noto Sans"/>
                <w:bCs/>
                <w:color w:val="404040" w:themeColor="text1" w:themeTint="BF"/>
                <w:sz w:val="18"/>
                <w:szCs w:val="18"/>
              </w:rPr>
              <w:t xml:space="preserve">. </w:t>
            </w:r>
            <w:r w:rsidR="00B73655" w:rsidRPr="00EA1215">
              <w:rPr>
                <w:rFonts w:ascii="Noto Sans" w:eastAsia="Noto Sans" w:hAnsi="Noto Sans" w:cs="Noto Sans"/>
                <w:bCs/>
                <w:color w:val="404040" w:themeColor="text1" w:themeTint="BF"/>
                <w:sz w:val="18"/>
                <w:szCs w:val="18"/>
              </w:rPr>
              <w:t xml:space="preserve">A significance threshold of </w:t>
            </w:r>
            <w:r w:rsidR="00B73655" w:rsidRPr="00EA1215">
              <w:rPr>
                <w:rFonts w:ascii="Noto Sans" w:eastAsia="Noto Sans" w:hAnsi="Noto Sans" w:cs="Noto Sans"/>
                <w:bCs/>
                <w:i/>
                <w:iCs/>
                <w:color w:val="404040" w:themeColor="text1" w:themeTint="BF"/>
                <w:sz w:val="18"/>
                <w:szCs w:val="18"/>
              </w:rPr>
              <w:t>p</w:t>
            </w:r>
            <w:r w:rsidR="00B73655" w:rsidRPr="00EA1215">
              <w:rPr>
                <w:rFonts w:ascii="Noto Sans" w:eastAsia="Noto Sans" w:hAnsi="Noto Sans" w:cs="Noto Sans"/>
                <w:bCs/>
                <w:color w:val="404040" w:themeColor="text1" w:themeTint="BF"/>
                <w:sz w:val="18"/>
                <w:szCs w:val="18"/>
              </w:rPr>
              <w:t xml:space="preserve"> &lt; 0.05 was used for all analyses. All statistical tests were performed using Prism software version 11 (GraphPad).</w:t>
            </w:r>
            <w:r w:rsidRPr="00EA1215">
              <w:rPr>
                <w:rFonts w:ascii="Noto Sans" w:eastAsia="Noto Sans" w:hAnsi="Noto Sans" w:cs="Noto Sans"/>
                <w:bCs/>
                <w:color w:val="404040" w:themeColor="text1" w:themeTint="BF"/>
                <w:sz w:val="18"/>
                <w:szCs w:val="18"/>
              </w:rPr>
              <w:t xml:space="preserve">Each analysis is reported in the relevant figure legend. </w:t>
            </w:r>
            <w:r w:rsidR="008D7ECD" w:rsidRPr="00EA1215">
              <w:rPr>
                <w:rFonts w:ascii="Noto Sans" w:eastAsia="Noto Sans" w:hAnsi="Noto Sans" w:cs="Noto Sans"/>
                <w:bCs/>
                <w:color w:val="404040" w:themeColor="text1" w:themeTint="BF"/>
                <w:sz w:val="18"/>
                <w:szCs w:val="18"/>
              </w:rPr>
              <w:t xml:space="preserve">Results are presented as mean ± standard error of the mean (SEM) unless </w:t>
            </w:r>
            <w:r w:rsidRPr="00EA1215">
              <w:rPr>
                <w:rFonts w:ascii="Noto Sans" w:eastAsia="Noto Sans" w:hAnsi="Noto Sans" w:cs="Noto Sans"/>
                <w:bCs/>
                <w:color w:val="404040" w:themeColor="text1" w:themeTint="BF"/>
                <w:sz w:val="18"/>
                <w:szCs w:val="18"/>
              </w:rPr>
              <w:t>the n &lt;3 whereby the alternative is</w:t>
            </w:r>
            <w:r w:rsidR="008D7ECD" w:rsidRPr="00EA1215">
              <w:rPr>
                <w:rFonts w:ascii="Noto Sans" w:eastAsia="Noto Sans" w:hAnsi="Noto Sans" w:cs="Noto Sans"/>
                <w:bCs/>
                <w:color w:val="404040" w:themeColor="text1" w:themeTint="BF"/>
                <w:sz w:val="18"/>
                <w:szCs w:val="18"/>
              </w:rPr>
              <w:t xml:space="preserve"> stated</w:t>
            </w:r>
            <w:r w:rsidRPr="00EA1215">
              <w:rPr>
                <w:rFonts w:ascii="Noto Sans" w:eastAsia="Noto Sans" w:hAnsi="Noto Sans" w:cs="Noto Sans"/>
                <w:bCs/>
                <w:color w:val="404040" w:themeColor="text1" w:themeTint="BF"/>
                <w:sz w:val="18"/>
                <w:szCs w:val="18"/>
              </w:rPr>
              <w:t xml:space="preserve"> </w:t>
            </w:r>
            <w:r w:rsidRPr="00EA1215">
              <w:rPr>
                <w:rFonts w:ascii="Noto Sans" w:eastAsia="Noto Sans" w:hAnsi="Noto Sans" w:cs="Noto Sans"/>
                <w:bCs/>
                <w:color w:val="404040" w:themeColor="text1" w:themeTint="BF"/>
                <w:sz w:val="18"/>
                <w:szCs w:val="18"/>
              </w:rPr>
              <w:lastRenderedPageBreak/>
              <w:t>(range</w:t>
            </w:r>
            <w:r w:rsidR="00ED4C13" w:rsidRPr="00EA1215">
              <w:rPr>
                <w:rFonts w:ascii="Noto Sans" w:eastAsia="Noto Sans" w:hAnsi="Noto Sans" w:cs="Noto Sans"/>
                <w:bCs/>
                <w:color w:val="404040" w:themeColor="text1" w:themeTint="BF"/>
                <w:sz w:val="18"/>
                <w:szCs w:val="18"/>
              </w:rPr>
              <w:t xml:space="preserve"> or 95% confidence intervals</w:t>
            </w:r>
            <w:r w:rsidRPr="00EA1215">
              <w:rPr>
                <w:rFonts w:ascii="Noto Sans" w:eastAsia="Noto Sans" w:hAnsi="Noto Sans" w:cs="Noto Sans"/>
                <w:bCs/>
                <w:color w:val="404040" w:themeColor="text1" w:themeTint="BF"/>
                <w:sz w:val="18"/>
                <w:szCs w:val="18"/>
              </w:rPr>
              <w:t>)</w:t>
            </w:r>
            <w:r w:rsidR="00E30D02" w:rsidRPr="00EA1215">
              <w:rPr>
                <w:rFonts w:ascii="Noto Sans" w:eastAsia="Noto Sans" w:hAnsi="Noto Sans" w:cs="Noto Sans"/>
                <w:bCs/>
                <w:color w:val="404040" w:themeColor="text1" w:themeTint="BF"/>
                <w:sz w:val="18"/>
                <w:szCs w:val="18"/>
              </w:rPr>
              <w:t xml:space="preserve"> or for the kinetic reads </w:t>
            </w:r>
            <w:r w:rsidR="001E57C0">
              <w:rPr>
                <w:rFonts w:ascii="Noto Sans" w:eastAsia="Noto Sans" w:hAnsi="Noto Sans" w:cs="Noto Sans"/>
                <w:bCs/>
                <w:color w:val="404040" w:themeColor="text1" w:themeTint="BF"/>
                <w:sz w:val="18"/>
                <w:szCs w:val="18"/>
              </w:rPr>
              <w:t>(</w:t>
            </w:r>
            <w:r w:rsidR="00F06ECF" w:rsidRPr="00EA1215">
              <w:rPr>
                <w:rFonts w:ascii="Noto Sans" w:eastAsia="Noto Sans" w:hAnsi="Noto Sans" w:cs="Noto Sans"/>
                <w:bCs/>
                <w:color w:val="404040" w:themeColor="text1" w:themeTint="BF"/>
                <w:sz w:val="18"/>
                <w:szCs w:val="18"/>
              </w:rPr>
              <w:t>n</w:t>
            </w:r>
            <w:r w:rsidR="001E57C0">
              <w:rPr>
                <w:rFonts w:ascii="Noto Sans" w:eastAsia="Noto Sans" w:hAnsi="Noto Sans" w:cs="Noto Sans"/>
                <w:bCs/>
                <w:color w:val="404040" w:themeColor="text1" w:themeTint="BF"/>
                <w:sz w:val="18"/>
                <w:szCs w:val="18"/>
              </w:rPr>
              <w:t xml:space="preserve"> </w:t>
            </w:r>
            <w:r w:rsidR="00F06ECF" w:rsidRPr="00EA1215">
              <w:rPr>
                <w:rFonts w:ascii="Noto Sans" w:eastAsia="Noto Sans" w:hAnsi="Noto Sans" w:cs="Noto Sans"/>
                <w:bCs/>
                <w:color w:val="404040" w:themeColor="text1" w:themeTint="BF"/>
                <w:sz w:val="18"/>
                <w:szCs w:val="18"/>
              </w:rPr>
              <w:t>&gt;6</w:t>
            </w:r>
            <w:r w:rsidR="001E57C0">
              <w:rPr>
                <w:rFonts w:ascii="Noto Sans" w:eastAsia="Noto Sans" w:hAnsi="Noto Sans" w:cs="Noto Sans"/>
                <w:bCs/>
                <w:color w:val="404040" w:themeColor="text1" w:themeTint="BF"/>
                <w:sz w:val="18"/>
                <w:szCs w:val="18"/>
              </w:rPr>
              <w:t>) in which</w:t>
            </w:r>
            <w:r w:rsidR="00F06ECF" w:rsidRPr="00EA1215">
              <w:rPr>
                <w:rFonts w:ascii="Noto Sans" w:eastAsia="Noto Sans" w:hAnsi="Noto Sans" w:cs="Noto Sans"/>
                <w:bCs/>
                <w:color w:val="404040" w:themeColor="text1" w:themeTint="BF"/>
                <w:sz w:val="18"/>
                <w:szCs w:val="18"/>
              </w:rPr>
              <w:t xml:space="preserve"> </w:t>
            </w:r>
            <w:r w:rsidR="001E57C0">
              <w:rPr>
                <w:rFonts w:ascii="Noto Sans" w:eastAsia="Noto Sans" w:hAnsi="Noto Sans" w:cs="Noto Sans"/>
                <w:bCs/>
                <w:color w:val="404040" w:themeColor="text1" w:themeTint="BF"/>
                <w:sz w:val="18"/>
                <w:szCs w:val="18"/>
              </w:rPr>
              <w:t>standard deviation is reported</w:t>
            </w:r>
            <w:r w:rsidR="008D7ECD" w:rsidRPr="00EA1215">
              <w:rPr>
                <w:rFonts w:ascii="Noto Sans" w:eastAsia="Noto Sans" w:hAnsi="Noto Sans" w:cs="Noto Sans"/>
                <w:bCs/>
                <w:color w:val="404040" w:themeColor="text1" w:themeTint="BF"/>
                <w:sz w:val="18"/>
                <w:szCs w:val="18"/>
              </w:rPr>
              <w:t>.</w:t>
            </w:r>
            <w:r w:rsidR="001840D8" w:rsidRPr="00EA1215">
              <w:rPr>
                <w:rFonts w:ascii="Noto Sans" w:eastAsia="Noto Sans" w:hAnsi="Noto Sans" w:cs="Noto Sans"/>
                <w:bCs/>
                <w:color w:val="404040" w:themeColor="text1" w:themeTint="BF"/>
                <w:sz w:val="18"/>
                <w:szCs w:val="18"/>
              </w:rPr>
              <w:t xml:space="preserve"> </w:t>
            </w:r>
            <w:r w:rsidR="001840D8" w:rsidRPr="00EA1215">
              <w:rPr>
                <w:rFonts w:ascii="Noto Sans" w:eastAsia="Noto Sans" w:hAnsi="Noto Sans" w:cs="Noto Sans"/>
                <w:bCs/>
                <w:color w:val="404040" w:themeColor="text1" w:themeTint="BF"/>
                <w:sz w:val="18"/>
                <w:szCs w:val="18"/>
              </w:rPr>
              <w:t>The thromboelastography results are presented as means of triplicate data with associated range</w:t>
            </w:r>
            <w:r w:rsidR="006F4803">
              <w:rPr>
                <w:rFonts w:ascii="Noto Sans" w:eastAsia="Noto Sans" w:hAnsi="Noto Sans" w:cs="Noto Sans"/>
                <w:bCs/>
                <w:color w:val="404040" w:themeColor="text1" w:themeTint="BF"/>
                <w:sz w:val="18"/>
                <w:szCs w:val="18"/>
              </w:rPr>
              <w:t>.</w:t>
            </w:r>
          </w:p>
          <w:p w14:paraId="037CFB36" w14:textId="77777777" w:rsidR="00F83C21" w:rsidRPr="00EA1215" w:rsidRDefault="00F83C21" w:rsidP="00F83C21">
            <w:pPr>
              <w:spacing w:line="225" w:lineRule="auto"/>
              <w:rPr>
                <w:rFonts w:ascii="Noto Sans" w:eastAsia="Noto Sans" w:hAnsi="Noto Sans" w:cs="Noto Sans"/>
                <w:bCs/>
                <w:color w:val="404040" w:themeColor="text1" w:themeTint="BF"/>
                <w:sz w:val="18"/>
                <w:szCs w:val="18"/>
              </w:rPr>
            </w:pPr>
          </w:p>
          <w:p w14:paraId="54E0127B" w14:textId="60A05F82" w:rsidR="00D167AA" w:rsidRPr="00EA1215" w:rsidRDefault="00B25039" w:rsidP="00F83C21">
            <w:pPr>
              <w:spacing w:line="225" w:lineRule="auto"/>
              <w:rPr>
                <w:rFonts w:ascii="Noto Sans" w:eastAsia="Noto Sans" w:hAnsi="Noto Sans" w:cs="Noto Sans"/>
                <w:bCs/>
                <w:color w:val="404040" w:themeColor="text1" w:themeTint="BF"/>
                <w:sz w:val="18"/>
                <w:szCs w:val="18"/>
              </w:rPr>
            </w:pPr>
            <w:r w:rsidRPr="00EA1215">
              <w:rPr>
                <w:rFonts w:ascii="Noto Sans" w:eastAsia="Noto Sans" w:hAnsi="Noto Sans" w:cs="Noto Sans"/>
                <w:bCs/>
                <w:color w:val="404040" w:themeColor="text1" w:themeTint="BF"/>
                <w:sz w:val="18"/>
                <w:szCs w:val="18"/>
              </w:rPr>
              <w:t>The Log</w:t>
            </w:r>
            <w:r w:rsidRPr="00EA1215">
              <w:rPr>
                <w:rFonts w:ascii="Noto Sans" w:eastAsia="Noto Sans" w:hAnsi="Noto Sans" w:cs="Noto Sans"/>
                <w:bCs/>
                <w:color w:val="404040" w:themeColor="text1" w:themeTint="BF"/>
                <w:sz w:val="18"/>
                <w:szCs w:val="18"/>
              </w:rPr>
              <w:noBreakHyphen/>
              <w:t>rank test (Mantel–Cox) paired with a Holm–Šídák multiple</w:t>
            </w:r>
            <w:r w:rsidRPr="00EA1215">
              <w:rPr>
                <w:rFonts w:ascii="Noto Sans" w:eastAsia="Noto Sans" w:hAnsi="Noto Sans" w:cs="Noto Sans"/>
                <w:bCs/>
                <w:color w:val="404040" w:themeColor="text1" w:themeTint="BF"/>
                <w:sz w:val="18"/>
                <w:szCs w:val="18"/>
              </w:rPr>
              <w:noBreakHyphen/>
              <w:t>comparisons correction is a standard statistical test used for in vivo survival time. For this reason it was used to analyse the chicken egg embryo model in this manuscript.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A33E75F" w:rsidR="00F102CC" w:rsidRPr="00876FB1" w:rsidRDefault="00B25039">
            <w:pPr>
              <w:spacing w:line="225" w:lineRule="auto"/>
              <w:rPr>
                <w:rFonts w:ascii="Noto Sans" w:eastAsia="Noto Sans" w:hAnsi="Noto Sans" w:cs="Noto Sans"/>
                <w:bCs/>
                <w:color w:val="434343"/>
                <w:sz w:val="18"/>
                <w:szCs w:val="18"/>
                <w:highlight w:val="yellow"/>
                <w:lang w:val="en-GB"/>
              </w:rPr>
            </w:pPr>
            <w:r w:rsidRPr="00876FB1">
              <w:rPr>
                <w:rFonts w:ascii="Noto Sans" w:eastAsia="Noto Sans" w:hAnsi="Noto Sans" w:cs="Noto Sans"/>
                <w:bCs/>
                <w:color w:val="434343"/>
                <w:sz w:val="18"/>
                <w:szCs w:val="18"/>
              </w:rPr>
              <w:t xml:space="preserve">The data used for this manuscript is available either within the manuscript, in the supplementary file or as a dataset that has been deposited in </w:t>
            </w:r>
            <w:r w:rsidR="00330768">
              <w:rPr>
                <w:rFonts w:ascii="Noto Sans" w:eastAsia="Noto Sans" w:hAnsi="Noto Sans" w:cs="Noto Sans"/>
                <w:bCs/>
                <w:color w:val="434343"/>
                <w:sz w:val="18"/>
                <w:szCs w:val="18"/>
              </w:rPr>
              <w:t>Edge Hill University’s</w:t>
            </w:r>
            <w:r w:rsidRPr="00876FB1">
              <w:rPr>
                <w:rFonts w:ascii="Noto Sans" w:eastAsia="Noto Sans" w:hAnsi="Noto Sans" w:cs="Noto Sans"/>
                <w:bCs/>
                <w:color w:val="434343"/>
                <w:sz w:val="18"/>
                <w:szCs w:val="18"/>
              </w:rPr>
              <w:t xml:space="preserve"> Figshare repository and can be accessed at the following DOI: </w:t>
            </w:r>
            <w:r w:rsidR="00876FB1" w:rsidRPr="00876FB1">
              <w:rPr>
                <w:rFonts w:ascii="Noto Sans" w:eastAsia="Noto Sans" w:hAnsi="Noto Sans" w:cs="Noto Sans"/>
                <w:bCs/>
                <w:color w:val="434343"/>
                <w:sz w:val="18"/>
                <w:szCs w:val="18"/>
                <w:lang w:val="en-GB"/>
              </w:rPr>
              <w:t>10.25416/edgehill.32690850</w:t>
            </w:r>
            <w:r w:rsidRPr="00876FB1">
              <w:rPr>
                <w:rFonts w:ascii="Noto Sans" w:eastAsia="Noto Sans" w:hAnsi="Noto Sans" w:cs="Noto Sans"/>
                <w:bCs/>
                <w:color w:val="434343"/>
                <w:sz w:val="18"/>
                <w:szCs w:val="18"/>
              </w:rPr>
              <w:t>. Data are openly available under the terms of the license specified in the repository record.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45C878CB" w:rsidR="00F102CC" w:rsidRPr="003D5AF6" w:rsidRDefault="0015756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DD99E13" w:rsidR="00F102CC" w:rsidRPr="00CC14E3" w:rsidRDefault="000409A2">
            <w:pPr>
              <w:spacing w:line="225" w:lineRule="auto"/>
              <w:rPr>
                <w:rFonts w:ascii="Noto Sans" w:eastAsia="Noto Sans" w:hAnsi="Noto Sans" w:cs="Noto Sans"/>
                <w:bCs/>
                <w:color w:val="434343"/>
                <w:sz w:val="18"/>
                <w:szCs w:val="18"/>
                <w:highlight w:val="yellow"/>
              </w:rPr>
            </w:pPr>
            <w:hyperlink r:id="rId15" w:history="1">
              <w:r w:rsidRPr="000524F1">
                <w:rPr>
                  <w:rStyle w:val="Hyperlink"/>
                  <w:rFonts w:ascii="Noto Sans" w:eastAsia="Noto Sans" w:hAnsi="Noto Sans" w:cs="Noto Sans"/>
                  <w:bCs/>
                  <w:sz w:val="18"/>
                  <w:szCs w:val="18"/>
                </w:rPr>
                <w:t>https://doi.org/10.25416/edgehill.32690850</w:t>
              </w:r>
            </w:hyperlink>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517E602" w:rsidR="00F102CC" w:rsidRPr="003D5AF6" w:rsidRDefault="00297D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737C872" w:rsidR="00F102CC" w:rsidRPr="003D5AF6" w:rsidRDefault="00297D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5E53AE96" w:rsidR="00F102CC" w:rsidRPr="003D5AF6" w:rsidRDefault="00297D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28AD57F6" w:rsidR="00F102CC" w:rsidRPr="003D5AF6" w:rsidRDefault="00297D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54D87728" w:rsidR="00F102CC" w:rsidRPr="003D5AF6" w:rsidRDefault="00297D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F147869" w:rsidR="00F102CC" w:rsidRPr="003D5AF6" w:rsidRDefault="00CC14E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96BE" w14:textId="77777777" w:rsidR="00BA498B" w:rsidRDefault="00BA498B">
      <w:r>
        <w:separator/>
      </w:r>
    </w:p>
  </w:endnote>
  <w:endnote w:type="continuationSeparator" w:id="0">
    <w:p w14:paraId="1E583435" w14:textId="77777777" w:rsidR="00BA498B" w:rsidRDefault="00BA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059E1" w14:textId="77777777" w:rsidR="00BA498B" w:rsidRDefault="00BA498B">
      <w:r>
        <w:separator/>
      </w:r>
    </w:p>
  </w:footnote>
  <w:footnote w:type="continuationSeparator" w:id="0">
    <w:p w14:paraId="6021B9ED" w14:textId="77777777" w:rsidR="00BA498B" w:rsidRDefault="00BA4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03FC"/>
    <w:rsid w:val="000409A2"/>
    <w:rsid w:val="00060E6A"/>
    <w:rsid w:val="00087F98"/>
    <w:rsid w:val="000B600B"/>
    <w:rsid w:val="000F385E"/>
    <w:rsid w:val="00157567"/>
    <w:rsid w:val="00171549"/>
    <w:rsid w:val="001840D8"/>
    <w:rsid w:val="001A123F"/>
    <w:rsid w:val="001B3BCC"/>
    <w:rsid w:val="001B4486"/>
    <w:rsid w:val="001C5295"/>
    <w:rsid w:val="001E57C0"/>
    <w:rsid w:val="002209A8"/>
    <w:rsid w:val="00227EC0"/>
    <w:rsid w:val="00297D91"/>
    <w:rsid w:val="002B03F2"/>
    <w:rsid w:val="002B1BBA"/>
    <w:rsid w:val="002E1916"/>
    <w:rsid w:val="00330768"/>
    <w:rsid w:val="00346EE2"/>
    <w:rsid w:val="003A360C"/>
    <w:rsid w:val="003D5AF6"/>
    <w:rsid w:val="00400C53"/>
    <w:rsid w:val="00427975"/>
    <w:rsid w:val="004621FF"/>
    <w:rsid w:val="004E2C31"/>
    <w:rsid w:val="00534AED"/>
    <w:rsid w:val="00575A77"/>
    <w:rsid w:val="005B0259"/>
    <w:rsid w:val="005D2899"/>
    <w:rsid w:val="00611133"/>
    <w:rsid w:val="006260EE"/>
    <w:rsid w:val="006A29C2"/>
    <w:rsid w:val="006F1682"/>
    <w:rsid w:val="006F4803"/>
    <w:rsid w:val="007054B6"/>
    <w:rsid w:val="00783A96"/>
    <w:rsid w:val="0078687E"/>
    <w:rsid w:val="007955DD"/>
    <w:rsid w:val="007A46E1"/>
    <w:rsid w:val="00876FB1"/>
    <w:rsid w:val="00885E6F"/>
    <w:rsid w:val="008C18AB"/>
    <w:rsid w:val="008D45FE"/>
    <w:rsid w:val="008D7ECD"/>
    <w:rsid w:val="008F216D"/>
    <w:rsid w:val="00957951"/>
    <w:rsid w:val="00985BF1"/>
    <w:rsid w:val="009A449A"/>
    <w:rsid w:val="009C656E"/>
    <w:rsid w:val="009C7B26"/>
    <w:rsid w:val="009E27B1"/>
    <w:rsid w:val="009E532B"/>
    <w:rsid w:val="00A11E52"/>
    <w:rsid w:val="00A15737"/>
    <w:rsid w:val="00A96CD0"/>
    <w:rsid w:val="00AB4B5B"/>
    <w:rsid w:val="00B0128A"/>
    <w:rsid w:val="00B135CB"/>
    <w:rsid w:val="00B2483D"/>
    <w:rsid w:val="00B25039"/>
    <w:rsid w:val="00B628C4"/>
    <w:rsid w:val="00B73655"/>
    <w:rsid w:val="00B81475"/>
    <w:rsid w:val="00BA498B"/>
    <w:rsid w:val="00BD1662"/>
    <w:rsid w:val="00BD41E9"/>
    <w:rsid w:val="00C26E4D"/>
    <w:rsid w:val="00C65E80"/>
    <w:rsid w:val="00C84413"/>
    <w:rsid w:val="00CC14E3"/>
    <w:rsid w:val="00D167AA"/>
    <w:rsid w:val="00D72FC9"/>
    <w:rsid w:val="00DA41CF"/>
    <w:rsid w:val="00DB4C21"/>
    <w:rsid w:val="00DD257F"/>
    <w:rsid w:val="00DD791E"/>
    <w:rsid w:val="00DE0C8F"/>
    <w:rsid w:val="00E30D02"/>
    <w:rsid w:val="00E6207D"/>
    <w:rsid w:val="00EA1215"/>
    <w:rsid w:val="00EA2EC2"/>
    <w:rsid w:val="00EB287F"/>
    <w:rsid w:val="00EC7E98"/>
    <w:rsid w:val="00ED4C13"/>
    <w:rsid w:val="00F06ECF"/>
    <w:rsid w:val="00F102CC"/>
    <w:rsid w:val="00F30EB8"/>
    <w:rsid w:val="00F3796C"/>
    <w:rsid w:val="00F83C21"/>
    <w:rsid w:val="00F878F3"/>
    <w:rsid w:val="00F91042"/>
    <w:rsid w:val="00FD0E89"/>
    <w:rsid w:val="00FF1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1C5295"/>
    <w:rPr>
      <w:sz w:val="16"/>
      <w:szCs w:val="16"/>
    </w:rPr>
  </w:style>
  <w:style w:type="paragraph" w:styleId="CommentText">
    <w:name w:val="annotation text"/>
    <w:basedOn w:val="Normal"/>
    <w:link w:val="CommentTextChar"/>
    <w:uiPriority w:val="99"/>
    <w:unhideWhenUsed/>
    <w:rsid w:val="001C5295"/>
    <w:rPr>
      <w:sz w:val="20"/>
      <w:szCs w:val="20"/>
    </w:rPr>
  </w:style>
  <w:style w:type="character" w:customStyle="1" w:styleId="CommentTextChar">
    <w:name w:val="Comment Text Char"/>
    <w:basedOn w:val="DefaultParagraphFont"/>
    <w:link w:val="CommentText"/>
    <w:uiPriority w:val="99"/>
    <w:rsid w:val="001C5295"/>
    <w:rPr>
      <w:sz w:val="20"/>
      <w:szCs w:val="20"/>
    </w:rPr>
  </w:style>
  <w:style w:type="paragraph" w:styleId="CommentSubject">
    <w:name w:val="annotation subject"/>
    <w:basedOn w:val="CommentText"/>
    <w:next w:val="CommentText"/>
    <w:link w:val="CommentSubjectChar"/>
    <w:uiPriority w:val="99"/>
    <w:semiHidden/>
    <w:unhideWhenUsed/>
    <w:rsid w:val="001C5295"/>
    <w:rPr>
      <w:b/>
      <w:bCs/>
    </w:rPr>
  </w:style>
  <w:style w:type="character" w:customStyle="1" w:styleId="CommentSubjectChar">
    <w:name w:val="Comment Subject Char"/>
    <w:basedOn w:val="CommentTextChar"/>
    <w:link w:val="CommentSubject"/>
    <w:uiPriority w:val="99"/>
    <w:semiHidden/>
    <w:rsid w:val="001C5295"/>
    <w:rPr>
      <w:b/>
      <w:bCs/>
      <w:sz w:val="20"/>
      <w:szCs w:val="20"/>
    </w:rPr>
  </w:style>
  <w:style w:type="paragraph" w:styleId="NoSpacing">
    <w:name w:val="No Spacing"/>
    <w:link w:val="NoSpacingChar"/>
    <w:uiPriority w:val="1"/>
    <w:qFormat/>
    <w:rsid w:val="00783A96"/>
    <w:pPr>
      <w:widowControl/>
    </w:pPr>
    <w:rPr>
      <w:rFonts w:ascii="Arial" w:eastAsiaTheme="minorHAnsi" w:hAnsi="Arial" w:cstheme="minorBidi"/>
      <w:sz w:val="24"/>
      <w:lang w:val="en-GB" w:eastAsia="en-US"/>
    </w:rPr>
  </w:style>
  <w:style w:type="character" w:customStyle="1" w:styleId="NoSpacingChar">
    <w:name w:val="No Spacing Char"/>
    <w:basedOn w:val="DefaultParagraphFont"/>
    <w:link w:val="NoSpacing"/>
    <w:uiPriority w:val="1"/>
    <w:rsid w:val="00783A96"/>
    <w:rPr>
      <w:rFonts w:ascii="Arial" w:eastAsiaTheme="minorHAnsi" w:hAnsi="Arial" w:cstheme="minorBidi"/>
      <w:sz w:val="24"/>
      <w:lang w:val="en-GB" w:eastAsia="en-US"/>
    </w:rPr>
  </w:style>
  <w:style w:type="character" w:styleId="Hyperlink">
    <w:name w:val="Hyperlink"/>
    <w:basedOn w:val="DefaultParagraphFont"/>
    <w:uiPriority w:val="99"/>
    <w:unhideWhenUsed/>
    <w:rsid w:val="000409A2"/>
    <w:rPr>
      <w:color w:val="0000FF" w:themeColor="hyperlink"/>
      <w:u w:val="single"/>
    </w:rPr>
  </w:style>
  <w:style w:type="character" w:styleId="UnresolvedMention">
    <w:name w:val="Unresolved Mention"/>
    <w:basedOn w:val="DefaultParagraphFont"/>
    <w:uiPriority w:val="99"/>
    <w:semiHidden/>
    <w:unhideWhenUsed/>
    <w:rsid w:val="0004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25416/edgehill.32690850"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1824</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Clare</dc:creator>
  <cp:lastModifiedBy>Rachel Clare</cp:lastModifiedBy>
  <cp:revision>24</cp:revision>
  <dcterms:created xsi:type="dcterms:W3CDTF">2026-06-23T12:08:00Z</dcterms:created>
  <dcterms:modified xsi:type="dcterms:W3CDTF">2026-06-23T13:30:00Z</dcterms:modified>
</cp:coreProperties>
</file>