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proofErr w:type="spellStart"/>
      <w:r w:rsidR="002209A8">
        <w:fldChar w:fldCharType="begin"/>
      </w:r>
      <w:r w:rsidR="002209A8">
        <w:instrText xml:space="preserve"> HYPERLINK "http://biosharing.org/" \h </w:instrText>
      </w:r>
      <w:r w:rsidR="002209A8">
        <w:fldChar w:fldCharType="separate"/>
      </w:r>
      <w:r>
        <w:rPr>
          <w:rFonts w:ascii="Noto Sans" w:eastAsia="Noto Sans" w:hAnsi="Noto Sans" w:cs="Noto Sans"/>
          <w:color w:val="1155CC"/>
          <w:sz w:val="20"/>
          <w:szCs w:val="20"/>
          <w:u w:val="single"/>
        </w:rPr>
        <w:t>BioSharing</w:t>
      </w:r>
      <w:proofErr w:type="spellEnd"/>
      <w:r>
        <w:rPr>
          <w:rFonts w:ascii="Noto Sans" w:eastAsia="Noto Sans" w:hAnsi="Noto Sans" w:cs="Noto Sans"/>
          <w:color w:val="1155CC"/>
          <w:sz w:val="20"/>
          <w:szCs w:val="20"/>
          <w:u w:val="single"/>
        </w:rPr>
        <w:t xml:space="preserve"> Information Resource</w:t>
      </w:r>
      <w:r w:rsidR="002209A8">
        <w:rPr>
          <w:rFonts w:ascii="Noto Sans" w:eastAsia="Noto Sans" w:hAnsi="Noto Sans" w:cs="Noto Sans"/>
          <w:color w:val="1155CC"/>
          <w:sz w:val="20"/>
          <w:szCs w:val="20"/>
          <w:u w:val="single"/>
        </w:rPr>
        <w:fldChar w:fldCharType="end"/>
      </w:r>
      <w:r>
        <w:rPr>
          <w:rFonts w:ascii="Noto Sans" w:eastAsia="Noto Sans" w:hAnsi="Noto Sans" w:cs="Noto Sans"/>
          <w:sz w:val="20"/>
          <w:szCs w:val="20"/>
        </w:rPr>
        <w:t>), or animal research (see the </w:t>
      </w:r>
      <w:hyperlink r:id="rId9">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0">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1">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17F427BC"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467B0083" w:rsidR="00F102CC" w:rsidRPr="003D5AF6" w:rsidRDefault="00DB11EC">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2">
              <w:r>
                <w:rPr>
                  <w:rFonts w:ascii="Noto Sans" w:eastAsia="Noto Sans" w:hAnsi="Noto Sans" w:cs="Noto Sans"/>
                  <w:color w:val="434343"/>
                  <w:sz w:val="18"/>
                  <w:szCs w:val="18"/>
                </w:rPr>
                <w:t xml:space="preserve"> </w:t>
              </w:r>
            </w:hyperlink>
            <w:hyperlink r:id="rId13">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77CF762E" w:rsidR="00F102CC" w:rsidRPr="003D5AF6" w:rsidRDefault="00DB11EC">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6CF5C5AF" w:rsidR="00F102CC" w:rsidRPr="003D5AF6" w:rsidRDefault="00DB11EC">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2BADB7E5" w:rsidR="00F102CC" w:rsidRPr="003D5AF6" w:rsidRDefault="00DB11EC">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4274A6A1" w:rsidR="00F102CC" w:rsidRPr="003D5AF6" w:rsidRDefault="00DB11EC">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0D463E15" w:rsidR="00F102CC" w:rsidRPr="003D5AF6" w:rsidRDefault="00651254">
            <w:pPr>
              <w:rPr>
                <w:rFonts w:ascii="Noto Sans" w:eastAsia="Noto Sans" w:hAnsi="Noto Sans" w:cs="Noto Sans"/>
                <w:bCs/>
                <w:color w:val="434343"/>
                <w:sz w:val="18"/>
                <w:szCs w:val="18"/>
              </w:rPr>
            </w:pPr>
            <w:proofErr w:type="spellStart"/>
            <w:proofErr w:type="gramStart"/>
            <w:r w:rsidRPr="00651254">
              <w:rPr>
                <w:rFonts w:ascii="Noto Sans" w:eastAsia="Noto Sans" w:hAnsi="Noto Sans" w:cs="Noto Sans"/>
                <w:bCs/>
                <w:color w:val="434343"/>
                <w:sz w:val="18"/>
                <w:szCs w:val="18"/>
              </w:rPr>
              <w:t>Dp</w:t>
            </w:r>
            <w:proofErr w:type="spellEnd"/>
            <w:r w:rsidRPr="00651254">
              <w:rPr>
                <w:rFonts w:ascii="Noto Sans" w:eastAsia="Noto Sans" w:hAnsi="Noto Sans" w:cs="Noto Sans"/>
                <w:bCs/>
                <w:color w:val="434343"/>
                <w:sz w:val="18"/>
                <w:szCs w:val="18"/>
              </w:rPr>
              <w:t>(</w:t>
            </w:r>
            <w:proofErr w:type="gramEnd"/>
            <w:r w:rsidRPr="00651254">
              <w:rPr>
                <w:rFonts w:ascii="Noto Sans" w:eastAsia="Noto Sans" w:hAnsi="Noto Sans" w:cs="Noto Sans"/>
                <w:bCs/>
                <w:color w:val="434343"/>
                <w:sz w:val="18"/>
                <w:szCs w:val="18"/>
              </w:rPr>
              <w:t>16)1Yey/+ (abbreviated Dp16) mice and wild-type (WT) littermate controls, on C57BL/6J genetic background, were obtained from the Jackson Laboratory (Strain # 013530). Both male and female mice were at 6-7 weeks old when shipped from the Jackson lab</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3A6FDEB8" w:rsidR="00F102CC" w:rsidRPr="003D5AF6" w:rsidRDefault="00F102CC">
            <w:pPr>
              <w:rPr>
                <w:rFonts w:ascii="Noto Sans" w:eastAsia="Noto Sans" w:hAnsi="Noto Sans" w:cs="Noto Sans"/>
                <w:bCs/>
                <w:color w:val="434343"/>
                <w:sz w:val="18"/>
                <w:szCs w:val="18"/>
              </w:rPr>
            </w:pP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1029518C" w:rsidR="00F102CC" w:rsidRPr="003D5AF6" w:rsidRDefault="00DB11EC">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3BC8F373" w:rsidR="00F102CC" w:rsidRPr="003D5AF6" w:rsidRDefault="00DB11EC">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27306503" w:rsidR="00F102CC" w:rsidRPr="003D5AF6" w:rsidRDefault="00DB11EC">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069FDC97" w:rsidR="00F102CC" w:rsidRDefault="00DB11EC">
            <w:pPr>
              <w:rPr>
                <w:rFonts w:ascii="Noto Sans" w:eastAsia="Noto Sans" w:hAnsi="Noto Sans" w:cs="Noto Sans"/>
                <w:b/>
                <w:color w:val="434343"/>
                <w:sz w:val="18"/>
                <w:szCs w:val="18"/>
              </w:rPr>
            </w:pPr>
            <w:r>
              <w:rPr>
                <w:rFonts w:ascii="Noto Sans" w:eastAsia="Noto Sans" w:hAnsi="Noto Sans" w:cs="Noto Sans"/>
                <w:b/>
                <w:color w:val="434343"/>
                <w:sz w:val="18"/>
                <w:szCs w:val="18"/>
              </w:rPr>
              <w:t>X</w:t>
            </w: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3DDE3EAF" w:rsidR="00F102CC" w:rsidRPr="003D5AF6" w:rsidRDefault="00DB11E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lastRenderedPageBreak/>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12179166" w:rsidR="00F102CC" w:rsidRPr="003D5AF6" w:rsidRDefault="00DB11E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A1AEC43" w14:textId="77777777" w:rsidR="00F102CC" w:rsidRDefault="00DB11E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Except RNA-seq and metabolomics analysis (n = 6 per sex per genotype), all the other in vivo and ex vivo experiments were performed with sample size of N= 8 to 20. This sample size allows us to significant differences between genotypes even if the effect size is modest. </w:t>
            </w:r>
          </w:p>
          <w:p w14:paraId="50D998B6" w14:textId="643ED3C1" w:rsidR="006A1464" w:rsidRPr="003D5AF6" w:rsidRDefault="006A1464">
            <w:pPr>
              <w:spacing w:line="225" w:lineRule="auto"/>
              <w:rPr>
                <w:rFonts w:ascii="Noto Sans" w:eastAsia="Noto Sans" w:hAnsi="Noto Sans" w:cs="Noto Sans"/>
                <w:bCs/>
                <w:color w:val="434343"/>
                <w:sz w:val="18"/>
                <w:szCs w:val="18"/>
              </w:rPr>
            </w:pPr>
            <w:r w:rsidRPr="006A1464">
              <w:rPr>
                <w:rFonts w:ascii="Noto Sans" w:eastAsia="Noto Sans" w:hAnsi="Noto Sans" w:cs="Noto Sans"/>
                <w:bCs/>
                <w:color w:val="434343"/>
                <w:sz w:val="18"/>
                <w:szCs w:val="18"/>
              </w:rPr>
              <w:t>Based on our previous metabolic data, a group size of n=</w:t>
            </w:r>
            <w:r>
              <w:rPr>
                <w:rFonts w:ascii="Noto Sans" w:eastAsia="Noto Sans" w:hAnsi="Noto Sans" w:cs="Noto Sans"/>
                <w:bCs/>
                <w:color w:val="434343"/>
                <w:sz w:val="18"/>
                <w:szCs w:val="18"/>
              </w:rPr>
              <w:t>8</w:t>
            </w:r>
            <w:r w:rsidRPr="006A1464">
              <w:rPr>
                <w:rFonts w:ascii="Noto Sans" w:eastAsia="Noto Sans" w:hAnsi="Noto Sans" w:cs="Noto Sans"/>
                <w:bCs/>
                <w:color w:val="434343"/>
                <w:sz w:val="18"/>
                <w:szCs w:val="18"/>
              </w:rPr>
              <w:t>/sex will provide 80% power to detect a 17% difference when the significance is set at α=0.05</w:t>
            </w:r>
            <w:r>
              <w:rPr>
                <w:rFonts w:ascii="Noto Sans" w:eastAsia="Noto Sans" w:hAnsi="Noto Sans" w:cs="Noto Sans"/>
                <w:bCs/>
                <w:color w:val="434343"/>
                <w:sz w:val="18"/>
                <w:szCs w:val="18"/>
              </w:rPr>
              <w:t xml:space="preserve">. </w:t>
            </w:r>
            <w:r w:rsidRPr="006A1464">
              <w:rPr>
                <w:rFonts w:ascii="Noto Sans" w:eastAsia="Noto Sans" w:hAnsi="Noto Sans" w:cs="Noto Sans"/>
                <w:bCs/>
                <w:color w:val="434343"/>
                <w:sz w:val="18"/>
                <w:szCs w:val="18"/>
              </w:rPr>
              <w:t>For RNA-seq, we will identify differentially expressed genes by using an FDR &lt;0.05. For RNA-seq, a group size of n=</w:t>
            </w:r>
            <w:r w:rsidR="0084711D">
              <w:rPr>
                <w:rFonts w:ascii="Noto Sans" w:eastAsia="Noto Sans" w:hAnsi="Noto Sans" w:cs="Noto Sans"/>
                <w:bCs/>
                <w:color w:val="434343"/>
                <w:sz w:val="18"/>
                <w:szCs w:val="18"/>
              </w:rPr>
              <w:t>6</w:t>
            </w:r>
            <w:r w:rsidRPr="006A1464">
              <w:rPr>
                <w:rFonts w:ascii="Noto Sans" w:eastAsia="Noto Sans" w:hAnsi="Noto Sans" w:cs="Noto Sans"/>
                <w:bCs/>
                <w:color w:val="434343"/>
                <w:sz w:val="18"/>
                <w:szCs w:val="18"/>
              </w:rPr>
              <w:t>/genotype/sex will provide 80% power to detect a 17% difference</w:t>
            </w:r>
            <w:r w:rsidR="0084711D">
              <w:rPr>
                <w:rFonts w:ascii="Noto Sans" w:eastAsia="Noto Sans" w:hAnsi="Noto Sans" w:cs="Noto Sans"/>
                <w:bCs/>
                <w:color w:val="434343"/>
                <w:sz w:val="18"/>
                <w:szCs w:val="18"/>
              </w:rPr>
              <w:t>.</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C46D03" w14:textId="63248328" w:rsidR="00F102CC" w:rsidRPr="003D5AF6" w:rsidRDefault="00F102CC">
            <w:pPr>
              <w:spacing w:line="225" w:lineRule="auto"/>
              <w:rPr>
                <w:rFonts w:ascii="Noto Sans" w:eastAsia="Noto Sans" w:hAnsi="Noto Sans" w:cs="Noto Sans"/>
                <w:bCs/>
                <w:color w:val="434343"/>
                <w:sz w:val="18"/>
                <w:szCs w:val="18"/>
              </w:rPr>
            </w:pP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6D6483" w14:textId="141ABE88" w:rsidR="00F102CC" w:rsidRPr="003D5AF6" w:rsidRDefault="00DB11E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All liver histology slides were randomized before scoring, and scoring was done blind to genotype.</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B5D726" w14:textId="0AC884BA" w:rsidR="00F102CC" w:rsidRDefault="00F102CC">
            <w:pPr>
              <w:spacing w:line="225" w:lineRule="auto"/>
              <w:rPr>
                <w:rFonts w:ascii="Noto Sans" w:eastAsia="Noto Sans" w:hAnsi="Noto Sans" w:cs="Noto Sans"/>
                <w:b/>
                <w:color w:val="434343"/>
                <w:sz w:val="18"/>
                <w:szCs w:val="18"/>
              </w:rPr>
            </w:pP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267DA2" w14:textId="2E2D0596" w:rsidR="00F102CC" w:rsidRPr="003D5AF6" w:rsidRDefault="00DB11E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All liver histological scoring were conducted blind to genotype.</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AE9083" w14:textId="49989C53" w:rsidR="00F102CC" w:rsidRPr="003D5AF6" w:rsidRDefault="00F102CC">
            <w:pPr>
              <w:spacing w:line="225" w:lineRule="auto"/>
              <w:rPr>
                <w:rFonts w:ascii="Noto Sans" w:eastAsia="Noto Sans" w:hAnsi="Noto Sans" w:cs="Noto Sans"/>
                <w:bCs/>
                <w:color w:val="434343"/>
                <w:sz w:val="18"/>
                <w:szCs w:val="18"/>
              </w:rPr>
            </w:pP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2BB682" w14:textId="6867DE4E" w:rsidR="00F102CC" w:rsidRPr="003D5AF6" w:rsidRDefault="00DB11E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For the mesoscale inflammatory cytokine profiling, we performed outlier tests in GraphPad Prism (v.10)</w:t>
            </w:r>
            <w:r w:rsidR="0084711D">
              <w:rPr>
                <w:rFonts w:ascii="Noto Sans" w:eastAsia="Noto Sans" w:hAnsi="Noto Sans" w:cs="Noto Sans"/>
                <w:bCs/>
                <w:color w:val="434343"/>
                <w:sz w:val="18"/>
                <w:szCs w:val="18"/>
              </w:rPr>
              <w:t xml:space="preserve"> using the software outlier test program</w:t>
            </w:r>
            <w:r>
              <w:rPr>
                <w:rFonts w:ascii="Noto Sans" w:eastAsia="Noto Sans" w:hAnsi="Noto Sans" w:cs="Noto Sans"/>
                <w:bCs/>
                <w:color w:val="434343"/>
                <w:sz w:val="18"/>
                <w:szCs w:val="18"/>
              </w:rPr>
              <w:t>. Outliers were removed before analysis.</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057DC8" w14:textId="7EB2044D" w:rsidR="00F102CC" w:rsidRPr="003D5AF6" w:rsidRDefault="00F102CC">
            <w:pPr>
              <w:spacing w:line="225" w:lineRule="auto"/>
              <w:rPr>
                <w:rFonts w:ascii="Noto Sans" w:eastAsia="Noto Sans" w:hAnsi="Noto Sans" w:cs="Noto Sans"/>
                <w:bCs/>
                <w:color w:val="434343"/>
                <w:sz w:val="18"/>
                <w:szCs w:val="18"/>
              </w:rPr>
            </w:pPr>
          </w:p>
        </w:tc>
      </w:tr>
      <w:tr w:rsidR="00F102CC" w14:paraId="14D7061B" w14:textId="77777777">
        <w:trPr>
          <w:trHeight w:val="425"/>
        </w:trPr>
        <w:tc>
          <w:tcPr>
            <w:tcW w:w="5595" w:type="dxa"/>
            <w:tcBorders>
              <w:top w:val="nil"/>
              <w:left w:val="nil"/>
              <w:bottom w:val="nil"/>
              <w:right w:val="nil"/>
            </w:tcBorders>
            <w:shd w:val="clear" w:color="auto" w:fill="auto"/>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shd w:val="clear" w:color="auto" w:fill="auto"/>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shd w:val="clear" w:color="auto" w:fill="auto"/>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0CFE7C" w14:textId="73C84D9E" w:rsidR="00F102CC" w:rsidRPr="003D5AF6" w:rsidRDefault="00251F7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Large mouse sample size was used throughout the study. Due to the high cost of </w:t>
            </w:r>
            <w:r w:rsidR="002722E9">
              <w:rPr>
                <w:rFonts w:ascii="Noto Sans" w:eastAsia="Noto Sans" w:hAnsi="Noto Sans" w:cs="Noto Sans"/>
                <w:bCs/>
                <w:color w:val="434343"/>
                <w:sz w:val="18"/>
                <w:szCs w:val="18"/>
              </w:rPr>
              <w:t>animals, all experiments have been conducted once.</w:t>
            </w:r>
            <w:r w:rsidR="0084711D">
              <w:rPr>
                <w:rFonts w:ascii="Noto Sans" w:eastAsia="Noto Sans" w:hAnsi="Noto Sans" w:cs="Noto Sans"/>
                <w:bCs/>
                <w:color w:val="434343"/>
                <w:sz w:val="18"/>
                <w:szCs w:val="18"/>
              </w:rPr>
              <w:t xml:space="preserve"> </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8BC811" w14:textId="0E5BEA3F" w:rsidR="00F102CC" w:rsidRPr="003D5AF6" w:rsidRDefault="00F102CC">
            <w:pPr>
              <w:spacing w:line="225" w:lineRule="auto"/>
              <w:rPr>
                <w:rFonts w:ascii="Noto Sans" w:eastAsia="Noto Sans" w:hAnsi="Noto Sans" w:cs="Noto Sans"/>
                <w:bCs/>
                <w:color w:val="434343"/>
                <w:sz w:val="18"/>
                <w:szCs w:val="18"/>
              </w:rPr>
            </w:pP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lastRenderedPageBreak/>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E8B9FB" w14:textId="4675A982" w:rsidR="00F102CC" w:rsidRPr="003D5AF6" w:rsidRDefault="00DB11E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All data describe biological replicates.</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33BF82" w14:textId="7736387E" w:rsidR="00F102CC" w:rsidRPr="003D5AF6" w:rsidRDefault="00F102CC">
            <w:pPr>
              <w:spacing w:line="225" w:lineRule="auto"/>
              <w:rPr>
                <w:rFonts w:ascii="Noto Sans" w:eastAsia="Noto Sans" w:hAnsi="Noto Sans" w:cs="Noto Sans"/>
                <w:bCs/>
                <w:color w:val="434343"/>
                <w:sz w:val="18"/>
                <w:szCs w:val="18"/>
              </w:rPr>
            </w:pPr>
          </w:p>
        </w:tc>
      </w:tr>
      <w:tr w:rsidR="00F102CC" w14:paraId="7376923B" w14:textId="77777777">
        <w:trPr>
          <w:trHeight w:val="425"/>
        </w:trPr>
        <w:tc>
          <w:tcPr>
            <w:tcW w:w="5595" w:type="dxa"/>
            <w:tcBorders>
              <w:top w:val="nil"/>
              <w:left w:val="nil"/>
              <w:bottom w:val="single" w:sz="8" w:space="0" w:color="000000"/>
              <w:right w:val="nil"/>
            </w:tcBorders>
            <w:shd w:val="clear" w:color="auto" w:fill="auto"/>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shd w:val="clear" w:color="auto" w:fill="auto"/>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shd w:val="clear" w:color="auto" w:fill="auto"/>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CB3013" w14:textId="77777777" w:rsidR="00F102CC" w:rsidRDefault="00F102CC">
            <w:pPr>
              <w:spacing w:line="225" w:lineRule="auto"/>
              <w:rPr>
                <w:rFonts w:ascii="Noto Sans" w:eastAsia="Noto Sans" w:hAnsi="Noto Sans" w:cs="Noto Sans"/>
                <w:b/>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003A7F" w14:textId="2AF4B92B" w:rsidR="00F102CC" w:rsidRPr="003D5AF6" w:rsidRDefault="00DB11E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6BA9BD" w14:textId="611B3E55" w:rsidR="00F102CC" w:rsidRPr="003D5AF6" w:rsidRDefault="002722E9">
            <w:pPr>
              <w:spacing w:line="225" w:lineRule="auto"/>
              <w:rPr>
                <w:rFonts w:ascii="Noto Sans" w:eastAsia="Noto Sans" w:hAnsi="Noto Sans" w:cs="Noto Sans"/>
                <w:bCs/>
                <w:color w:val="434343"/>
                <w:sz w:val="18"/>
                <w:szCs w:val="18"/>
              </w:rPr>
            </w:pPr>
            <w:r w:rsidRPr="002722E9">
              <w:rPr>
                <w:rFonts w:ascii="Noto Sans" w:eastAsia="Noto Sans" w:hAnsi="Noto Sans" w:cs="Noto Sans"/>
                <w:bCs/>
                <w:color w:val="434343"/>
                <w:sz w:val="18"/>
                <w:szCs w:val="18"/>
              </w:rPr>
              <w:t>All mouse protocols were approved by the Institutional Animal Care and Use Committee of the Johns Hopkins University School of Medicine (animal protocol # MO22M367).</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5B8D86" w14:textId="189E6E70" w:rsidR="00F102CC" w:rsidRPr="003D5AF6" w:rsidRDefault="00F102CC">
            <w:pPr>
              <w:spacing w:line="225" w:lineRule="auto"/>
              <w:rPr>
                <w:rFonts w:ascii="Noto Sans" w:eastAsia="Noto Sans" w:hAnsi="Noto Sans" w:cs="Noto Sans"/>
                <w:bCs/>
                <w:color w:val="434343"/>
                <w:sz w:val="18"/>
                <w:szCs w:val="18"/>
              </w:rPr>
            </w:pP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9D4B66" w14:textId="09707167" w:rsidR="00F102CC" w:rsidRPr="003D5AF6" w:rsidRDefault="00DB11E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9A7C842" w14:textId="77777777">
        <w:trPr>
          <w:trHeight w:val="425"/>
        </w:trPr>
        <w:tc>
          <w:tcPr>
            <w:tcW w:w="5595" w:type="dxa"/>
            <w:tcBorders>
              <w:top w:val="nil"/>
              <w:left w:val="nil"/>
              <w:bottom w:val="single" w:sz="8" w:space="0" w:color="000000"/>
              <w:right w:val="nil"/>
            </w:tcBorders>
            <w:shd w:val="clear" w:color="auto" w:fill="auto"/>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shd w:val="clear" w:color="auto" w:fill="auto"/>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shd w:val="clear" w:color="auto" w:fill="auto"/>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DDCC7B" w14:textId="39BB3A89" w:rsidR="00F102CC" w:rsidRPr="003D5AF6" w:rsidRDefault="00DB11E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306ED2"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182D3B" w14:textId="5212E788" w:rsidR="00F102CC" w:rsidRPr="003D5AF6" w:rsidRDefault="00542836">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3864D7CC"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E0127B" w14:textId="43B1697F" w:rsidR="00F102CC" w:rsidRPr="003D5AF6" w:rsidRDefault="00542836">
            <w:pPr>
              <w:spacing w:line="225" w:lineRule="auto"/>
              <w:rPr>
                <w:rFonts w:ascii="Noto Sans" w:eastAsia="Noto Sans" w:hAnsi="Noto Sans" w:cs="Noto Sans"/>
                <w:bCs/>
                <w:color w:val="434343"/>
                <w:sz w:val="18"/>
                <w:szCs w:val="18"/>
              </w:rPr>
            </w:pPr>
            <w:r w:rsidRPr="00542836">
              <w:rPr>
                <w:rFonts w:ascii="Noto Sans" w:eastAsia="Noto Sans" w:hAnsi="Noto Sans" w:cs="Noto Sans"/>
                <w:bCs/>
                <w:color w:val="434343"/>
                <w:sz w:val="18"/>
                <w:szCs w:val="18"/>
              </w:rPr>
              <w:t xml:space="preserve">Data were analyzed with two-tailed Student’s t-tests </w:t>
            </w:r>
            <w:r>
              <w:rPr>
                <w:rFonts w:ascii="Noto Sans" w:eastAsia="Noto Sans" w:hAnsi="Noto Sans" w:cs="Noto Sans"/>
                <w:bCs/>
                <w:color w:val="434343"/>
                <w:sz w:val="18"/>
                <w:szCs w:val="18"/>
              </w:rPr>
              <w:t xml:space="preserve">if only two groups were compared. For all the other data, </w:t>
            </w:r>
            <w:r w:rsidRPr="00542836">
              <w:rPr>
                <w:rFonts w:ascii="Noto Sans" w:eastAsia="Noto Sans" w:hAnsi="Noto Sans" w:cs="Noto Sans"/>
                <w:bCs/>
                <w:color w:val="434343"/>
                <w:sz w:val="18"/>
                <w:szCs w:val="18"/>
              </w:rPr>
              <w:t>repeated measures ANOVA</w:t>
            </w:r>
            <w:r>
              <w:rPr>
                <w:rFonts w:ascii="Noto Sans" w:eastAsia="Noto Sans" w:hAnsi="Noto Sans" w:cs="Noto Sans"/>
                <w:bCs/>
                <w:color w:val="434343"/>
                <w:sz w:val="18"/>
                <w:szCs w:val="18"/>
              </w:rPr>
              <w:t xml:space="preserve"> was used</w:t>
            </w:r>
            <w:r w:rsidRPr="00542836">
              <w:rPr>
                <w:rFonts w:ascii="Noto Sans" w:eastAsia="Noto Sans" w:hAnsi="Noto Sans" w:cs="Noto Sans"/>
                <w:bCs/>
                <w:color w:val="434343"/>
                <w:sz w:val="18"/>
                <w:szCs w:val="18"/>
              </w:rPr>
              <w:t xml:space="preserve">. For two-way ANOVA, we performed </w:t>
            </w:r>
            <w:proofErr w:type="spellStart"/>
            <w:r w:rsidRPr="00542836">
              <w:rPr>
                <w:rFonts w:ascii="Noto Sans" w:eastAsia="Noto Sans" w:hAnsi="Noto Sans" w:cs="Noto Sans"/>
                <w:bCs/>
                <w:color w:val="434343"/>
                <w:sz w:val="18"/>
                <w:szCs w:val="18"/>
              </w:rPr>
              <w:t>Sidek</w:t>
            </w:r>
            <w:proofErr w:type="spellEnd"/>
            <w:r w:rsidRPr="00542836">
              <w:rPr>
                <w:rFonts w:ascii="Noto Sans" w:eastAsia="Noto Sans" w:hAnsi="Noto Sans" w:cs="Noto Sans"/>
                <w:bCs/>
                <w:color w:val="434343"/>
                <w:sz w:val="18"/>
                <w:szCs w:val="18"/>
              </w:rPr>
              <w:t xml:space="preserve"> or Bonferroni post hoc tests. </w:t>
            </w:r>
            <w:r>
              <w:rPr>
                <w:rFonts w:ascii="Noto Sans" w:eastAsia="Noto Sans" w:hAnsi="Noto Sans" w:cs="Noto Sans"/>
                <w:bCs/>
                <w:color w:val="434343"/>
                <w:sz w:val="18"/>
                <w:szCs w:val="18"/>
              </w:rPr>
              <w:t xml:space="preserve">All statistical analyses were performed in </w:t>
            </w:r>
            <w:proofErr w:type="spellStart"/>
            <w:r>
              <w:rPr>
                <w:rFonts w:ascii="Noto Sans" w:eastAsia="Noto Sans" w:hAnsi="Noto Sans" w:cs="Noto Sans"/>
                <w:bCs/>
                <w:color w:val="434343"/>
                <w:sz w:val="18"/>
                <w:szCs w:val="18"/>
              </w:rPr>
              <w:lastRenderedPageBreak/>
              <w:t>GrapPad</w:t>
            </w:r>
            <w:proofErr w:type="spellEnd"/>
            <w:r>
              <w:rPr>
                <w:rFonts w:ascii="Noto Sans" w:eastAsia="Noto Sans" w:hAnsi="Noto Sans" w:cs="Noto Sans"/>
                <w:bCs/>
                <w:color w:val="434343"/>
                <w:sz w:val="18"/>
                <w:szCs w:val="18"/>
              </w:rPr>
              <w:t xml:space="preserve"> Prism (v.10)</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90A381" w14:textId="2075DD64" w:rsidR="00F102CC" w:rsidRPr="003D5AF6" w:rsidRDefault="00651254">
            <w:pPr>
              <w:spacing w:line="225" w:lineRule="auto"/>
              <w:rPr>
                <w:rFonts w:ascii="Noto Sans" w:eastAsia="Noto Sans" w:hAnsi="Noto Sans" w:cs="Noto Sans"/>
                <w:bCs/>
                <w:color w:val="434343"/>
                <w:sz w:val="18"/>
                <w:szCs w:val="18"/>
              </w:rPr>
            </w:pPr>
            <w:r w:rsidRPr="00651254">
              <w:rPr>
                <w:rFonts w:ascii="Noto Sans" w:eastAsia="Noto Sans" w:hAnsi="Noto Sans" w:cs="Noto Sans"/>
                <w:bCs/>
                <w:color w:val="434343"/>
                <w:sz w:val="18"/>
                <w:szCs w:val="18"/>
              </w:rPr>
              <w:t>All RNA-seq data have been deposited in NCBI Sequence Read Archive (SRA), with the accession # PRJNA1160420. The metabolomics data is available at the NIH Common Fund's National Metabolomics Data Repository (NMDR) website, the Metabolomics Workbench (https://www.metabolomicsworkbench.org) where it has been assigned Study ID (ST004905, ST004915, ST004916, and ST004918). The data can be accessed directly via it's Project DOI: http://dx.doi.org/10.21228/M8SZ8Q).</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DD6482" w14:textId="36834CE9" w:rsidR="00F102CC" w:rsidRPr="003D5AF6" w:rsidRDefault="00F102CC">
            <w:pPr>
              <w:spacing w:line="225" w:lineRule="auto"/>
              <w:rPr>
                <w:rFonts w:ascii="Noto Sans" w:eastAsia="Noto Sans" w:hAnsi="Noto Sans" w:cs="Noto Sans"/>
                <w:bCs/>
                <w:color w:val="434343"/>
                <w:sz w:val="18"/>
                <w:szCs w:val="18"/>
              </w:rPr>
            </w:pP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 xml:space="preserve">When newly created datasets are publicly available, provide accession number in repository OR DOI and licensing details </w:t>
            </w:r>
            <w:proofErr w:type="spellStart"/>
            <w:r>
              <w:rPr>
                <w:rFonts w:ascii="Noto Sans" w:eastAsia="Noto Sans" w:hAnsi="Noto Sans" w:cs="Noto Sans"/>
                <w:color w:val="434343"/>
                <w:sz w:val="18"/>
                <w:szCs w:val="18"/>
                <w:highlight w:val="white"/>
              </w:rPr>
              <w:t>where</w:t>
            </w:r>
            <w:proofErr w:type="spellEnd"/>
            <w:r>
              <w:rPr>
                <w:rFonts w:ascii="Noto Sans" w:eastAsia="Noto Sans" w:hAnsi="Noto Sans" w:cs="Noto Sans"/>
                <w:color w:val="434343"/>
                <w:sz w:val="18"/>
                <w:szCs w:val="18"/>
                <w:highlight w:val="white"/>
              </w:rPr>
              <w:t xml:space="preserve"> available.</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FCD14D" w14:textId="7646A7C4" w:rsidR="00F102CC" w:rsidRPr="003D5AF6" w:rsidRDefault="00651254">
            <w:pPr>
              <w:spacing w:line="225" w:lineRule="auto"/>
              <w:rPr>
                <w:rFonts w:ascii="Noto Sans" w:eastAsia="Noto Sans" w:hAnsi="Noto Sans" w:cs="Noto Sans"/>
                <w:bCs/>
                <w:color w:val="434343"/>
                <w:sz w:val="18"/>
                <w:szCs w:val="18"/>
              </w:rPr>
            </w:pPr>
            <w:r w:rsidRPr="00651254">
              <w:rPr>
                <w:rFonts w:ascii="Noto Sans" w:eastAsia="Noto Sans" w:hAnsi="Noto Sans" w:cs="Noto Sans"/>
                <w:bCs/>
                <w:color w:val="434343"/>
                <w:sz w:val="18"/>
                <w:szCs w:val="18"/>
              </w:rPr>
              <w:t>All RNA-seq data have been deposited in NCBI Sequence Read Archive (SRA), with the accession # PRJNA1160420. The metabolomics data is available at the NIH Common Fund's National Metabolomics Data Repository (NMDR) website, the Metabolomics Workbench (https://www.metabolomicsworkbench.org) where it has been assigned Study ID (ST004905, ST004915, ST004916, and ST004918). The data can be accessed directly via it's Project DOI: http://dx.doi.org/10.21228/M8SZ8Q).</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F67B00" w14:textId="662A54CB" w:rsidR="00F102CC" w:rsidRPr="003D5AF6" w:rsidRDefault="00F102CC">
            <w:pPr>
              <w:spacing w:line="225" w:lineRule="auto"/>
              <w:rPr>
                <w:rFonts w:ascii="Noto Sans" w:eastAsia="Noto Sans" w:hAnsi="Noto Sans" w:cs="Noto Sans"/>
                <w:bCs/>
                <w:color w:val="434343"/>
                <w:sz w:val="18"/>
                <w:szCs w:val="18"/>
              </w:rPr>
            </w:pP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F0859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423DA9" w14:textId="464FCC16" w:rsidR="00F102CC" w:rsidRPr="003D5AF6" w:rsidRDefault="0065125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196EA570"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B52AB8"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34BAE5" w14:textId="3602F7AD" w:rsidR="00F102CC" w:rsidRPr="003D5AF6" w:rsidRDefault="00B62810">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8F5375" w14:textId="22D9E917" w:rsidR="00F102CC" w:rsidRDefault="005B0259">
            <w:pPr>
              <w:rPr>
                <w:rFonts w:ascii="Noto Sans" w:eastAsia="Noto Sans" w:hAnsi="Noto Sans" w:cs="Noto Sans"/>
                <w:color w:val="434343"/>
                <w:sz w:val="18"/>
                <w:szCs w:val="18"/>
              </w:rPr>
            </w:pPr>
            <w:r>
              <w:rPr>
                <w:rFonts w:ascii="Noto Sans" w:eastAsia="Noto Sans" w:hAnsi="Noto Sans" w:cs="Noto Sans"/>
                <w:color w:val="434343"/>
                <w:sz w:val="18"/>
                <w:szCs w:val="18"/>
              </w:rPr>
              <w:t>Where</w:t>
            </w:r>
            <w:r w:rsidR="00427975">
              <w:rPr>
                <w:rFonts w:ascii="Noto Sans" w:eastAsia="Noto Sans" w:hAnsi="Noto Sans" w:cs="Noto Sans"/>
                <w:color w:val="434343"/>
                <w:sz w:val="18"/>
                <w:szCs w:val="18"/>
              </w:rPr>
              <w:t xml:space="preserve"> newly generated code is publicly available, provide accession number in repository, OR DOI OR URL and licensing details </w:t>
            </w:r>
            <w:proofErr w:type="spellStart"/>
            <w:r w:rsidR="00427975">
              <w:rPr>
                <w:rFonts w:ascii="Noto Sans" w:eastAsia="Noto Sans" w:hAnsi="Noto Sans" w:cs="Noto Sans"/>
                <w:color w:val="434343"/>
                <w:sz w:val="18"/>
                <w:szCs w:val="18"/>
              </w:rPr>
              <w:t>where</w:t>
            </w:r>
            <w:proofErr w:type="spellEnd"/>
            <w:r w:rsidR="00427975">
              <w:rPr>
                <w:rFonts w:ascii="Noto Sans" w:eastAsia="Noto Sans" w:hAnsi="Noto Sans" w:cs="Noto Sans"/>
                <w:color w:val="434343"/>
                <w:sz w:val="18"/>
                <w:szCs w:val="18"/>
              </w:rPr>
              <w:t xml:space="preserve"> available. State any restrictions on code availability or accessibility.</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816E11" w14:textId="77777777" w:rsidR="00F102CC" w:rsidRPr="003D5AF6" w:rsidRDefault="00F102CC">
            <w:pPr>
              <w:spacing w:line="225" w:lineRule="auto"/>
              <w:rPr>
                <w:rFonts w:ascii="Noto Sans" w:eastAsia="Noto Sans" w:hAnsi="Noto Sans" w:cs="Noto Sans"/>
                <w:bCs/>
                <w:color w:val="434343"/>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6875B8" w14:textId="2AE47D7E" w:rsidR="00F102CC" w:rsidRPr="003D5AF6" w:rsidRDefault="00B62810">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047B99D" w14:textId="77777777">
        <w:trPr>
          <w:trHeight w:val="72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07A083"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A59D3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8D9987" w14:textId="1AAF15DB" w:rsidR="00F102CC" w:rsidRPr="003D5AF6" w:rsidRDefault="00B62810">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9881D3" w14:textId="77777777" w:rsidR="00F102CC" w:rsidRPr="003D5AF6" w:rsidRDefault="00F102CC">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B93BA4" w14:textId="0F9EF79A" w:rsidR="00F102CC" w:rsidRPr="003D5AF6" w:rsidRDefault="0065125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EF7E60">
      <w:pPr>
        <w:spacing w:before="80"/>
      </w:pPr>
      <w:bookmarkStart w:id="3" w:name="_cm0qssfkw66b" w:colFirst="0" w:colLast="0"/>
      <w:bookmarkEnd w:id="3"/>
      <w:r>
        <w:rPr>
          <w:noProof/>
        </w:rPr>
        <w:pict w14:anchorId="5E7F9325">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4">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 xml:space="preserve">High-throughput sequence data should be uploaded before submission, with a private link for reviewers provided (these are available from both GEO and </w:t>
      </w:r>
      <w:proofErr w:type="spellStart"/>
      <w:r>
        <w:t>ArrayExpress</w:t>
      </w:r>
      <w:proofErr w:type="spellEnd"/>
      <w:r>
        <w:t>)</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 xml:space="preserve">Raw data should be presented in figures whenever informative to do so (typically when N per group </w:t>
      </w:r>
      <w:r>
        <w:lastRenderedPageBreak/>
        <w:t>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5"/>
      <w:footerReference w:type="default" r:id="rId16"/>
      <w:headerReference w:type="first" r:id="rId17"/>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33D50" w14:textId="77777777" w:rsidR="00EF7E60" w:rsidRDefault="00EF7E60">
      <w:r>
        <w:separator/>
      </w:r>
    </w:p>
  </w:endnote>
  <w:endnote w:type="continuationSeparator" w:id="0">
    <w:p w14:paraId="3FE96FE0" w14:textId="77777777" w:rsidR="00EF7E60" w:rsidRDefault="00EF7E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altName w:val="Noto Sans"/>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0BDC8" w14:textId="77777777" w:rsidR="00EF7E60" w:rsidRDefault="00EF7E60">
      <w:r>
        <w:separator/>
      </w:r>
    </w:p>
  </w:footnote>
  <w:footnote w:type="continuationSeparator" w:id="0">
    <w:p w14:paraId="23A9E63A" w14:textId="77777777" w:rsidR="00EF7E60" w:rsidRDefault="00EF7E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861E9" w14:textId="2B8215BA" w:rsidR="004E2C31" w:rsidRDefault="004E2C31">
    <w:pPr>
      <w:pStyle w:val="Header"/>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B600B"/>
    <w:rsid w:val="001B3BCC"/>
    <w:rsid w:val="002209A8"/>
    <w:rsid w:val="00251F7F"/>
    <w:rsid w:val="002722E9"/>
    <w:rsid w:val="003D5AF6"/>
    <w:rsid w:val="00400C53"/>
    <w:rsid w:val="00427975"/>
    <w:rsid w:val="004E2C31"/>
    <w:rsid w:val="00542836"/>
    <w:rsid w:val="005B0259"/>
    <w:rsid w:val="00651254"/>
    <w:rsid w:val="006A1464"/>
    <w:rsid w:val="007054B6"/>
    <w:rsid w:val="0078687E"/>
    <w:rsid w:val="0084711D"/>
    <w:rsid w:val="009C7B26"/>
    <w:rsid w:val="00A11E52"/>
    <w:rsid w:val="00B2483D"/>
    <w:rsid w:val="00B62810"/>
    <w:rsid w:val="00BD41E9"/>
    <w:rsid w:val="00C84413"/>
    <w:rsid w:val="00DB11EC"/>
    <w:rsid w:val="00EF7E60"/>
    <w:rsid w:val="00F102CC"/>
    <w:rsid w:val="00F910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scicrunch.org/resource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viewer.elifesciences.org/author-guide/journal-policie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1038/d41586-020-0175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losbiology.org/article/info:doi/10.1371/journal.pbio.1000412" TargetMode="External"/><Relationship Id="rId14" Type="http://schemas.openxmlformats.org/officeDocument/2006/relationships/hyperlink" Target="https://doi.org/10.7554/eLife.4817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7</Pages>
  <Words>1822</Words>
  <Characters>10392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Will Wong</cp:lastModifiedBy>
  <cp:revision>12</cp:revision>
  <dcterms:created xsi:type="dcterms:W3CDTF">2022-02-28T12:21:00Z</dcterms:created>
  <dcterms:modified xsi:type="dcterms:W3CDTF">2026-07-20T18:14:00Z</dcterms:modified>
</cp:coreProperties>
</file>